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6201dprem14a.htm"/>
        <w:bookmarkStart w:id="1" w:name="ksd76201dpre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§240.14a-12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JULY 17, 2026—SUBJECT TO COMPLETION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1544955" cy="868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4955" cy="868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555 Turnpike Street </w:t>
      </w:r>
    </w:p>
    <w:p>
      <w:pPr>
        <w:pStyle w:val="TextBody"/>
        <w:bidi w:val="0"/>
        <w:spacing w:before="0" w:after="0"/>
        <w:jc w:val="center"/>
        <w:rPr>
          <w:rFonts w:ascii="Times New Roman" w:hAnsi="Times New Roman"/>
          <w:b/>
          <w:sz w:val="20"/>
        </w:rPr>
      </w:pPr>
      <w:r>
        <w:rPr>
          <w:rFonts w:ascii="Times New Roman" w:hAnsi="Times New Roman"/>
          <w:b/>
          <w:sz w:val="20"/>
        </w:rPr>
        <w:t xml:space="preserve">Canton, Massachusetts 02021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Dear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You are invited to attend the special meeting of stockholders of Destination XL Group, Inc., a Delaware corporation (“DXL”), which will be held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“special meeting”). The special meeting will be held at the corporate offices of DXL located at 555 Turnpike Street, Canton, Massachusetts 02021. </w:t>
      </w:r>
    </w:p>
    <w:p>
      <w:pPr>
        <w:pStyle w:val="TextBody"/>
        <w:bidi w:val="0"/>
        <w:spacing w:before="240" w:after="0"/>
        <w:jc w:val="left"/>
        <w:rPr>
          <w:rFonts w:ascii="Times New Roman" w:hAnsi="Times New Roman"/>
          <w:sz w:val="20"/>
        </w:rPr>
      </w:pPr>
      <w:r>
        <w:rPr>
          <w:rFonts w:ascii="Times New Roman" w:hAnsi="Times New Roman"/>
          <w:sz w:val="20"/>
        </w:rPr>
        <w:t xml:space="preserve">On December 11, 2025, DXL, Divine Merger Sub I, Inc., a Delaware corporation and wholly owned direct subsidiary of DXL (the “merger subsidiary”), and FBB Holdings I, Inc., a Delaware corporation (“FBB”), entered into an Agreement and Plan of Merger (the “merger agreement”), pursuant to which the merger subsidiary would merge with and into FBB, with FBB continuing as the surviving corporation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If the merger is consummated, DXL would continue to operate under the same name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DXL (the “DXL Board”) has continued to evaluate the merger, including in light of developments since the execution of the merger agreement.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Notwithstanding this determination, the DXL Board is contractually obligated under the merger agreement to submit the issuance proposal to DXL stockholders for approval.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special meeting, DXL will ask its stockholders to consider and vote on the following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Second Amended and Restated 2016 Incentive Compensation Plan (the “2016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 certain of DXL stockholders, including the directors and chief financial officer of DXL, who in the aggregate own approximately [●]% of the shares of DXL common stock outstanding as of the record date, are parties to voting agreements with FBB, whereby such stockholders agreed to vote their shares in favor of the approval of each of proposals 1, 2 and 4, subject to the terms therein.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2025, the DXL Board unanimously approved the merger agreement and determined that it was fair to, and in the best interests of, DXL and its stockholders as of the date of its approval. </w:t>
      </w:r>
      <w:r>
        <w:rPr>
          <w:rFonts w:ascii="Times New Roman" w:hAnsi="Times New Roman"/>
          <w:b/>
          <w:sz w:val="20"/>
        </w:rPr>
        <w:t>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Accordingly, the DXL Board unanimously recommends that DXL stockholders vote (i) “AGAINST” the issuance proposal, (ii) “FOR” the reverse stock split proposal,</w:t>
      </w:r>
      <w:r>
        <w:rPr>
          <w:rFonts w:ascii="Times New Roman" w:hAnsi="Times New Roman"/>
          <w:sz w:val="20"/>
        </w:rPr>
        <w:t xml:space="preserve"> </w:t>
      </w:r>
      <w:r>
        <w:rPr>
          <w:rFonts w:ascii="Times New Roman" w:hAnsi="Times New Roman"/>
          <w:b/>
          <w:sz w:val="20"/>
        </w:rPr>
        <w:t xml:space="preserve">(iii)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of the combined company that have been provided by FBB or its representatives and reflect FBB’s views. The DXL Board has continued to evaluate the merger, including in light of developments since the execution of the merger agreement.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As a result, certain statements identified in this proxy statement as coming from FBB regarding the anticipated benefits of the merger, the outlook for the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combined company or the strategic rationale for the transaction may differ from, or be inconsistent with, the current views of the DXL Board. 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 Related to the Merger</w:t>
      </w:r>
      <w:r>
        <w:rPr>
          <w:rFonts w:ascii="Times New Roman" w:hAnsi="Times New Roman"/>
          <w:sz w:val="20"/>
        </w:rPr>
        <w:t xml:space="preserve">,” in determining how to vote on the proposals. </w:t>
      </w:r>
    </w:p>
    <w:p>
      <w:pPr>
        <w:pStyle w:val="TextBody"/>
        <w:bidi w:val="0"/>
        <w:spacing w:before="240" w:after="0"/>
        <w:jc w:val="left"/>
        <w:rPr>
          <w:rFonts w:ascii="Times New Roman" w:hAnsi="Times New Roman"/>
          <w:sz w:val="20"/>
        </w:rPr>
      </w:pPr>
      <w:r>
        <w:rPr>
          <w:rFonts w:ascii="Times New Roman" w:hAnsi="Times New Roman"/>
          <w:sz w:val="20"/>
        </w:rPr>
        <w:t xml:space="preserve">Shares of DXL common stock are currently listed on The Nasdaq Global Market under the symbol “DXLG”. If the merger is consummated, it is expected that DXL common stock would trade on The Nasdaq Global Market under the symbol “DXLG”. More information about DXL, FBB and the proposed transactions is contained in the accompanying proxy statement. </w:t>
      </w:r>
    </w:p>
    <w:p>
      <w:pPr>
        <w:pStyle w:val="TextBody"/>
        <w:bidi w:val="0"/>
        <w:spacing w:before="240" w:after="0"/>
        <w:jc w:val="left"/>
        <w:rPr/>
      </w:pPr>
      <w:r>
        <w:rPr>
          <w:rFonts w:ascii="Times New Roman" w:hAnsi="Times New Roman"/>
          <w:sz w:val="20"/>
        </w:rPr>
        <w:t>DXL URGES YOU TO READ THE PROXY STATEMENT CAREFULLY AND IN ITS ENTIRETY. IN PARTICULAR, YOU SHOULD CAREFULLY CONSIDER THE MATTERS DISCUSSED UNDER “</w:t>
      </w:r>
      <w:hyperlink w:anchor="tx76201_5">
        <w:r>
          <w:rPr>
            <w:rStyle w:val="InternetLink"/>
            <w:rFonts w:ascii="Times New Roman" w:hAnsi="Times New Roman"/>
            <w:sz w:val="20"/>
          </w:rPr>
          <w:t>RISK FACTORS</w:t>
        </w:r>
      </w:hyperlink>
      <w:r>
        <w:rPr>
          <w:rFonts w:ascii="Times New Roman" w:hAnsi="Times New Roman"/>
          <w:sz w:val="20"/>
        </w:rPr>
        <w:t xml:space="preserve">” BEGINNING ON PAGE 28. </w:t>
      </w:r>
    </w:p>
    <w:p>
      <w:pPr>
        <w:pStyle w:val="TextBody"/>
        <w:bidi w:val="0"/>
        <w:spacing w:before="240" w:after="0"/>
        <w:jc w:val="left"/>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expect to attend the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appreciates your careful consideration of these important matters and encourages you to vote your shares.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283"/>
              <w:jc w:val="left"/>
              <w:rPr/>
            </w:pPr>
            <w:r>
              <w:rPr/>
              <w:t>Lionel F. Conacher</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Harvey S. Kanter</w:t>
            </w:r>
          </w:p>
        </w:tc>
      </w:tr>
      <w:tr>
        <w:trPr/>
        <w:tc>
          <w:tcPr>
            <w:tcW w:w="5205" w:type="dxa"/>
            <w:tcBorders/>
          </w:tcPr>
          <w:p>
            <w:pPr>
              <w:pStyle w:val="TableContents"/>
              <w:bidi w:val="0"/>
              <w:spacing w:before="0" w:after="283"/>
              <w:jc w:val="left"/>
              <w:rPr/>
            </w:pPr>
            <w:r>
              <w:rPr/>
              <w:t>Chairman of the DXL Board</w:t>
            </w:r>
          </w:p>
        </w:tc>
        <w:tc>
          <w:tcPr>
            <w:tcW w:w="203"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President and Chief Executive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the merger described in this proxy statement or the DXL common stock to be issued in connection with the merger or determined if this proxy statement is accurate or adequate.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is dated  , 2026 and is first being mailed to stockholders on or about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DATED JULY 17, 2026—SUBJECT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sz w:val="20"/>
        </w:rPr>
      </w:pPr>
      <w:r>
        <w:rPr>
          <w:rFonts w:ascii="Times New Roman" w:hAnsi="Times New Roman"/>
          <w:b/>
          <w:sz w:val="20"/>
        </w:rPr>
        <w:t>NOTICE OF SPECIAL MEETING OF STOCKHOLDERS TO BE HELD ON [</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Notice is hereby given that a special meeting of stockholders of Destination XL Group, Inc. (“DXL”)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the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 the affirmative vote of a majority of the votes cast by DXL stockholders at the special meeting. 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Board of Directors of DXL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proposals are more fully described in the proxy statement following this notice.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withdrawn its prior recommendation in favor of the merger and the issuance proposal and now recommends that you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has fixed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the stockholders entitled to notice of, and to vote at, the special meeting. Accordingly, only stockholders of record at the close of business on that date will be entitled to vote at the special meeting. A list of the stockholders of record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will be available for inspection by any of our stockholders for any purpose germane to the special meeting during normal business hours at our principal executive offices, 555 Turnpike Street, Canton, Massachusetts 02021, beginning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and at the special meeting. Stockholders are invited to attend the special meeting in person. Regardless of whether you plan to attend the special meeting, please mark, date, sign and return the enclosed proxy to ensure that your shares are represented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Robert S. Molloy </w:t>
      </w:r>
    </w:p>
    <w:p>
      <w:pPr>
        <w:pStyle w:val="TextBody"/>
        <w:bidi w:val="0"/>
        <w:spacing w:before="0" w:after="0"/>
        <w:jc w:val="left"/>
        <w:rPr>
          <w:rFonts w:ascii="Times New Roman" w:hAnsi="Times New Roman"/>
          <w:sz w:val="20"/>
        </w:rPr>
      </w:pPr>
      <w:r>
        <w:rPr>
          <w:rFonts w:ascii="Times New Roman" w:hAnsi="Times New Roman"/>
          <w:sz w:val="20"/>
        </w:rPr>
        <w:t xml:space="preserve">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rFonts w:ascii="Times New Roman" w:hAnsi="Times New Roman"/>
          <w:sz w:val="20"/>
        </w:rPr>
      </w:pPr>
      <w:r>
        <w:rPr>
          <w:rFonts w:ascii="Times New Roman" w:hAnsi="Times New Roman"/>
          <w:sz w:val="20"/>
        </w:rPr>
        <w:t xml:space="preserve">Canton, Massachusetts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9"/>
        <w:gridCol w:w="124"/>
        <w:gridCol w:w="70"/>
        <w:gridCol w:w="450"/>
        <w:gridCol w:w="62"/>
      </w:tblGrid>
      <w:tr>
        <w:trPr/>
        <w:tc>
          <w:tcPr>
            <w:tcW w:w="949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499" w:type="dxa"/>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tcBorders/>
            <w:vAlign w:val="bottom"/>
          </w:tcPr>
          <w:p>
            <w:pPr>
              <w:pStyle w:val="TableContents"/>
              <w:bidi w:val="0"/>
              <w:spacing w:before="0" w:after="0"/>
              <w:jc w:val="left"/>
              <w:rPr/>
            </w:pPr>
            <w:hyperlink w:anchor="tx76201_1">
              <w:r>
                <w:rPr>
                  <w:rStyle w:val="InternetLink"/>
                  <w:rFonts w:ascii="Times New Roman" w:hAnsi="Times New Roman"/>
                  <w:sz w:val="20"/>
                </w:rPr>
                <w:t>QUESTIONS AND ANSWERS ABOUT THE SPECIAL MEETING AND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
              <w:r>
                <w:rPr>
                  <w:rStyle w:val="InternetLink"/>
                  <w:rFonts w:ascii="Times New Roman" w:hAnsi="Times New Roman"/>
                  <w:sz w:val="20"/>
                </w:rPr>
                <w:t xml:space="preserve">SUMMARY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
              <w:r>
                <w:rPr>
                  <w:rStyle w:val="InternetLink"/>
                  <w:rFonts w:ascii="Times New Roman" w:hAnsi="Times New Roman"/>
                  <w:sz w:val="20"/>
                </w:rPr>
                <w:t xml:space="preserve">MARKET PRICE AND DIVIDEND INFORMATION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4">
              <w:r>
                <w:rPr>
                  <w:rStyle w:val="InternetLink"/>
                  <w:rFonts w:ascii="Times New Roman" w:hAnsi="Times New Roman"/>
                  <w:sz w:val="20"/>
                </w:rPr>
                <w:t xml:space="preserve">CAUTIONARY STATEMENT REGARDING FORWARD-LOOKING STATEMENTS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5">
              <w:r>
                <w:rPr>
                  <w:rStyle w:val="InternetLink"/>
                  <w:rFonts w:ascii="Times New Roman" w:hAnsi="Times New Roman"/>
                  <w:sz w:val="20"/>
                </w:rPr>
                <w:t xml:space="preserve">RISK FACTORS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6">
              <w:r>
                <w:rPr>
                  <w:rStyle w:val="InternetLink"/>
                  <w:rFonts w:ascii="Times New Roman" w:hAnsi="Times New Roman"/>
                  <w:sz w:val="20"/>
                </w:rPr>
                <w:t>Risks Related to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7">
              <w:r>
                <w:rPr>
                  <w:rStyle w:val="InternetLink"/>
                  <w:rFonts w:ascii="Times New Roman" w:hAnsi="Times New Roman"/>
                  <w:sz w:val="20"/>
                </w:rPr>
                <w:t>Risks Related to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8">
              <w:r>
                <w:rPr>
                  <w:rStyle w:val="InternetLink"/>
                  <w:rFonts w:ascii="Times New Roman" w:hAnsi="Times New Roman"/>
                  <w:sz w:val="20"/>
                </w:rPr>
                <w:t>Risks Related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9">
              <w:r>
                <w:rPr>
                  <w:rStyle w:val="InternetLink"/>
                  <w:rFonts w:ascii="Times New Roman" w:hAnsi="Times New Roman"/>
                  <w:sz w:val="20"/>
                </w:rPr>
                <w:t>Risks Related to FBB</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0">
              <w:r>
                <w:rPr>
                  <w:rStyle w:val="InternetLink"/>
                  <w:rFonts w:ascii="Times New Roman" w:hAnsi="Times New Roman"/>
                  <w:sz w:val="20"/>
                </w:rPr>
                <w:t>Risks Related to the Combined Company</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57</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11">
              <w:r>
                <w:rPr>
                  <w:rStyle w:val="InternetLink"/>
                  <w:rFonts w:ascii="Times New Roman" w:hAnsi="Times New Roman"/>
                  <w:sz w:val="20"/>
                </w:rPr>
                <w:t xml:space="preserve">THE MERGER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2">
              <w:r>
                <w:rPr>
                  <w:rStyle w:val="InternetLink"/>
                  <w:rFonts w:ascii="Times New Roman" w:hAnsi="Times New Roman"/>
                  <w:sz w:val="20"/>
                </w:rPr>
                <w:t>Terms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3">
              <w:r>
                <w:rPr>
                  <w:rStyle w:val="InternetLink"/>
                  <w:rFonts w:ascii="Times New Roman" w:hAnsi="Times New Roman"/>
                  <w:sz w:val="20"/>
                </w:rPr>
                <w:t>Prior Approval and Continued Evaluation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4">
              <w:r>
                <w:rPr>
                  <w:rStyle w:val="InternetLink"/>
                  <w:rFonts w:ascii="Times New Roman" w:hAnsi="Times New Roman"/>
                  <w:sz w:val="20"/>
                </w:rPr>
                <w:t>Effect on DXL if the Merger is Not Completed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5">
              <w:r>
                <w:rPr>
                  <w:rStyle w:val="InternetLink"/>
                  <w:rFonts w:ascii="Times New Roman" w:hAnsi="Times New Roman"/>
                  <w:sz w:val="20"/>
                </w:rPr>
                <w:t>Background of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6">
              <w:r>
                <w:rPr>
                  <w:rStyle w:val="InternetLink"/>
                  <w:rFonts w:ascii="Times New Roman" w:hAnsi="Times New Roman"/>
                  <w:sz w:val="20"/>
                </w:rPr>
                <w:t>DXL’s Reasons for Recommending Against the Issuance Proposal; Updated Recommendation of the DXL Board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
              <w:r>
                <w:rPr>
                  <w:rStyle w:val="InternetLink"/>
                  <w:rFonts w:ascii="Times New Roman" w:hAnsi="Times New Roman"/>
                  <w:sz w:val="20"/>
                </w:rPr>
                <w:t>December 2025 Opinion of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7a">
              <w:r>
                <w:rPr>
                  <w:rStyle w:val="InternetLink"/>
                  <w:rFonts w:ascii="Times New Roman" w:hAnsi="Times New Roman"/>
                  <w:sz w:val="20"/>
                </w:rPr>
                <w:t>May 2026 Supplemental Financial Analyses Prepared by Guggenheim Securities, Financial Advisor to DXL</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8">
              <w:r>
                <w:rPr>
                  <w:rStyle w:val="InternetLink"/>
                  <w:rFonts w:ascii="Times New Roman" w:hAnsi="Times New Roman"/>
                  <w:sz w:val="20"/>
                </w:rPr>
                <w:t>Certain Financial Projections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19">
              <w:r>
                <w:rPr>
                  <w:rStyle w:val="InternetLink"/>
                  <w:rFonts w:ascii="Times New Roman" w:hAnsi="Times New Roman"/>
                  <w:sz w:val="20"/>
                </w:rPr>
                <w:t>Interests of DXL’s Directors and Executive Officers in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0">
              <w:r>
                <w:rPr>
                  <w:rStyle w:val="InternetLink"/>
                  <w:rFonts w:ascii="Times New Roman" w:hAnsi="Times New Roman"/>
                  <w:sz w:val="20"/>
                </w:rPr>
                <w:t>Accounting Treatment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1">
              <w:r>
                <w:rPr>
                  <w:rStyle w:val="InternetLink"/>
                  <w:rFonts w:ascii="Times New Roman" w:hAnsi="Times New Roman"/>
                  <w:sz w:val="20"/>
                </w:rPr>
                <w:t>Federal Securities Law Consequences; Resale Restrictions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2">
              <w:r>
                <w:rPr>
                  <w:rStyle w:val="InternetLink"/>
                  <w:rFonts w:ascii="Times New Roman" w:hAnsi="Times New Roman"/>
                  <w:sz w:val="20"/>
                </w:rPr>
                <w:t>Material U.S. Federal Income Tax Consequences of the Merger and the Reverse Stock Split</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23">
              <w:r>
                <w:rPr>
                  <w:rStyle w:val="InternetLink"/>
                  <w:rFonts w:ascii="Times New Roman" w:hAnsi="Times New Roman"/>
                  <w:sz w:val="20"/>
                </w:rPr>
                <w:t xml:space="preserve">THE SPECIAL MEETING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4">
              <w:r>
                <w:rPr>
                  <w:rStyle w:val="InternetLink"/>
                  <w:rFonts w:ascii="Times New Roman" w:hAnsi="Times New Roman"/>
                  <w:sz w:val="20"/>
                </w:rPr>
                <w:t>Date, Time and Place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5">
              <w:r>
                <w:rPr>
                  <w:rStyle w:val="InternetLink"/>
                  <w:rFonts w:ascii="Times New Roman" w:hAnsi="Times New Roman"/>
                  <w:sz w:val="20"/>
                </w:rPr>
                <w:t>Purpose of the Special Meeting</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6">
              <w:r>
                <w:rPr>
                  <w:rStyle w:val="InternetLink"/>
                  <w:rFonts w:ascii="Times New Roman" w:hAnsi="Times New Roman"/>
                  <w:sz w:val="20"/>
                </w:rPr>
                <w:t>Record Date; Shares Outstanding and Entitled to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7">
              <w:r>
                <w:rPr>
                  <w:rStyle w:val="InternetLink"/>
                  <w:rFonts w:ascii="Times New Roman" w:hAnsi="Times New Roman"/>
                  <w:sz w:val="20"/>
                </w:rPr>
                <w:t>Quorum</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8">
              <w:r>
                <w:rPr>
                  <w:rStyle w:val="InternetLink"/>
                  <w:rFonts w:ascii="Times New Roman" w:hAnsi="Times New Roman"/>
                  <w:sz w:val="20"/>
                </w:rPr>
                <w:t>How to Vote Your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29">
              <w:r>
                <w:rPr>
                  <w:rStyle w:val="InternetLink"/>
                  <w:rFonts w:ascii="Times New Roman" w:hAnsi="Times New Roman"/>
                  <w:sz w:val="20"/>
                </w:rPr>
                <w:t>How to Change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0">
              <w:r>
                <w:rPr>
                  <w:rStyle w:val="InternetLink"/>
                  <w:rFonts w:ascii="Times New Roman" w:hAnsi="Times New Roman"/>
                  <w:sz w:val="20"/>
                </w:rPr>
                <w:t>Proxies; Counting Your Vote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1">
              <w:r>
                <w:rPr>
                  <w:rStyle w:val="InternetLink"/>
                  <w:rFonts w:ascii="Times New Roman" w:hAnsi="Times New Roman"/>
                  <w:sz w:val="20"/>
                </w:rPr>
                <w:t>Appraisal Rights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119</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2">
              <w:r>
                <w:rPr>
                  <w:rStyle w:val="InternetLink"/>
                  <w:rFonts w:ascii="Times New Roman" w:hAnsi="Times New Roman"/>
                  <w:sz w:val="20"/>
                </w:rPr>
                <w:t>Voting by DXL’s Directors and Certain Stockholders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3">
              <w:r>
                <w:rPr>
                  <w:rStyle w:val="InternetLink"/>
                  <w:rFonts w:ascii="Times New Roman" w:hAnsi="Times New Roman"/>
                  <w:sz w:val="20"/>
                </w:rPr>
                <w:t>Solicitation of Proxies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c>
          <w:tcPr>
            <w:tcW w:w="9499" w:type="dxa"/>
            <w:tcBorders/>
            <w:vAlign w:val="bottom"/>
          </w:tcPr>
          <w:p>
            <w:pPr>
              <w:pStyle w:val="TableContents"/>
              <w:bidi w:val="0"/>
              <w:spacing w:before="0" w:after="0"/>
              <w:jc w:val="left"/>
              <w:rPr/>
            </w:pPr>
            <w:hyperlink w:anchor="tx76201_34">
              <w:r>
                <w:rPr>
                  <w:rStyle w:val="InternetLink"/>
                  <w:rFonts w:ascii="Times New Roman" w:hAnsi="Times New Roman"/>
                  <w:sz w:val="20"/>
                </w:rPr>
                <w:t xml:space="preserve">THE MERGER AGREEMENT </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5">
              <w:r>
                <w:rPr>
                  <w:rStyle w:val="InternetLink"/>
                  <w:rFonts w:ascii="Times New Roman" w:hAnsi="Times New Roman"/>
                  <w:sz w:val="20"/>
                </w:rPr>
                <w:t>Structure of the Business Combination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6">
              <w:r>
                <w:rPr>
                  <w:rStyle w:val="InternetLink"/>
                  <w:rFonts w:ascii="Times New Roman" w:hAnsi="Times New Roman"/>
                  <w:sz w:val="20"/>
                </w:rPr>
                <w:t>Effects of the Merger; Certificate of Incorporation; By-Laws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7">
              <w:r>
                <w:rPr>
                  <w:rStyle w:val="InternetLink"/>
                  <w:rFonts w:ascii="Times New Roman" w:hAnsi="Times New Roman"/>
                  <w:sz w:val="20"/>
                </w:rPr>
                <w:t>Directors and Executive Officers of the Combined Company Following the Merger</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8">
              <w:r>
                <w:rPr>
                  <w:rStyle w:val="InternetLink"/>
                  <w:rFonts w:ascii="Times New Roman" w:hAnsi="Times New Roman"/>
                  <w:sz w:val="20"/>
                </w:rPr>
                <w:t>Closing of the Merger; Effective Time</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39">
              <w:r>
                <w:rPr>
                  <w:rStyle w:val="InternetLink"/>
                  <w:rFonts w:ascii="Times New Roman" w:hAnsi="Times New Roman"/>
                  <w:sz w:val="20"/>
                </w:rPr>
                <w:t>Merger Consideration</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0">
              <w:r>
                <w:rPr>
                  <w:rStyle w:val="InternetLink"/>
                  <w:rFonts w:ascii="Times New Roman" w:hAnsi="Times New Roman"/>
                  <w:sz w:val="20"/>
                </w:rPr>
                <w:t>Exchange Ratio</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1">
              <w:r>
                <w:rPr>
                  <w:rStyle w:val="InternetLink"/>
                  <w:rFonts w:ascii="Times New Roman" w:hAnsi="Times New Roman"/>
                  <w:sz w:val="20"/>
                </w:rPr>
                <w:t>Treatment of Unaccredited Investor Shares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2">
              <w:r>
                <w:rPr>
                  <w:rStyle w:val="InternetLink"/>
                  <w:rFonts w:ascii="Times New Roman" w:hAnsi="Times New Roman"/>
                  <w:sz w:val="20"/>
                </w:rPr>
                <w:t>Treatment of FBB Equity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3">
              <w:r>
                <w:rPr>
                  <w:rStyle w:val="InternetLink"/>
                  <w:rFonts w:ascii="Times New Roman" w:hAnsi="Times New Roman"/>
                  <w:sz w:val="20"/>
                </w:rPr>
                <w:t>Treatment of DXL Equity and Performance-Based Awards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4">
              <w:r>
                <w:rPr>
                  <w:rStyle w:val="InternetLink"/>
                  <w:rFonts w:ascii="Times New Roman" w:hAnsi="Times New Roman"/>
                  <w:sz w:val="20"/>
                </w:rPr>
                <w:t>Exchange and Payment Procedures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5">
              <w:r>
                <w:rPr>
                  <w:rStyle w:val="InternetLink"/>
                  <w:rFonts w:ascii="Times New Roman" w:hAnsi="Times New Roman"/>
                  <w:sz w:val="20"/>
                </w:rPr>
                <w:t>Termination of Exchange Fund</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124</w:t>
            </w:r>
          </w:p>
        </w:tc>
        <w:tc>
          <w:tcPr>
            <w:tcW w:w="62" w:type="dxa"/>
            <w:tcBorders/>
            <w:vAlign w:val="bottom"/>
          </w:tcPr>
          <w:p>
            <w:pPr>
              <w:pStyle w:val="TableContents"/>
              <w:bidi w:val="0"/>
              <w:spacing w:before="0" w:after="283"/>
              <w:jc w:val="left"/>
              <w:rPr/>
            </w:pPr>
            <w:r>
              <w:rPr/>
              <w:t> </w:t>
            </w:r>
          </w:p>
        </w:tc>
      </w:tr>
      <w:tr>
        <w:trPr/>
        <w:tc>
          <w:tcPr>
            <w:tcW w:w="9499" w:type="dxa"/>
            <w:tcBorders/>
          </w:tcPr>
          <w:p>
            <w:pPr>
              <w:pStyle w:val="TableContents"/>
              <w:bidi w:val="0"/>
              <w:spacing w:before="0" w:after="0"/>
              <w:jc w:val="left"/>
              <w:rPr/>
            </w:pPr>
            <w:hyperlink w:anchor="tx76201_46">
              <w:r>
                <w:rPr>
                  <w:rStyle w:val="InternetLink"/>
                  <w:rFonts w:ascii="Times New Roman" w:hAnsi="Times New Roman"/>
                  <w:sz w:val="20"/>
                </w:rPr>
                <w:t>Lost, Stolen or Destroyed Certificates</w:t>
              </w:r>
            </w:hyperlink>
          </w:p>
        </w:tc>
        <w:tc>
          <w:tcPr>
            <w:tcW w:w="12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right"/>
              <w:rPr/>
            </w:pPr>
            <w:r>
              <w:rPr/>
              <w:t>124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02"/>
        <w:gridCol w:w="125"/>
        <w:gridCol w:w="67"/>
        <w:gridCol w:w="449"/>
        <w:gridCol w:w="62"/>
      </w:tblGrid>
      <w:tr>
        <w:trPr/>
        <w:tc>
          <w:tcPr>
            <w:tcW w:w="950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7">
              <w:r>
                <w:rPr>
                  <w:rStyle w:val="InternetLink"/>
                  <w:rFonts w:ascii="Times New Roman" w:hAnsi="Times New Roman"/>
                  <w:sz w:val="20"/>
                </w:rPr>
                <w:t>Representations and Warranties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8">
              <w:r>
                <w:rPr>
                  <w:rStyle w:val="InternetLink"/>
                  <w:rFonts w:ascii="Times New Roman" w:hAnsi="Times New Roman"/>
                  <w:sz w:val="20"/>
                </w:rPr>
                <w:t>Conduct of Business Pending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49">
              <w:r>
                <w:rPr>
                  <w:rStyle w:val="InternetLink"/>
                  <w:rFonts w:ascii="Times New Roman" w:hAnsi="Times New Roman"/>
                  <w:sz w:val="20"/>
                </w:rPr>
                <w:t>Required Stockholder Vote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0">
              <w:r>
                <w:rPr>
                  <w:rStyle w:val="InternetLink"/>
                  <w:rFonts w:ascii="Times New Roman" w:hAnsi="Times New Roman"/>
                  <w:sz w:val="20"/>
                </w:rPr>
                <w:t>Board Recommendation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1">
              <w:r>
                <w:rPr>
                  <w:rStyle w:val="InternetLink"/>
                  <w:rFonts w:ascii="Times New Roman" w:hAnsi="Times New Roman"/>
                  <w:sz w:val="20"/>
                </w:rPr>
                <w:t>Non-Solicitation of Acquisition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128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2">
              <w:r>
                <w:rPr>
                  <w:rStyle w:val="InternetLink"/>
                  <w:rFonts w:ascii="Times New Roman" w:hAnsi="Times New Roman"/>
                  <w:sz w:val="20"/>
                </w:rPr>
                <w:t>Employee Benefits Matters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3">
              <w:r>
                <w:rPr>
                  <w:rStyle w:val="InternetLink"/>
                  <w:rFonts w:ascii="Times New Roman" w:hAnsi="Times New Roman"/>
                  <w:sz w:val="20"/>
                </w:rPr>
                <w:t>Directors’ and Officers’ Indemnification and Insurance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4">
              <w:r>
                <w:rPr>
                  <w:rStyle w:val="InternetLink"/>
                  <w:rFonts w:ascii="Times New Roman" w:hAnsi="Times New Roman"/>
                  <w:sz w:val="20"/>
                </w:rPr>
                <w:t>Financing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133</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5">
              <w:r>
                <w:rPr>
                  <w:rStyle w:val="InternetLink"/>
                  <w:rFonts w:ascii="Times New Roman" w:hAnsi="Times New Roman"/>
                  <w:sz w:val="20"/>
                </w:rPr>
                <w:t>Nasdaq Listing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6">
              <w:r>
                <w:rPr>
                  <w:rStyle w:val="InternetLink"/>
                  <w:rFonts w:ascii="Times New Roman" w:hAnsi="Times New Roman"/>
                  <w:sz w:val="20"/>
                </w:rPr>
                <w:t>Conditions to the Closing of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7">
              <w:r>
                <w:rPr>
                  <w:rStyle w:val="InternetLink"/>
                  <w:rFonts w:ascii="Times New Roman" w:hAnsi="Times New Roman"/>
                  <w:sz w:val="20"/>
                </w:rPr>
                <w:t>Termination of the Merger Agreement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135</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8">
              <w:r>
                <w:rPr>
                  <w:rStyle w:val="InternetLink"/>
                  <w:rFonts w:ascii="Times New Roman" w:hAnsi="Times New Roman"/>
                  <w:sz w:val="20"/>
                </w:rPr>
                <w:t>Termination Fee; Expense Reimbursement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136</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59">
              <w:r>
                <w:rPr>
                  <w:rStyle w:val="InternetLink"/>
                  <w:rFonts w:ascii="Times New Roman" w:hAnsi="Times New Roman"/>
                  <w:sz w:val="20"/>
                </w:rPr>
                <w:t>Amendments; Extensions; Waivers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0">
              <w:r>
                <w:rPr>
                  <w:rStyle w:val="InternetLink"/>
                  <w:rFonts w:ascii="Times New Roman" w:hAnsi="Times New Roman"/>
                  <w:sz w:val="20"/>
                </w:rPr>
                <w:t>Assignment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1">
              <w:r>
                <w:rPr>
                  <w:rStyle w:val="InternetLink"/>
                  <w:rFonts w:ascii="Times New Roman" w:hAnsi="Times New Roman"/>
                  <w:sz w:val="20"/>
                </w:rPr>
                <w:t>Entire Agreement; No Third-Party Beneficiaries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2">
              <w:r>
                <w:rPr>
                  <w:rStyle w:val="InternetLink"/>
                  <w:rFonts w:ascii="Times New Roman" w:hAnsi="Times New Roman"/>
                  <w:sz w:val="20"/>
                </w:rPr>
                <w:t>Expenses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3">
              <w:r>
                <w:rPr>
                  <w:rStyle w:val="InternetLink"/>
                  <w:rFonts w:ascii="Times New Roman" w:hAnsi="Times New Roman"/>
                  <w:sz w:val="20"/>
                </w:rPr>
                <w:t>Specific Performance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4">
              <w:r>
                <w:rPr>
                  <w:rStyle w:val="InternetLink"/>
                  <w:rFonts w:ascii="Times New Roman" w:hAnsi="Times New Roman"/>
                  <w:sz w:val="20"/>
                </w:rPr>
                <w:t>Governing Law and Jurisdiction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5">
              <w:r>
                <w:rPr>
                  <w:rStyle w:val="InternetLink"/>
                  <w:rFonts w:ascii="Times New Roman" w:hAnsi="Times New Roman"/>
                  <w:sz w:val="20"/>
                </w:rPr>
                <w:t xml:space="preserve">AGREEMENTS RELATED TO THE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6">
              <w:r>
                <w:rPr>
                  <w:rStyle w:val="InternetLink"/>
                  <w:rFonts w:ascii="Times New Roman" w:hAnsi="Times New Roman"/>
                  <w:sz w:val="20"/>
                </w:rPr>
                <w:t>Voting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7">
              <w:r>
                <w:rPr>
                  <w:rStyle w:val="InternetLink"/>
                  <w:rFonts w:ascii="Times New Roman" w:hAnsi="Times New Roman"/>
                  <w:sz w:val="20"/>
                </w:rPr>
                <w:t>Lock-Up Agreements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502" w:type="dxa"/>
            <w:tcBorders/>
          </w:tcPr>
          <w:p>
            <w:pPr>
              <w:pStyle w:val="TableContents"/>
              <w:bidi w:val="0"/>
              <w:spacing w:before="0" w:after="0"/>
              <w:jc w:val="left"/>
              <w:rPr/>
            </w:pPr>
            <w:hyperlink w:anchor="tx76201_68">
              <w:r>
                <w:rPr>
                  <w:rStyle w:val="InternetLink"/>
                  <w:rFonts w:ascii="Times New Roman" w:hAnsi="Times New Roman"/>
                  <w:sz w:val="20"/>
                </w:rPr>
                <w:t>Private Placement</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69">
              <w:r>
                <w:rPr>
                  <w:rStyle w:val="InternetLink"/>
                  <w:rFonts w:ascii="Times New Roman" w:hAnsi="Times New Roman"/>
                  <w:sz w:val="20"/>
                </w:rPr>
                <w:t>PROPOSAL 1: ISSUANCE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0">
              <w:r>
                <w:rPr>
                  <w:rStyle w:val="InternetLink"/>
                  <w:rFonts w:ascii="Times New Roman" w:hAnsi="Times New Roman"/>
                  <w:sz w:val="20"/>
                </w:rPr>
                <w:t>PROPOSAL 2: REVERSE STOCK SPLIT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1">
              <w:r>
                <w:rPr>
                  <w:rStyle w:val="InternetLink"/>
                  <w:rFonts w:ascii="Times New Roman" w:hAnsi="Times New Roman"/>
                  <w:sz w:val="20"/>
                </w:rPr>
                <w:t>PROPOSAL 3: 2016 PLAN PROPOSAL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2">
              <w:r>
                <w:rPr>
                  <w:rStyle w:val="InternetLink"/>
                  <w:rFonts w:ascii="Times New Roman" w:hAnsi="Times New Roman"/>
                  <w:sz w:val="20"/>
                </w:rPr>
                <w:t xml:space="preserve">PROPOSAL 4: ADJOURNMENT PROPOSAL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3">
              <w:r>
                <w:rPr>
                  <w:rStyle w:val="InternetLink"/>
                  <w:rFonts w:ascii="Times New Roman" w:hAnsi="Times New Roman"/>
                  <w:sz w:val="20"/>
                </w:rPr>
                <w:t>DXL’S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4">
              <w:r>
                <w:rPr>
                  <w:rStyle w:val="InternetLink"/>
                  <w:rFonts w:ascii="Times New Roman" w:hAnsi="Times New Roman"/>
                  <w:sz w:val="20"/>
                </w:rPr>
                <w:t>DXL’S EXECUTIVE COMPENSATION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5">
              <w:r>
                <w:rPr>
                  <w:rStyle w:val="InternetLink"/>
                  <w:rFonts w:ascii="Times New Roman" w:hAnsi="Times New Roman"/>
                  <w:sz w:val="20"/>
                </w:rPr>
                <w:t>FBB’S BUSINESS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6">
              <w:r>
                <w:rPr>
                  <w:rStyle w:val="InternetLink"/>
                  <w:rFonts w:ascii="Times New Roman" w:hAnsi="Times New Roman"/>
                  <w:sz w:val="20"/>
                </w:rPr>
                <w:t>DXL’S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7">
              <w:r>
                <w:rPr>
                  <w:rStyle w:val="InternetLink"/>
                  <w:rFonts w:ascii="Times New Roman" w:hAnsi="Times New Roman"/>
                  <w:sz w:val="20"/>
                </w:rPr>
                <w:t>QUANTITATIVE AND QUALITATIVE DISCLOSURES ABOUT DXL’S MARKET RISK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8">
              <w:r>
                <w:rPr>
                  <w:rStyle w:val="InternetLink"/>
                  <w:rFonts w:ascii="Times New Roman" w:hAnsi="Times New Roman"/>
                  <w:sz w:val="20"/>
                </w:rPr>
                <w:t>FBB’S MANAGEMENT’S DISCUSSION AND ANALYSIS OF FINANCIAL CONDITION AND RESULTS OF OPERATIONS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79">
              <w:r>
                <w:rPr>
                  <w:rStyle w:val="InternetLink"/>
                  <w:rFonts w:ascii="Times New Roman" w:hAnsi="Times New Roman"/>
                  <w:sz w:val="20"/>
                </w:rPr>
                <w:t>UNAUDITED PRO FORMA CONDENSED COMBINED FINANCIAL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200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0">
              <w:r>
                <w:rPr>
                  <w:rStyle w:val="InternetLink"/>
                  <w:rFonts w:ascii="Times New Roman" w:hAnsi="Times New Roman"/>
                  <w:sz w:val="20"/>
                </w:rPr>
                <w:t>DESCRIPTION OF DXL’S CAPITAL STOCK</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218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1">
              <w:r>
                <w:rPr>
                  <w:rStyle w:val="InternetLink"/>
                  <w:rFonts w:ascii="Times New Roman" w:hAnsi="Times New Roman"/>
                  <w:sz w:val="20"/>
                </w:rPr>
                <w:t>EXECUTIVE OFFICERS AND DIRECTORS FOLLOWING THE MERGER</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2">
              <w:r>
                <w:rPr>
                  <w:rStyle w:val="InternetLink"/>
                  <w:rFonts w:ascii="Times New Roman" w:hAnsi="Times New Roman"/>
                  <w:sz w:val="20"/>
                </w:rPr>
                <w:t>PRINCIPAL STOCKHOLDERS OF DXL</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226</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3">
              <w:r>
                <w:rPr>
                  <w:rStyle w:val="InternetLink"/>
                  <w:rFonts w:ascii="Times New Roman" w:hAnsi="Times New Roman"/>
                  <w:sz w:val="20"/>
                </w:rPr>
                <w:t>WHERE YOU CAN FIND ADDITIONAL INFORMATION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4">
              <w:r>
                <w:rPr>
                  <w:rStyle w:val="InternetLink"/>
                  <w:rFonts w:ascii="Times New Roman" w:hAnsi="Times New Roman"/>
                  <w:sz w:val="20"/>
                </w:rPr>
                <w:t>HOUSEHOLDING</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5">
              <w:r>
                <w:rPr>
                  <w:rStyle w:val="InternetLink"/>
                  <w:rFonts w:ascii="Times New Roman" w:hAnsi="Times New Roman"/>
                  <w:sz w:val="20"/>
                </w:rPr>
                <w:t>FUTURE STOCKHOLDER PROPOSALS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228</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6">
              <w:r>
                <w:rPr>
                  <w:rStyle w:val="InternetLink"/>
                  <w:rFonts w:ascii="Times New Roman" w:hAnsi="Times New Roman"/>
                  <w:sz w:val="20"/>
                </w:rPr>
                <w:t>INFORMATION INCORPORATED BY REFERENCE</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229</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7">
              <w:r>
                <w:rPr>
                  <w:rStyle w:val="InternetLink"/>
                  <w:rFonts w:ascii="Times New Roman" w:hAnsi="Times New Roman"/>
                  <w:sz w:val="20"/>
                </w:rPr>
                <w:t>MISCELLANEOUS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230</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8">
              <w:r>
                <w:rPr>
                  <w:rStyle w:val="InternetLink"/>
                  <w:rFonts w:ascii="Times New Roman" w:hAnsi="Times New Roman"/>
                  <w:sz w:val="20"/>
                </w:rPr>
                <w:t>FBB HOLDINGS I, INC. INDEX TO CONSOLIDATED FINANCIAL STATEMENTS</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89">
              <w:r>
                <w:rPr>
                  <w:rStyle w:val="InternetLink"/>
                  <w:rFonts w:ascii="Times New Roman" w:hAnsi="Times New Roman"/>
                  <w:sz w:val="20"/>
                </w:rPr>
                <w:t xml:space="preserve">ANNEX A: AGREEMENT AND PLAN OF MERGER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0">
              <w:r>
                <w:rPr>
                  <w:rStyle w:val="InternetLink"/>
                  <w:rFonts w:ascii="Times New Roman" w:hAnsi="Times New Roman"/>
                  <w:sz w:val="20"/>
                </w:rPr>
                <w:t>ANNEX B: GUGGENHEIM SECURITIES, LLC OPINION</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1">
              <w:r>
                <w:rPr>
                  <w:rStyle w:val="InternetLink"/>
                  <w:rFonts w:ascii="Times New Roman" w:hAnsi="Times New Roman"/>
                  <w:sz w:val="20"/>
                </w:rPr>
                <w:t xml:space="preserve">ANNEX C: PROPOSED CERTIFICATE OF AMENDMENT OF RESTATED CERTIFICATE OF INCORPORATION OF DESTINATION XL GROUP, INC.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r>
        <w:trPr/>
        <w:tc>
          <w:tcPr>
            <w:tcW w:w="9502" w:type="dxa"/>
            <w:tcBorders/>
            <w:vAlign w:val="bottom"/>
          </w:tcPr>
          <w:p>
            <w:pPr>
              <w:pStyle w:val="TableContents"/>
              <w:bidi w:val="0"/>
              <w:spacing w:before="0" w:after="0"/>
              <w:jc w:val="left"/>
              <w:rPr/>
            </w:pPr>
            <w:hyperlink w:anchor="tx76201_92">
              <w:r>
                <w:rPr>
                  <w:rStyle w:val="InternetLink"/>
                  <w:rFonts w:ascii="Times New Roman" w:hAnsi="Times New Roman"/>
                  <w:sz w:val="20"/>
                </w:rPr>
                <w:t xml:space="preserve">ANNEX D: PROPOSED AMENDMENT TO DESTINATION XL GROUP, INC. SECOND AMENDED AND RESTATED 2016 INCENTIVE COMPENSATION PLAN </w:t>
              </w:r>
            </w:hyperlink>
          </w:p>
        </w:tc>
        <w:tc>
          <w:tcPr>
            <w:tcW w:w="12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D-1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76201_1"/>
      <w:bookmarkEnd w:id="3"/>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sz w:val="20"/>
        </w:rPr>
      </w:pPr>
      <w:r>
        <w:rPr>
          <w:rFonts w:ascii="Times New Roman" w:hAnsi="Times New Roman"/>
          <w:sz w:val="20"/>
        </w:rPr>
        <w:t>The following section provides answers to frequently asked questions about the special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its annexes and the documents referred to or incorporated by reference in this proxy statement. You may obtain the information incorporated by reference into this proxy statement without charge by following the instructions under the section of this proxy statement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indicated, the following information and all other information contained in this proxy statement does not give effect to the reverse stock split described in Proposal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Destination XL Group, Inc., a Delaware corporation (“DXL”), Divine Merger Sub I, Inc., a Delaware corporation and wholly owned direct subsidiary of DXL (the “merger subsidiary”), and FBB Holdings I, Inc., a Delaware corporation (“FBB”), have entered into an Agreement and Plan of Merger, dated as of December 11, 2025 (the “merger agreement”), that contains the terms and conditions of the proposed business combination of DXL and FBB. Under the merger agreement, at the effective time of the merger, the merger subsidiary would merge with and into FBB, with FBB continuing as the surviving corporation as a wholly owned subsidiary of DXL (the “merger”). If the merger is consummated, DXL would continue to operate under the same name (the “combined company”). The combined company would be expected to trade on The Nasdaq Global Market under the ticker symbol “DXLG”.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performance stock unit award would be treated in accordance with its existing terms. </w:t>
      </w:r>
    </w:p>
    <w:p>
      <w:pPr>
        <w:pStyle w:val="TextBody"/>
        <w:bidi w:val="0"/>
        <w:spacing w:before="120" w:after="0"/>
        <w:jc w:val="left"/>
        <w:rPr>
          <w:rFonts w:ascii="Times New Roman" w:hAnsi="Times New Roman"/>
          <w:sz w:val="20"/>
        </w:rPr>
      </w:pPr>
      <w:r>
        <w:rPr>
          <w:rFonts w:ascii="Times New Roman" w:hAnsi="Times New Roman"/>
          <w:sz w:val="20"/>
        </w:rPr>
        <w:t xml:space="preserve">Each DXL performance-based award that is outstanding under the DXL long-term incentive plan (the “LTIP”) at the effective time of the merger, if the merger is consummated,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proxy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these proxy materials because you have been identified as a stockholder of DXL as of the record date, and thus you are entitled to vote at DXL’s special meeting of stockholders (the “special meeting”). This document contains important information about the merger and the special meeting and serves as a proxy statement of DXL used to solicit proxies for the special meeting. You should read it carefully and in its entirety. The enclosed materials allow you to have your shares of DXL common stock voted by proxy without attending the special meeting. Your vote is important, and DXL encourages you to submit your proxy as soon as possible, whether or not you intend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DXL submitting the issuance proposal for stockholder vote if the DXL Board recommends voting “AGAINST” the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DXL is submitting the issuance proposal for stockholder vote because DXL is contractually obligated to do so under the terms of the merger agreement. The merger agreement does not permit DXL to terminate the agreement solely as a result of a change in recommendation by the Board of Directors of DXL (the “DXL Board”), and, accordingly, DXL remains obligated to submit the issuance proposal to its stockholders for a vote and the merger agreement remains in effect unless and until terminated in accordance with its terms. By contrast, following a change in recommendation by the DXL Board, FBB has the right to terminate the merger agreement under specified circumstances, in which case DXL would be required to pay FBB a termination fee of $2.5 million and/or an out-of-pocket fees and expense reimbursement of up to $950,000. For more information, please see the section entitled “</w:t>
            </w:r>
            <w:r>
              <w:rPr>
                <w:rFonts w:ascii="Times New Roman" w:hAnsi="Times New Roman"/>
                <w:i/>
                <w:sz w:val="20"/>
              </w:rPr>
              <w:t>The Merger Agreement—Termination Fee; Expense Reimbursement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discussion in this proxy statement summarizes the considerations evaluated at the time the merger agreement was approved.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For a more complete discussion of the DXL Board’s current recommendation and the reasons for that determination, please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Does this proxy statement include different perspectives regarding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This proxy statement includes information regarding FBB, its business, financial condition and prospects, as well as statements regarding the potential strategic and financial benefits of the merger and the expected performance of the combined company. Certain information has been provided by FBB or its representatives and reflects the views, including assumptions, projections and judgments of FBB.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the increasingly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w:t>
      </w:r>
      <w:r>
        <w:rPr>
          <w:rFonts w:ascii="Times New Roman" w:hAnsi="Times New Roman"/>
          <w:b/>
          <w:sz w:val="20"/>
        </w:rPr>
        <w:t>Based on this evaluation, including these considerations,</w:t>
      </w:r>
      <w:r>
        <w:rPr>
          <w:rFonts w:ascii="Times New Roman" w:hAnsi="Times New Roman"/>
          <w:sz w:val="20"/>
        </w:rPr>
        <w:t xml:space="preserve"> </w:t>
      </w:r>
      <w:r>
        <w:rPr>
          <w:rFonts w:ascii="Times New Roman" w:hAnsi="Times New Roman"/>
          <w:b/>
          <w:sz w:val="20"/>
        </w:rPr>
        <w:t>the DXL Board has determined that the merger and the transactions contemplated by the merger agreement, including the issuance proposal, are no longer advisable and are not in the best interests of DXL and its stockholders.</w:t>
      </w:r>
      <w:r>
        <w:rPr>
          <w:rFonts w:ascii="Times New Roman" w:hAnsi="Times New Roman"/>
          <w:sz w:val="20"/>
        </w:rPr>
        <w:t xml:space="preserve"> As a result, certain statements identified in this proxy statement as having been made or provided by FBB or its representatives regarding the anticipated benefits of the merger, the outlook for the combined company or the strategic rationale for the transaction may differ from, or be inconsistent with, the current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120" w:after="0"/>
        <w:jc w:val="left"/>
        <w:rPr>
          <w:rFonts w:ascii="Times New Roman" w:hAnsi="Times New Roman"/>
          <w:sz w:val="20"/>
        </w:rPr>
      </w:pPr>
      <w:r>
        <w:rPr>
          <w:rFonts w:ascii="Times New Roman" w:hAnsi="Times New Roman"/>
          <w:sz w:val="20"/>
        </w:rPr>
        <w:t>Accordingly, stockholders are presented with differing perspectives in this proxy statement and are urged to carefully consider the DXL Board’s recommendation that stockholders vote “AGAINST” the issuance proposal, together with the other information contained in this proxy statement, including the risks described under “</w:t>
      </w:r>
      <w:r>
        <w:rPr>
          <w:rFonts w:ascii="Times New Roman" w:hAnsi="Times New Roman"/>
          <w:i/>
          <w:sz w:val="20"/>
        </w:rPr>
        <w:t>Risks</w:t>
      </w:r>
      <w:r>
        <w:rPr>
          <w:rFonts w:ascii="Times New Roman" w:hAnsi="Times New Roman"/>
          <w:sz w:val="20"/>
        </w:rPr>
        <w:t xml:space="preserve"> </w:t>
      </w:r>
      <w:r>
        <w:rPr>
          <w:rFonts w:ascii="Times New Roman" w:hAnsi="Times New Roman"/>
          <w:i/>
          <w:sz w:val="20"/>
        </w:rPr>
        <w:t>Related to the Merger</w:t>
      </w:r>
      <w:r>
        <w:rPr>
          <w:rFonts w:ascii="Times New Roman" w:hAnsi="Times New Roman"/>
          <w:sz w:val="20"/>
        </w:rPr>
        <w:t xml:space="preserve">,” in determining how to vote on the proposals. DXL stockholders should also not place undue reliance on forward-looking statements or projections regarding the combined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required to consummate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of the issuance proposal.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a standalone condition precedent,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is stockholder approval required for the issuance of shares of DXL common stock to existing stockholders of FBB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common stock is listed on The Nasdaq Global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case of the merger, the number of shares of DXL common stock to be issued would be based on, among other factors, the reverse stock split ratio and the total number of outstanding shares of DXL common stock , on a fully diluted basis using the treasury stock method. Based on the assumptions set forth in this proxy statement,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Accordingly, because the issuance of DXL common stock in connection with the merger would exceed these thresholds and would be expected to result in a change of control under the Nasdaq rules, stockholder approval is required to authorize the issuance of shares of DXL common stock in connection with the merger and the resulting “change of control” of DXL under the Nasdaq rules.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reverse stock split and why is it necessary?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proposal is approved, prior to the effective time of the merger (in the event the issuance proposal is approved and the merger is to be consummated) or at such time as the DXL Board determines (in the event the issuance proposal is not approved and the merger is not consummated), by virtue of the filing of an amendment to the restated certificate of incorporation in the form of Section 1 of the certificate of amendment attached as Annex C to this proxy statement and incorporated herein by reference, the outstanding shares of DXL common stock will be combined into a lesser number of shares at a ratio in the range of one new share for every 2 to 30 shares outstanding (or any whole number in between) to be determined by the DXL Board and agreed to by FBB prior to the effective time and publicly announced by DXL and identified in the certificate of amendment so filed. The DXL Board believes that a reverse stock split is necessary for a number of reasons.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approval of the reverse stock split proposal would be expected, if the merger is consummated, to enable DXL to meet the minimum bid price requirement for Nasdaq listing and to satisfy the related Nasdaq 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DXL Board recommend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careful consideration, the DXL Board unanimously recommends that DXL stockholders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proposal 1 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2 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3 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proposal 4 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DXL Board believes that approval of the reverse stock split proposal and the 2016 plan proposal is important for DXL’s ongoing operations and capital markets positioning, regardless of whether the merger is consummated.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DXL stockholders consider in deciding whether to vote in favor of the issuance proposal and the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DXL stockholders should carefully read the section of this proxy statement entitled “</w:t>
            </w:r>
            <w:r>
              <w:rPr>
                <w:rFonts w:ascii="Times New Roman" w:hAnsi="Times New Roman"/>
                <w:i/>
                <w:sz w:val="20"/>
              </w:rPr>
              <w:t>Risk Factors</w:t>
            </w:r>
            <w:r>
              <w:rPr>
                <w:rFonts w:ascii="Times New Roman" w:hAnsi="Times New Roman"/>
                <w:sz w:val="20"/>
              </w:rPr>
              <w:t xml:space="preserve">” beginning on page 28, which sets forth certain risks and uncertainties related to the merger and reverse stock split, risks and uncertainties to which the combined company’s business, if the merger is consummated, would be subject, risks and uncertainties to which DXL, as an independent company, is subject, and risks and uncertainties to which FBB, as an independent company,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particular, stockholders should carefully consider the DXL Board’s recent determination that the merger and the transactions contemplated by the merger agreement, including the issuance proposal, are not in the best interests of DXL stockholders under the current terms of the merger agreement. Stockholders should also consider the potential effects of the voting agreements entered into by certain stockholders in connection with the execution of the merger agreement, which may increase the likelihood that the issuance proposal is approved notwithstanding the DXL Board’s recommendation against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If, notwithstanding the DXL Board’s recommendation against the issuance proposal, the DXL stockholders approve the issuance proposal, the consummation of the merger is expected to occur as promptly as practicable. The merger would be consummated, if at all, after the special meeting and following satisfaction or waiver of all closing conditions of the merger. For a more complete description of the closing conditions under the merger agreement, please see the section entitled “</w:t>
            </w:r>
            <w:r>
              <w:rPr>
                <w:rFonts w:ascii="Times New Roman" w:hAnsi="Times New Roman"/>
                <w:i/>
                <w:sz w:val="20"/>
              </w:rPr>
              <w:t>The Merger Agreement—Conditions to the Closing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federal or state regulatory requirements that must be complied with or federal or state regulatory approvals or clearances that must be obtained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DXL nor FBB is required to make any filings or to obtain any approvals or clearances from any antitrust regulatory authorities in the United States or other countries to consummate the merger. In the United States, DXL must comply with applicable federal and state securities laws and the Nasdaq rules in connection with the issuance of shares of DXL common stock in the merger, including the filing with the SEC of this proxy statement and the required stockholder approval for the resulting “change of control” of DXL under the Nasdaq rules. Prior to consummation of the merger, DXL intends to file an initial listing application with Nasdaq pursuant to Nasdaq’s “reverse merger” rules and to effect the initial listing of DXL common stock issuable in connection with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private 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certain lenders under its existing term loan facility and Jim Fogarty (the “private placement investors”), pursuant to which the private placement investors agreed to purchase, and FBB agreed to sell, shares of FBB common stock for an aggregate purchase price of approximately $92 million immediately prior to the consummation of the merger (the “private placement”). The private placement investors subscribed to purchase these shares of FBB common stock through either (i) the payment of cash consideration and/or (ii) the exchange for cancellation of the principal amount of FBB’s outstanding term loan debt owed to such investor (the “debt-for-equity exchange”), with the total proceeds being used to pay down a portion of the outstanding indebtedness under FBB’s term loan facility. In addition, in connection with the private placement, the private placement investors were granted certain registration rights in the merger agreement with respect to the shares of DXL common stock they would receive if the merger is consummated in exchange for shares of FBB common stock.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would occur immediately prior to the closing of the merger and is a condition to closing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consequences of the merger and the reverse stock split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tc>
      </w:tr>
    </w:tbl>
    <w:p>
      <w:pPr>
        <w:pStyle w:val="TextBody"/>
        <w:bidi w:val="0"/>
        <w:spacing w:before="120" w:after="0"/>
        <w:jc w:val="left"/>
        <w:rPr>
          <w:rFonts w:ascii="Times New Roman" w:hAnsi="Times New Roman"/>
          <w:sz w:val="20"/>
        </w:rPr>
      </w:pPr>
      <w:r>
        <w:rPr>
          <w:rFonts w:ascii="Times New Roman" w:hAnsi="Times New Roman"/>
          <w:sz w:val="20"/>
        </w:rPr>
        <w:t>For a more complete description of the material U.S. federal income tax consequences of the merger and the reverse stock split, please see the section entitled “</w:t>
      </w:r>
      <w:r>
        <w:rPr>
          <w:rFonts w:ascii="Times New Roman" w:hAnsi="Times New Roman"/>
          <w:i/>
          <w:sz w:val="20"/>
        </w:rPr>
        <w:t>The Merger—Material U.S. Federal Income Tax Consequences of the Merger and the Reverse Stock Split</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constitutes a quorum for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shall constitute a quorum for the transaction of business. Abstentions and broker non-votes will be included in determining the number of shares present and entitled to vote at the meeting for the purpose of determining the presence of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vote required to approve each proposal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1:  </w:t>
            </w:r>
            <w:r>
              <w:rPr>
                <w:rFonts w:ascii="Times New Roman" w:hAnsi="Times New Roman"/>
                <w:i/>
                <w:sz w:val="20"/>
              </w:rPr>
              <w:t>Issuance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issuance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Reverse stock split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reverse stock split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2016 plan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2016 plan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Adjournment proposal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Standard: Approval of the adjournment proposal requires the affirmative vote of a majority of the votes cast by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of abstentions and broker non-votes: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serve on the board of directors of the combined company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DXL’s board of directors would consist of nine directors. The board would include four directors designated by DXL, consisting of Lionel F. Conacher, Carmen R. Bauza, Jack Boyle and Willem Mesdag. The board would also include four directors designated by FBB, consisting of Jim Fogarty, Yasir Anwar, Steven Tesoriere, and Josh Beer. One independent director would be mutually agreed to by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would lead the combined company as senior management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is consummated, Jim Fogarty would serve as Chief Executive Officer of DXL. Mr. Fogarty currently serves as Chief Executive Officer of FBB. Peter Stratton would continue to serve as Chief Financial Officer of DXL following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Are there any DXL stockholders already committed to voting in favor of the issuance proposal, the reverse stock split proposal and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Yes. Certain DXL stockholders, including the directors and chief financial officer of DXL, who collectively own approximately [●]% of DXL’s outstanding common stock as of the record date are subject to voting agreements, pursuant to which each such stockholder agreed to vote such stockholder’s shares of DXL common stock in favor of the transactions contemplated by the merger agreement.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Please see the section entitled “</w:t>
            </w:r>
            <w:r>
              <w:rPr>
                <w:rFonts w:ascii="Times New Roman" w:hAnsi="Times New Roman"/>
                <w:i/>
                <w:sz w:val="20"/>
              </w:rPr>
              <w:t>Agreements Related To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my proxy and vote important?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do not submit a proxy or attend the special meeting in person, it will be more difficult for DXL to obtain the necessary quorum to hold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take place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at DXL’s corporate offices located at 555 Turnpike Street, Canton, Massachusetts 02021.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attend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holders of shares of DXL common stock as of the close of business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record date for the special meeting (the “record date”) are entitled to receive notice of, attend the special meeting and any adjournment or postponement thereof, and vote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are entitled to attend and vote at the special meeting only if you were a DXL stockholder as of the record date or hold a valid proxy for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you have carefully read this proxy statement and have decided how you wish to vote your shares of DXL common stock, please vote your shares promptly so that your shares are represented and voted at the special meeting. If you hold your shares in your name as a stockholder of record, you must complete, sign, date and mail your proxy card in the enclosed postage-paid return envelope as soon as possible. If you hold your shares in “street name” through a bank, broker or other nominee, you must direct your bank, broker or other nominee how to vote in accordance with the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can I vote my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holder of DXL common stock may vote by proxy or in person at the special meeting. If you hold your shares of DXL common stock in your name as a holder of record, to submit a proxy, you, as a holder of DXL common stock, may use one of the following methods: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telephone: by calling the toll-free number indicated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Internet: by visiting the website indicated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mail: by completing and returning the accompanying proxy card in the enclosed postage-paid envelope. The envelope requires no additional postage if mailed in the United States.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proxy card must be received prior to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If a holder’s shares are held in “street name” by a bank, broker, or other nominee, the holder should check the voting form used by that firm to determine whether the holder may vote by telephone or the Internet.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DXL recommends that you vote your shares in advance as described below so that your vote will be counted if you later decide not to or become unable to attend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shares are held in “street name” by my bank or broker, will my bank or broker automatically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Your bank or broker cannot vote your shares on proposals 1, 2 and 3, but may vote your shares on proposal 4, without instructions from you. If your shares are held in “street name” through a bank, broker or other nominee, you must provide the record holder of your shares of DXL common stock with instructions on how to vote the shares. Please follow the voting instructions provided by the bank or broker. You may not vote shares held in street name by returning a proxy card directly to DXL, or by voting at the special meeting, unless you provide a “legal proxy”, which you must obtain from your broker, bank, or other nominee. Further, brokers, banks, or other nominees who hold shares of DXL common stock on behalf of their customers may not give a proxy to DXL to vote those shares with respect to any of the proposals without specific instructions from their customers, as brokers, banks, and other nominees do not have discretionary voting power on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Can I change my vote after I have delivered my proxy or voting instruction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the record holder of your shares, you may revoke your proxy in any of the following ways: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by a broker, bank, or other nominee, you should contact your broker, bank, or other nominee to change your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receive more than one set of voting materials, including multiple copies of this proxy statement and multiple proxy cards or voting instruction cards. For example, if you hold shares of DXL common stock in more than one brokerage account, you will receive a separate voting instruction card for each brokerage account in which you hold such shares. If you are a holder of record of DXL common stock and your shares are registered in more than one name, you will receive more than one proxy card. Please complete, sign, date and return each proxy card and voting instruction card that you receive or otherwise follow the voting instructions set forth in this proxy statement to ensure that you vote every share of DXL common stock that you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DXL stockholders are not entitled to appraisal rights in connection with the merger or any of the proposals to be voted on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Have FBB stockholders agreed to adopt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On December 11, 2025, FBB stockholders adopted the merger agreement and approved the merger and related transactions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will equally share the cost of the printing, mailing and filing of this proxy statement and the fees paid to a financial printer or the SEC. DXL will pay any other fees and expenses incurred by it. DXL and FBB may use the services of their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76201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 and may not contain all of the information that is important to you. To better understand the merger and the other proposals being considered at the special meeting, you should read this entire proxy statement carefully, including the materials attached as annexes, as well as other documents referred to or incorporated by reference herein. You may obtain the information incorporated by reference into this proxy statement without charge by following the instructions under the section of this proxy statement entitled “</w:t>
      </w:r>
      <w:r>
        <w:rPr>
          <w:rFonts w:ascii="Times New Roman" w:hAnsi="Times New Roman"/>
          <w:i/>
          <w:sz w:val="20"/>
          <w:bdr w:val="single" w:sz="8" w:space="1" w:color="000000"/>
        </w:rPr>
        <w:t>Where You Can Find Additional Information</w:t>
      </w:r>
      <w:r>
        <w:rPr>
          <w:rFonts w:ascii="Times New Roman" w:hAnsi="Times New Roman"/>
          <w:sz w:val="20"/>
          <w:bdr w:val="single" w:sz="8" w:space="1" w:color="000000"/>
        </w:rPr>
        <w:t xml:space="preserve">”. </w:t>
      </w:r>
      <w:r>
        <w:rPr>
          <w:rFonts w:ascii="Times New Roman" w:hAnsi="Times New Roman"/>
          <w:b/>
          <w:sz w:val="20"/>
          <w:bdr w:val="single" w:sz="8" w:space="1" w:color="000000"/>
        </w:rPr>
        <w:t>As described elsewhere in this proxy statement, the DXL Board has continued to evaluate the merger, including developments since the execution of the merger agreement,</w:t>
      </w:r>
      <w:r>
        <w:rPr>
          <w:rFonts w:ascii="Times New Roman" w:hAnsi="Times New Roman"/>
          <w:sz w:val="20"/>
          <w:bdr w:val="single" w:sz="8" w:space="1" w:color="000000"/>
        </w:rPr>
        <w:t xml:space="preserve"> </w:t>
      </w:r>
      <w:r>
        <w:rPr>
          <w:rFonts w:ascii="Times New Roman" w:hAnsi="Times New Roman"/>
          <w:b/>
          <w:sz w:val="20"/>
          <w:bdr w:val="single" w:sz="8" w:space="1" w:color="000000"/>
        </w:rPr>
        <w:t>and has withdrawn its prior recommendation in favor of the merger and the issuance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and now recommends that stockholders vote “AGAINST” the issuance proposal.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Destination XL Group,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555 Turnpike Street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Canton, Massachusetts 02021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(781) 828-9300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Destination XL Group, Inc., a Delaware corporation (“DXL”), is the leading specialty retailer of big + tall men’s apparel with retail locations throughout the United States. DXL operates under the trade names of Destination XL®, DXL®, DXL® Big + Tall, DXL Men’s Apparel, DXL outlets, Casual Male XL® and Casual Male XL outlets. At May 2, 2026, DXL operated 293 stores, consisting of 257 DXL retail stores, 17 DXL outlet stores, 5 Casual Male XL retail stores, 14 Casual Male XL outlet stores, and a digital business, including an e-commerce site at </w:t>
      </w:r>
      <w:r>
        <w:rPr>
          <w:rFonts w:ascii="Times New Roman" w:hAnsi="Times New Roman"/>
          <w:i/>
          <w:sz w:val="20"/>
          <w:bdr w:val="single" w:sz="8" w:space="1" w:color="000000"/>
        </w:rPr>
        <w:t xml:space="preserve">www.dxl.com, </w:t>
      </w:r>
      <w:r>
        <w:rPr>
          <w:rFonts w:ascii="Times New Roman" w:hAnsi="Times New Roman"/>
          <w:sz w:val="20"/>
          <w:bdr w:val="single" w:sz="8" w:space="1" w:color="000000"/>
        </w:rPr>
        <w:t xml:space="preserve">a mobile site </w:t>
      </w:r>
      <w:r>
        <w:rPr>
          <w:rFonts w:ascii="Times New Roman" w:hAnsi="Times New Roman"/>
          <w:i/>
          <w:sz w:val="20"/>
          <w:bdr w:val="single" w:sz="8" w:space="1" w:color="000000"/>
        </w:rPr>
        <w:t>m.destinationXL.com</w:t>
      </w:r>
      <w:r>
        <w:rPr>
          <w:rFonts w:ascii="Times New Roman" w:hAnsi="Times New Roman"/>
          <w:sz w:val="20"/>
          <w:bdr w:val="single" w:sz="8" w:space="1" w:color="000000"/>
        </w:rPr>
        <w:t xml:space="preserve"> and mobile app.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FBB Holdings I, Inc.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One New York Plaza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New York, New York 10004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 (212) 613-9500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Holdings I, Inc., a Delaware corporation (“FBB”) and parent company of FULLBEAUTY Brands, Inc., is the industry leader in extended sizes and a pioneer in size inclusive fashions for plus-size women and big &amp; tall men seeking fashion inspiration, style advice, and clothing tailored to their individual needs. Beginning in 1901 with a mission to serve the plus sized customer, the company’s mission continues over 120 years later. The FULLBEAUTY family of premier fashion brands includes OneStopPlus®, the world’s first and largest online shopping destination for plus-size women, Catherines®, WomanWithin®, Jessica London®, Roaman’s®, SwimsuitsForAll®, Ellos®, Active For All®, Shoes For All®, Intimates For All®, KingSize®, Brylane Home®, June &amp; Vie, Eloquii®, CUUP®, Dia Shop, Dia &amp; Co®, Avenue®, Joe Browns®, FullBeauty® and FullBeauty Outlet®, collectively offering more than 100 individual brands.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Combined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executive office of the combined company would be expected to be located in Canton, Massachusetts.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of the merger agreement, the merger subsidiary, a wholly owned direct subsidiary of DXL formed by DXL in connection with the merger, would merge with and into FBB, with FBB continuing as the surviving corporation as a wholly owned subsidiary of DXL.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Accordingly, the DXL Board unanimously recommends that DXL stockholders vote (i) </w:t>
      </w:r>
      <w:r>
        <w:rPr>
          <w:rFonts w:ascii="Times New Roman" w:hAnsi="Times New Roman"/>
          <w:sz w:val="20"/>
          <w:bdr w:val="single" w:sz="8" w:space="1" w:color="000000"/>
        </w:rPr>
        <w:t>“</w:t>
      </w:r>
      <w:r>
        <w:rPr>
          <w:rFonts w:ascii="Times New Roman" w:hAnsi="Times New Roman"/>
          <w:b/>
          <w:sz w:val="20"/>
          <w:bdr w:val="single" w:sz="8" w:space="1" w:color="000000"/>
        </w:rPr>
        <w:t xml:space="preserve">AGAINST” the issuance proposal, (ii) </w:t>
      </w:r>
      <w:r>
        <w:rPr>
          <w:rFonts w:ascii="Times New Roman" w:hAnsi="Times New Roman"/>
          <w:sz w:val="20"/>
          <w:bdr w:val="single" w:sz="8" w:space="1" w:color="000000"/>
        </w:rPr>
        <w:t>“</w:t>
      </w:r>
      <w:r>
        <w:rPr>
          <w:rFonts w:ascii="Times New Roman" w:hAnsi="Times New Roman"/>
          <w:b/>
          <w:sz w:val="20"/>
          <w:bdr w:val="single" w:sz="8" w:space="1" w:color="000000"/>
        </w:rPr>
        <w:t>FOR” the reverse stock split proposal,</w:t>
      </w:r>
      <w:r>
        <w:rPr>
          <w:rFonts w:ascii="Times New Roman" w:hAnsi="Times New Roman"/>
          <w:sz w:val="20"/>
          <w:bdr w:val="single" w:sz="8" w:space="1" w:color="000000"/>
        </w:rPr>
        <w:t xml:space="preserve"> </w:t>
      </w:r>
      <w:r>
        <w:rPr>
          <w:rFonts w:ascii="Times New Roman" w:hAnsi="Times New Roman"/>
          <w:b/>
          <w:sz w:val="20"/>
          <w:bdr w:val="single" w:sz="8" w:space="1" w:color="000000"/>
        </w:rPr>
        <w:t>(iii)</w:t>
      </w:r>
      <w:r>
        <w:rPr>
          <w:rFonts w:ascii="Times New Roman" w:hAnsi="Times New Roman"/>
          <w:sz w:val="20"/>
          <w:bdr w:val="single" w:sz="8" w:space="1" w:color="000000"/>
        </w:rPr>
        <w:t xml:space="preserve"> “</w:t>
      </w:r>
      <w:r>
        <w:rPr>
          <w:rFonts w:ascii="Times New Roman" w:hAnsi="Times New Roman"/>
          <w:b/>
          <w:sz w:val="20"/>
          <w:bdr w:val="single" w:sz="8" w:space="1" w:color="000000"/>
        </w:rPr>
        <w:t xml:space="preserve">FOR” the 2016 plan proposal, and (iv) </w:t>
      </w:r>
      <w:r>
        <w:rPr>
          <w:rFonts w:ascii="Times New Roman" w:hAnsi="Times New Roman"/>
          <w:sz w:val="20"/>
          <w:bdr w:val="single" w:sz="8" w:space="1" w:color="000000"/>
        </w:rPr>
        <w:t>“</w:t>
      </w:r>
      <w:r>
        <w:rPr>
          <w:rFonts w:ascii="Times New Roman" w:hAnsi="Times New Roman"/>
          <w:b/>
          <w:sz w:val="20"/>
          <w:bdr w:val="single" w:sz="8" w:space="1" w:color="000000"/>
        </w:rPr>
        <w:t>FOR” the adjournment proposal.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decision in December 2025 to approve the merger agreement, the merger and the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considerations associated with combining the businesses, operations and assets of DXL and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capital structure of the combined company following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LLC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defined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and reassessed the foregoing factors in light of developments since the execution of the merger agreement, including developments relating to market conditions, DXL’s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performance and updated information regarding FBB, and considered a number of additional factors, including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increases execution risk and uncertainty associated with achieving projected operating performance and anticipated synergies;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w:t>
            </w:r>
            <w:r>
              <w:rPr>
                <w:rFonts w:ascii="Times New Roman" w:hAnsi="Times New Roman"/>
                <w:b/>
                <w:sz w:val="20"/>
              </w:rPr>
              <w:t>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the course of this ongoing evaluation, the DXL Board also revisited the assumptions underlying the anticipated strategic, financial and operational benefits of the merger, including expected synergies, growth opportunities and integration-related efficiencies, and considered the extent to which such assumptions remained achievable in light of current conditions and updated information. The DXL Board determined that, taken together, the risks and uncertainties associated with the merger, including those described above and in the section entitled “</w:t>
      </w:r>
      <w:r>
        <w:rPr>
          <w:rFonts w:ascii="Times New Roman" w:hAnsi="Times New Roman"/>
          <w:i/>
          <w:sz w:val="20"/>
          <w:bdr w:val="single" w:sz="8" w:space="1" w:color="000000"/>
        </w:rPr>
        <w:t>Risk Factors</w:t>
      </w:r>
      <w:r>
        <w:rPr>
          <w:rFonts w:ascii="Times New Roman" w:hAnsi="Times New Roman"/>
          <w:sz w:val="20"/>
          <w:bdr w:val="single" w:sz="8" w:space="1" w:color="000000"/>
        </w:rPr>
        <w:t>,”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For more information on the DXL Board’s recommendation, please see the section entitled “</w:t>
      </w:r>
      <w:r>
        <w:rPr>
          <w:rFonts w:ascii="Times New Roman" w:hAnsi="Times New Roman"/>
          <w:i/>
          <w:sz w:val="20"/>
          <w:bdr w:val="single" w:sz="8" w:space="1" w:color="000000"/>
        </w:rPr>
        <w:t>The Merger—DXL’s Reasons for Recommending Against the Issuance Proposal; Updated Recommendation of the DXL Board</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December 2025 Opinion of Guggenheim Securities, Financial Advisor to DXL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w:t>
      </w:r>
      <w:r>
        <w:rPr>
          <w:rFonts w:ascii="Times New Roman" w:hAnsi="Times New Roman"/>
          <w:sz w:val="20"/>
          <w:bdr w:val="single" w:sz="8" w:space="1" w:color="000000"/>
        </w:rPr>
        <w:t xml:space="preserve"> </w:t>
      </w:r>
      <w:r>
        <w:rPr>
          <w:rFonts w:ascii="Times New Roman" w:hAnsi="Times New Roman"/>
          <w:b/>
          <w:sz w:val="20"/>
          <w:bdr w:val="single" w:sz="8" w:space="1" w:color="000000"/>
        </w:rPr>
        <w:t>rely on the December 2025 Opinion expressed in Guggenheim Securities’ December 10, 2025 letter to the</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DXL Board or on the financial analyses Guggenheim Securities reviewed with the DXL Board at the</w:t>
      </w:r>
      <w:r>
        <w:rPr>
          <w:rFonts w:ascii="Times New Roman" w:hAnsi="Times New Roman"/>
          <w:sz w:val="20"/>
          <w:bdr w:val="single" w:sz="8" w:space="1" w:color="000000"/>
        </w:rPr>
        <w:t xml:space="preserve"> </w:t>
      </w:r>
      <w:r>
        <w:rPr>
          <w:rFonts w:ascii="Times New Roman" w:hAnsi="Times New Roman"/>
          <w:b/>
          <w:sz w:val="20"/>
          <w:bdr w:val="single" w:sz="8" w:space="1" w:color="000000"/>
        </w:rPr>
        <w:t>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w:t>
      </w:r>
      <w:r>
        <w:rPr>
          <w:rFonts w:ascii="Times New Roman" w:hAnsi="Times New Roman"/>
          <w:sz w:val="20"/>
          <w:bdr w:val="single" w:sz="8" w:space="1" w:color="000000"/>
        </w:rPr>
        <w:t xml:space="preserve"> </w:t>
      </w:r>
      <w:r>
        <w:rPr>
          <w:rFonts w:ascii="Times New Roman" w:hAnsi="Times New Roman"/>
          <w:b/>
          <w:sz w:val="20"/>
          <w:bdr w:val="single" w:sz="8" w:space="1" w:color="000000"/>
        </w:rPr>
        <w:t>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connection with the merger, Guggenheim Securities rendered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The December 2025 Opinion was provided to the DXL Board (in its capacity as such) for its information and assistance in connection with its evaluation of the merger consideration in December 2025. The full text of the December 2025 Opinion, which was rendered only on and as of December 10, 2025 and has not been and will not be updated, is attached as Annex B to this proxy statement and which you should read carefully and in its entirety, is subject to the assumptions, limitations, qualifications and other conditions contained in such opinion and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December 2025 Opinion that Guggenheim Securities provided to the DXL Board, please see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May 2026 Supplemental Financial Analyses Prepared by</w:t>
      </w:r>
      <w:r>
        <w:rPr>
          <w:rFonts w:ascii="Times New Roman" w:hAnsi="Times New Roman"/>
          <w:sz w:val="20"/>
          <w:bdr w:val="single" w:sz="8" w:space="1" w:color="000000"/>
        </w:rPr>
        <w:t xml:space="preserve"> </w:t>
      </w:r>
      <w:r>
        <w:rPr>
          <w:rFonts w:ascii="Times New Roman" w:hAnsi="Times New Roman"/>
          <w:b/>
          <w:sz w:val="20"/>
          <w:bdr w:val="single" w:sz="8" w:space="1" w:color="000000"/>
        </w:rPr>
        <w:t>Guggenheim Securities, Financial Advisor to DXL</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December 2025 Opinion was rendered only on and as of December 10, 2025 and has not been and will not be updated.</w:t>
      </w:r>
      <w:r>
        <w:rPr>
          <w:rFonts w:ascii="Times New Roman" w:hAnsi="Times New Roman"/>
          <w:sz w:val="20"/>
          <w:bdr w:val="single" w:sz="8" w:space="1" w:color="000000"/>
        </w:rPr>
        <w:t xml:space="preserve"> </w:t>
      </w:r>
      <w:r>
        <w:rPr>
          <w:rFonts w:ascii="Times New Roman" w:hAnsi="Times New Roman"/>
          <w:b/>
          <w:sz w:val="20"/>
          <w:bdr w:val="single" w:sz="8" w:space="1" w:color="00000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bdr w:val="single" w:sz="8" w:space="1" w:color="000000"/>
        </w:rPr>
        <w:t xml:space="preserve">. </w:t>
      </w:r>
      <w:r>
        <w:rPr>
          <w:rFonts w:ascii="Times New Roman" w:hAnsi="Times New Roman"/>
          <w:b/>
          <w:sz w:val="20"/>
          <w:bdr w:val="single" w:sz="8" w:space="1" w:color="000000"/>
        </w:rPr>
        <w:t>The December 2025 Opinion and the summary of the financial analyses underlying the December 2025 Opinion should be read only together with</w:t>
      </w:r>
      <w:r>
        <w:rPr>
          <w:rFonts w:ascii="Times New Roman" w:hAnsi="Times New Roman"/>
          <w:sz w:val="20"/>
          <w:bdr w:val="single" w:sz="8" w:space="1" w:color="000000"/>
        </w:rPr>
        <w:t xml:space="preserve"> </w:t>
      </w:r>
      <w:r>
        <w:rPr>
          <w:rFonts w:ascii="Times New Roman" w:hAnsi="Times New Roman"/>
          <w:b/>
          <w:sz w:val="20"/>
          <w:bdr w:val="single" w:sz="8" w:space="1" w:color="000000"/>
        </w:rPr>
        <w:t>the May 2026 Supplemental Financial Analyses.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The May 2026 Supplemental Financial Analyses were</w:t>
      </w:r>
      <w:r>
        <w:rPr>
          <w:rFonts w:ascii="Times New Roman" w:hAnsi="Times New Roman"/>
          <w:sz w:val="20"/>
          <w:bdr w:val="single" w:sz="8" w:space="1" w:color="000000"/>
        </w:rPr>
        <w:t xml:space="preserve"> </w:t>
      </w:r>
      <w:r>
        <w:rPr>
          <w:rFonts w:ascii="Times New Roman" w:hAnsi="Times New Roman"/>
          <w:b/>
          <w:sz w:val="20"/>
          <w:bdr w:val="single" w:sz="8" w:space="1" w:color="000000"/>
        </w:rPr>
        <w:t>provided to the DXL Board (in its capacity as such) for its information and assistance in connection with its ongoing evaluation of the merger. The May 2026</w:t>
      </w:r>
      <w:r>
        <w:rPr>
          <w:rFonts w:ascii="Times New Roman" w:hAnsi="Times New Roman"/>
          <w:sz w:val="20"/>
          <w:bdr w:val="single" w:sz="8" w:space="1" w:color="000000"/>
        </w:rPr>
        <w:t xml:space="preserve"> </w:t>
      </w:r>
      <w:r>
        <w:rPr>
          <w:rFonts w:ascii="Times New Roman" w:hAnsi="Times New Roman"/>
          <w:b/>
          <w:sz w:val="20"/>
          <w:bdr w:val="single" w:sz="8" w:space="1" w:color="000000"/>
        </w:rPr>
        <w:t>Supplemental Financial Analyses do not constitute an opinion, view, report or appraisal as to the fairness, from a financial point of view, of the merger</w:t>
      </w:r>
      <w:r>
        <w:rPr>
          <w:rFonts w:ascii="Times New Roman" w:hAnsi="Times New Roman"/>
          <w:sz w:val="20"/>
          <w:bdr w:val="single" w:sz="8" w:space="1" w:color="000000"/>
        </w:rPr>
        <w:t xml:space="preserve"> </w:t>
      </w:r>
      <w:r>
        <w:rPr>
          <w:rFonts w:ascii="Times New Roman" w:hAnsi="Times New Roman"/>
          <w:b/>
          <w:sz w:val="20"/>
          <w:bdr w:val="single" w:sz="8" w:space="1" w:color="000000"/>
        </w:rPr>
        <w:t>consideration</w:t>
      </w:r>
      <w:r>
        <w:rPr>
          <w:rFonts w:ascii="Times New Roman" w:hAnsi="Times New Roman"/>
          <w:sz w:val="20"/>
          <w:bdr w:val="single" w:sz="8" w:space="1" w:color="000000"/>
        </w:rPr>
        <w:t xml:space="preserve"> </w:t>
      </w:r>
      <w:r>
        <w:rPr>
          <w:rFonts w:ascii="Times New Roman" w:hAnsi="Times New Roman"/>
          <w:b/>
          <w:sz w:val="20"/>
          <w:bdr w:val="single" w:sz="8" w:space="1" w:color="000000"/>
        </w:rPr>
        <w:t>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DXL Board’s ongoing evaluation of the merger, (i) DXL’s senior management updated the December 2025 DXL-Provided Financial Projections and the December 2025 Synergy Estimates, all as prepared by, discussed with and approved for Guggenheim Securities’ use by DXL’s senior management and (ii) FBB’s senior management updated the December 2025 FBB-Provided Financial Projections, as prepared by and discussed with DXL’s and FBB’s respective senior management. Guggenheim Securities was directed by the DXL Board to rely upon the May 2026 DXL-Provided Financial Projections (including for DXL and FBB) and the May 2026 Synergy Estimates in connection with the preparation of the May 2026 Supplemental Financial Analyses.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description of the May 2026 Supplemental Financial Analyses that Guggenheim Securities provided to the DXL Board and the defined terms used in this summary section, please see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Summary Comparison of Key Analytical Results — May 2026 Supplemental Financial Analyses versus December 2025 Opinion</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This “</w:t>
      </w:r>
      <w:r>
        <w:rPr>
          <w:rFonts w:ascii="Times New Roman" w:hAnsi="Times New Roman"/>
          <w:i/>
          <w:sz w:val="20"/>
          <w:bdr w:val="single" w:sz="8" w:space="1" w:color="000000"/>
        </w:rPr>
        <w:t xml:space="preserve">Summary Comparison of Key Analytical Results </w:t>
      </w:r>
      <w:r>
        <w:rPr>
          <w:rFonts w:ascii="Times New Roman" w:hAnsi="Times New Roman"/>
          <w:sz w:val="20"/>
          <w:bdr w:val="single" w:sz="8" w:space="1" w:color="000000"/>
        </w:rPr>
        <w:t xml:space="preserve">— </w:t>
      </w:r>
      <w:r>
        <w:rPr>
          <w:rFonts w:ascii="Times New Roman" w:hAnsi="Times New Roman"/>
          <w:i/>
          <w:sz w:val="20"/>
          <w:bdr w:val="single" w:sz="8" w:space="1" w:color="000000"/>
        </w:rPr>
        <w:t>May 2026 Supplemental Financial Analyses versus December 2025 Opinion</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Should be read only together with, and is qualified in its entirety by the caveats, disclaimers, limitations, qualifications and other considerations noted in, the sections entitled “</w:t>
            </w:r>
            <w:r>
              <w:rPr>
                <w:rFonts w:ascii="Times New Roman" w:hAnsi="Times New Roman"/>
                <w:i/>
                <w:sz w:val="20"/>
              </w:rPr>
              <w:t>The Merger</w:t>
            </w:r>
            <w:r>
              <w:rPr>
                <w:rFonts w:ascii="Times New Roman" w:hAnsi="Times New Roman"/>
                <w:sz w:val="20"/>
              </w:rPr>
              <w:t>—December 2025 Opinion of Guggenheim Securities, Financial Advisor to DXL” and “</w:t>
            </w:r>
            <w:r>
              <w:rPr>
                <w:rFonts w:ascii="Times New Roman" w:hAnsi="Times New Roman"/>
                <w:i/>
                <w:sz w:val="20"/>
              </w:rPr>
              <w:t>The Merger</w:t>
            </w:r>
            <w:r>
              <w:rPr>
                <w:rFonts w:ascii="Times New Roman" w:hAnsi="Times New Roman"/>
                <w:sz w:val="20"/>
              </w:rPr>
              <w:t>—</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intended to summarize all aspects of Guggenheim Securities’ financial analyses in connection with the December 2025 Opinion or the May 2026 Supplemental Financial Analyses.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summary comparison of key analytical results from the December 2025 Opinion and the May 2026 Supplemental Financial Analyses, respectively: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879"/>
        <w:gridCol w:w="349"/>
        <w:gridCol w:w="1392"/>
        <w:gridCol w:w="349"/>
        <w:gridCol w:w="1419"/>
      </w:tblGrid>
      <w:tr>
        <w:trPr/>
        <w:tc>
          <w:tcPr>
            <w:tcW w:w="587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9388" w:type="dxa"/>
            <w:gridSpan w:val="5"/>
            <w:tcBorders/>
            <w:vAlign w:val="bottom"/>
          </w:tcPr>
          <w:p>
            <w:pPr>
              <w:pStyle w:val="TableContents"/>
              <w:bidi w:val="0"/>
              <w:spacing w:before="0" w:after="283"/>
              <w:jc w:val="center"/>
              <w:rPr>
                <w:b/>
              </w:rPr>
            </w:pPr>
            <w:r>
              <w:rPr>
                <w:b/>
              </w:rPr>
              <w:t>Summary Comparison of Key Analytical Results</w:t>
              <w:br/>
              <w:t>($ in millions, except per share data)</w:t>
            </w:r>
          </w:p>
        </w:tc>
      </w:tr>
      <w:tr>
        <w:trPr/>
        <w:tc>
          <w:tcPr>
            <w:tcW w:w="587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Standalone DCF Equity Value (Midpoints)</w:t>
            </w:r>
          </w:p>
        </w:tc>
        <w:tc>
          <w:tcPr>
            <w:tcW w:w="349" w:type="dxa"/>
            <w:tcBorders/>
            <w:vAlign w:val="bottom"/>
          </w:tcPr>
          <w:p>
            <w:pPr>
              <w:pStyle w:val="TableContents"/>
              <w:bidi w:val="0"/>
              <w:spacing w:before="0" w:after="283"/>
              <w:jc w:val="left"/>
              <w:rPr/>
            </w:pPr>
            <w:r>
              <w:rPr/>
              <w:t> </w:t>
            </w:r>
          </w:p>
        </w:tc>
        <w:tc>
          <w:tcPr>
            <w:tcW w:w="1392" w:type="dxa"/>
            <w:tcBorders>
              <w:bottom w:val="single" w:sz="8" w:space="0" w:color="000000"/>
            </w:tcBorders>
            <w:tcMar>
              <w:bottom w:w="28" w:type="dxa"/>
            </w:tcMar>
            <w:vAlign w:val="bottom"/>
          </w:tcPr>
          <w:p>
            <w:pPr>
              <w:pStyle w:val="TableContents"/>
              <w:bidi w:val="0"/>
              <w:spacing w:before="0" w:after="283"/>
              <w:jc w:val="center"/>
              <w:rPr>
                <w:b/>
              </w:rPr>
            </w:pPr>
            <w:r>
              <w:rPr>
                <w:b/>
              </w:rPr>
              <w:t>December</w:t>
              <w:br/>
              <w:t>2025 Opinion</w:t>
            </w:r>
          </w:p>
        </w:tc>
        <w:tc>
          <w:tcPr>
            <w:tcW w:w="349" w:type="dxa"/>
            <w:tcBorders/>
            <w:vAlign w:val="bottom"/>
          </w:tcPr>
          <w:p>
            <w:pPr>
              <w:pStyle w:val="TableContents"/>
              <w:bidi w:val="0"/>
              <w:spacing w:before="0" w:after="283"/>
              <w:jc w:val="left"/>
              <w:rPr/>
            </w:pPr>
            <w:r>
              <w:rPr/>
              <w:t> </w:t>
            </w:r>
          </w:p>
        </w:tc>
        <w:tc>
          <w:tcPr>
            <w:tcW w:w="1419" w:type="dxa"/>
            <w:tcBorders>
              <w:bottom w:val="single" w:sz="8" w:space="0" w:color="000000"/>
            </w:tcBorders>
            <w:tcMar>
              <w:bottom w:w="28" w:type="dxa"/>
            </w:tcMar>
            <w:vAlign w:val="bottom"/>
          </w:tcPr>
          <w:p>
            <w:pPr>
              <w:pStyle w:val="TableContents"/>
              <w:bidi w:val="0"/>
              <w:spacing w:before="0" w:after="283"/>
              <w:jc w:val="center"/>
              <w:rPr>
                <w:b/>
              </w:rPr>
            </w:pPr>
            <w:r>
              <w:rPr>
                <w:b/>
              </w:rPr>
              <w:t>May 2026</w:t>
              <w:br/>
              <w:t>Supplemental</w:t>
              <w:br/>
              <w:t>Financial</w:t>
              <w:br/>
              <w:t>Analyses</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shd w:fill="CCEEFF" w:val="clear"/>
          </w:tcPr>
          <w:p>
            <w:pPr>
              <w:pStyle w:val="TableContents"/>
              <w:bidi w:val="0"/>
              <w:spacing w:before="0" w:after="283"/>
              <w:jc w:val="left"/>
              <w:rPr>
                <w:b/>
              </w:rPr>
            </w:pPr>
            <w:r>
              <w:rPr>
                <w:b/>
              </w:rPr>
              <w:t>DXL Including Net Operating Loss Tax Benefit per Share</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$1.72</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$1.40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tcPr>
          <w:p>
            <w:pPr>
              <w:pStyle w:val="TableContents"/>
              <w:bidi w:val="0"/>
              <w:spacing w:before="0" w:after="0"/>
              <w:jc w:val="left"/>
              <w:rPr>
                <w:rFonts w:ascii="Times New Roman" w:hAnsi="Times New Roman"/>
                <w:b/>
                <w:sz w:val="20"/>
              </w:rPr>
            </w:pPr>
            <w:r>
              <w:rPr>
                <w:rFonts w:ascii="Times New Roman" w:hAnsi="Times New Roman"/>
                <w:b/>
                <w:sz w:val="20"/>
              </w:rPr>
              <w:t>FBB Including §163(j) Tax Benefit</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$129</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($14)</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DXL DCF-Based Equity Value Contribution (Based on Midpoint</w:t>
              <w:br/>
              <w:t>Standalone DCF Equity Values for DXL and FBB)</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44%</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100%</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b/>
                <w:sz w:val="20"/>
              </w:rPr>
              <w:t xml:space="preserve">DXL </w:t>
            </w:r>
            <w:r>
              <w:rPr>
                <w:rFonts w:ascii="Times New Roman" w:hAnsi="Times New Roman"/>
                <w:b/>
                <w:i/>
                <w:sz w:val="20"/>
              </w:rPr>
              <w:t>Pro Forma</w:t>
            </w:r>
            <w:r>
              <w:rPr>
                <w:rFonts w:ascii="Times New Roman" w:hAnsi="Times New Roman"/>
                <w:sz w:val="20"/>
              </w:rPr>
              <w:t xml:space="preserve"> </w:t>
            </w:r>
            <w:r>
              <w:rPr>
                <w:rFonts w:ascii="Times New Roman" w:hAnsi="Times New Roman"/>
                <w:b/>
                <w:sz w:val="20"/>
              </w:rPr>
              <w:t>DCF Accretion/(Dilution) Analysis</w:t>
            </w:r>
          </w:p>
        </w:tc>
        <w:tc>
          <w:tcPr>
            <w:tcW w:w="349" w:type="dxa"/>
            <w:tcBorders/>
            <w:vAlign w:val="bottom"/>
          </w:tcPr>
          <w:p>
            <w:pPr>
              <w:pStyle w:val="TableContents"/>
              <w:bidi w:val="0"/>
              <w:spacing w:before="0" w:after="283"/>
              <w:jc w:val="left"/>
              <w:rPr/>
            </w:pPr>
            <w:r>
              <w:rPr/>
              <w:t> </w:t>
            </w:r>
          </w:p>
        </w:tc>
        <w:tc>
          <w:tcPr>
            <w:tcW w:w="1392" w:type="dxa"/>
            <w:tcBorders/>
            <w:vAlign w:val="bottom"/>
          </w:tcPr>
          <w:p>
            <w:pPr>
              <w:pStyle w:val="TableContents"/>
              <w:bidi w:val="0"/>
              <w:spacing w:before="0" w:after="283"/>
              <w:jc w:val="center"/>
              <w:rPr>
                <w:b/>
              </w:rPr>
            </w:pPr>
            <w:r>
              <w:rPr>
                <w:b/>
              </w:rPr>
              <w:t>+87%(1)</w:t>
            </w:r>
          </w:p>
        </w:tc>
        <w:tc>
          <w:tcPr>
            <w:tcW w:w="349" w:type="dxa"/>
            <w:tcBorders/>
            <w:vAlign w:val="bottom"/>
          </w:tcPr>
          <w:p>
            <w:pPr>
              <w:pStyle w:val="TableContents"/>
              <w:bidi w:val="0"/>
              <w:spacing w:before="0" w:after="283"/>
              <w:jc w:val="left"/>
              <w:rPr/>
            </w:pPr>
            <w:r>
              <w:rPr/>
              <w:t> </w:t>
            </w:r>
          </w:p>
        </w:tc>
        <w:tc>
          <w:tcPr>
            <w:tcW w:w="1419" w:type="dxa"/>
            <w:tcBorders/>
            <w:vAlign w:val="bottom"/>
          </w:tcPr>
          <w:p>
            <w:pPr>
              <w:pStyle w:val="TableContents"/>
              <w:bidi w:val="0"/>
              <w:spacing w:before="0" w:after="283"/>
              <w:jc w:val="center"/>
              <w:rPr>
                <w:b/>
              </w:rPr>
            </w:pPr>
            <w:r>
              <w:rPr>
                <w:b/>
              </w:rPr>
              <w:t>+4%(2)</w:t>
            </w:r>
          </w:p>
        </w:tc>
      </w:tr>
      <w:tr>
        <w:trPr>
          <w:trHeight w:val="120" w:hRule="atLeast"/>
        </w:trPr>
        <w:tc>
          <w:tcPr>
            <w:tcW w:w="5879" w:type="dxa"/>
            <w:tcBorders/>
            <w:vAlign w:val="center"/>
          </w:tcPr>
          <w:p>
            <w:pPr>
              <w:pStyle w:val="TableContents"/>
              <w:bidi w:val="0"/>
              <w:spacing w:before="0" w:after="283"/>
              <w:jc w:val="left"/>
              <w:rPr>
                <w:sz w:val="4"/>
                <w:szCs w:val="4"/>
              </w:rPr>
            </w:pPr>
            <w:r>
              <w:rPr>
                <w:sz w:val="4"/>
                <w:szCs w:val="4"/>
              </w:rPr>
            </w:r>
          </w:p>
        </w:tc>
        <w:tc>
          <w:tcPr>
            <w:tcW w:w="1741" w:type="dxa"/>
            <w:gridSpan w:val="2"/>
            <w:tcBorders/>
            <w:vAlign w:val="center"/>
          </w:tcPr>
          <w:p>
            <w:pPr>
              <w:pStyle w:val="TableContents"/>
              <w:bidi w:val="0"/>
              <w:spacing w:before="0" w:after="283"/>
              <w:jc w:val="left"/>
              <w:rPr>
                <w:sz w:val="4"/>
                <w:szCs w:val="4"/>
              </w:rPr>
            </w:pPr>
            <w:r>
              <w:rPr>
                <w:sz w:val="4"/>
                <w:szCs w:val="4"/>
              </w:rPr>
            </w:r>
          </w:p>
        </w:tc>
        <w:tc>
          <w:tcPr>
            <w:tcW w:w="1768" w:type="dxa"/>
            <w:gridSpan w:val="2"/>
            <w:tcBorders/>
            <w:vAlign w:val="center"/>
          </w:tcPr>
          <w:p>
            <w:pPr>
              <w:pStyle w:val="TableContents"/>
              <w:bidi w:val="0"/>
              <w:spacing w:before="0" w:after="283"/>
              <w:jc w:val="left"/>
              <w:rPr>
                <w:sz w:val="4"/>
                <w:szCs w:val="4"/>
              </w:rPr>
            </w:pPr>
            <w:r>
              <w:rPr>
                <w:sz w:val="4"/>
                <w:szCs w:val="4"/>
              </w:rPr>
            </w:r>
          </w:p>
        </w:tc>
      </w:tr>
      <w:tr>
        <w:trPr/>
        <w:tc>
          <w:tcPr>
            <w:tcW w:w="5879" w:type="dxa"/>
            <w:tcBorders>
              <w:bottom w:val="single" w:sz="8" w:space="0" w:color="000000"/>
            </w:tcBorders>
            <w:shd w:fill="CCEEFF" w:val="clear"/>
            <w:tcMar>
              <w:bottom w:w="28" w:type="dxa"/>
            </w:tcMar>
          </w:tcPr>
          <w:p>
            <w:pPr>
              <w:pStyle w:val="TableContents"/>
              <w:bidi w:val="0"/>
              <w:spacing w:before="0" w:after="283"/>
              <w:jc w:val="left"/>
              <w:rPr>
                <w:b/>
              </w:rPr>
            </w:pPr>
            <w:r>
              <w:rPr>
                <w:b/>
              </w:rPr>
              <w:t>Required Incremental Debt Reduction by FBB for Equivalent</w:t>
              <w:br/>
              <w:t>Value Proposition for DXL’s Stockholders</w:t>
            </w:r>
          </w:p>
        </w:tc>
        <w:tc>
          <w:tcPr>
            <w:tcW w:w="349" w:type="dxa"/>
            <w:tcBorders/>
            <w:shd w:fill="CCEEFF" w:val="clear"/>
            <w:vAlign w:val="bottom"/>
          </w:tcPr>
          <w:p>
            <w:pPr>
              <w:pStyle w:val="TableContents"/>
              <w:bidi w:val="0"/>
              <w:spacing w:before="0" w:after="283"/>
              <w:jc w:val="left"/>
              <w:rPr/>
            </w:pPr>
            <w:r>
              <w:rPr/>
              <w:t> </w:t>
            </w:r>
          </w:p>
        </w:tc>
        <w:tc>
          <w:tcPr>
            <w:tcW w:w="1392" w:type="dxa"/>
            <w:tcBorders/>
            <w:shd w:fill="CCEEFF" w:val="clear"/>
            <w:vAlign w:val="bottom"/>
          </w:tcPr>
          <w:p>
            <w:pPr>
              <w:pStyle w:val="TableContents"/>
              <w:bidi w:val="0"/>
              <w:spacing w:before="0" w:after="283"/>
              <w:jc w:val="center"/>
              <w:rPr>
                <w:b/>
              </w:rPr>
            </w:pPr>
            <w:r>
              <w:rPr>
                <w:b/>
              </w:rPr>
              <w:t>N/A</w:t>
            </w:r>
          </w:p>
        </w:tc>
        <w:tc>
          <w:tcPr>
            <w:tcW w:w="349" w:type="dxa"/>
            <w:tcBorders/>
            <w:shd w:fill="CCEEFF" w:val="clear"/>
            <w:vAlign w:val="bottom"/>
          </w:tcPr>
          <w:p>
            <w:pPr>
              <w:pStyle w:val="TableContents"/>
              <w:bidi w:val="0"/>
              <w:spacing w:before="0" w:after="283"/>
              <w:jc w:val="left"/>
              <w:rPr/>
            </w:pPr>
            <w:r>
              <w:rPr/>
              <w:t> </w:t>
            </w:r>
          </w:p>
        </w:tc>
        <w:tc>
          <w:tcPr>
            <w:tcW w:w="1419" w:type="dxa"/>
            <w:tcBorders/>
            <w:shd w:fill="CCEEFF" w:val="clear"/>
            <w:vAlign w:val="bottom"/>
          </w:tcPr>
          <w:p>
            <w:pPr>
              <w:pStyle w:val="TableContents"/>
              <w:bidi w:val="0"/>
              <w:spacing w:before="0" w:after="283"/>
              <w:jc w:val="center"/>
              <w:rPr>
                <w:b/>
              </w:rPr>
            </w:pPr>
            <w:r>
              <w:rPr>
                <w:b/>
              </w:rPr>
              <w:t>($112)</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$30.0 million. </w:t>
            </w:r>
          </w:p>
        </w:tc>
      </w:tr>
    </w:tbl>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3"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Based on assumed synergies of $22.5 million (i.e., midpoint of $20.0 million and $25.0 million).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of Guggenheim Securities’ financial analyses regarding FBB reflect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In discussing the May 2026 Supplemental Financial Analyses with the DXL Board, Guggenheim Securities noted that the primary drivers of the variances in the items in the table above were the May 2026 DXL-Provided Financial Projections for DXL and FBB and the May 2026 Synergy Estimates (each as described in the section entitled “</w:t>
      </w:r>
      <w:r>
        <w:rPr>
          <w:rFonts w:ascii="Times New Roman" w:hAnsi="Times New Roman"/>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versus the December 2025 DXL-Provided Financial Projections for DXL and FBB and the December 2025 Synergy Estimates (each as described in the section entitled “</w:t>
      </w:r>
      <w:r>
        <w:rPr>
          <w:rFonts w:ascii="Times New Roman" w:hAnsi="Times New Roman"/>
          <w:i/>
          <w:sz w:val="20"/>
          <w:bdr w:val="single" w:sz="8" w:space="1" w:color="000000"/>
        </w:rPr>
        <w:t>The Merger—December 2025 Opinion of Guggenheim Securities, Financial Advisor to DXL</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Overview of the Merger Agreement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Consideration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DXL or merger subsidiary immediately prior to the effective time of the merger. At the effective time of the merger, if consummated, all Excluded Shares would be cancelled and cease to exist and no consideration would be delivered in exchange.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effective time of the merger, if consummated,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cash consideration for the Unaccredited Investor Shares, without any interest thereon.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Exchange Ratio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Unaccredited Investor Shares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FBB common stock held immediately prior to the effective time by an FBB stockholder that is an unaccredited investor would be converted into the right to receive the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FBB Equity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Treatment of DXL Equity and Performance-Based Awards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performance stock unit award would be treated in accordance with its existing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Each DXL performance-based award that is outstanding under the LTIP at the effective time of the merger (a) would be cancelled and paid out on a pro rata basis equal to the product of (i) the earned amount of the award based on the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performance targets under the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Conditions to the Closing of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Approval of the issuance proposal is a condition to the completion of the merger. 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The Nasdaq Stock Market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2026, the last practicable date before the printing of the proxy statement, the closing price per share of DXL common stock as reported on Nasdaq was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Approval of the 2016 plan proposal and the adjournment proposal are not conditions to the completion of the merger with FBB. Additionally, each of the other closing conditions set forth in the merger agreement and described in the section entitled “</w:t>
      </w:r>
      <w:r>
        <w:rPr>
          <w:rFonts w:ascii="Times New Roman" w:hAnsi="Times New Roman"/>
          <w:i/>
          <w:sz w:val="20"/>
          <w:bdr w:val="single" w:sz="8" w:space="1" w:color="000000"/>
        </w:rPr>
        <w:t>The Merger Agreement—Conditions to the Closing of the Merger</w:t>
      </w:r>
      <w:r>
        <w:rPr>
          <w:rFonts w:ascii="Times New Roman" w:hAnsi="Times New Roman"/>
          <w:sz w:val="20"/>
          <w:bdr w:val="single" w:sz="8" w:space="1" w:color="000000"/>
        </w:rPr>
        <w:t xml:space="preserve">” must be satisfied or waived.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Non-Solicitation of Acquisition Proposals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an FBB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solicit, initiate or knowingly facilitate any communications, inquiries, requests, proposals or offers that constitute, or that would reasonably be expected to lead to, a DXL Takeover Proposal (as described in the section entitled “</w:t>
            </w:r>
            <w:r>
              <w:rPr>
                <w:rFonts w:ascii="Times New Roman" w:hAnsi="Times New Roman"/>
                <w:i/>
                <w:sz w:val="20"/>
              </w:rPr>
              <w:t>The Merger Agreement—Non-Solicitation of Acquisition Proposals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Termination Fee; Expense Reimbursement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DXL or FBB can terminate the merger agreement under specified circumstances, which would prevent the merger from being consummated. The merger agreement provides for the payment of a termination fee of $2.5 million by either DXL or FBB to the other party upon termination of the merger agreement under specified circumstances, and up to a maximum of $950,000 for all reasonable out-of-pocket fees and expenses incurred by either DXL or FBB in connection with the negotiation of the merger agreement.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Nasdaq Listing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Voting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merger agreement, the directors and chief financial officer of DXL and Fund 1 Investments, LLC (an entity of which Pleasant Lake Partners LLC serves as investment advisor) (“PLP”) entered into voting agreements with FBB, pursuant to which such directors, chief financial officer and PLP agreed, among other things, at any meeting of the stockholders of DXL and in connection with any action proposed to be taken by written consent of the stockholders of DXL, that such directors, chief financial officer and PLP will: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such directors, chief financial officer and PLP to be counted as present for the purpose of determining a quorum;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deliver a written consent with respect to, all shares held by such directors, chief financial officer and PLP: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against any Adverse Proposal (described in the section entitled “</w:t>
            </w:r>
            <w:r>
              <w:rPr>
                <w:rFonts w:ascii="Times New Roman" w:hAnsi="Times New Roman"/>
                <w:i/>
                <w:sz w:val="20"/>
              </w:rPr>
              <w:t>Agreements Related To The Merger—Voting Agreements</w:t>
            </w:r>
            <w:r>
              <w:rPr>
                <w:rFonts w:ascii="Times New Roman" w:hAnsi="Times New Roman"/>
                <w:sz w:val="20"/>
              </w:rPr>
              <w:t xml:space="preserve">”), except as permitted under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the directors and chief financial officer of DXL also agreed not to transfer any DXL shares held by such directors and chief financial officer, and any transferee pursuant to an involuntary transfer will agree to hold such DXL shares subject to the restrictions, obligations, liabilities and rights under the voting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directors and chief financial officer of DXL and PLP hold, in the aggregate, voting shares representing [●]% of the issued and outstanding shares of DXL common stock as of the record date and </w:t>
      </w:r>
      <w:r>
        <w:rPr>
          <w:rFonts w:ascii="Times New Roman" w:hAnsi="Times New Roman"/>
          <w:b/>
          <w:sz w:val="20"/>
          <w:bdr w:val="single" w:sz="8" w:space="1" w:color="000000"/>
        </w:rPr>
        <w:t>[</w:t>
      </w:r>
      <w:r>
        <w:rPr>
          <w:rFonts w:ascii="Times New Roman" w:hAnsi="Times New Roman"/>
          <w:sz w:val="20"/>
          <w:bdr w:val="single" w:sz="8" w:space="1" w:color="000000"/>
        </w:rPr>
        <w:t>●</w:t>
      </w:r>
      <w:r>
        <w:rPr>
          <w:rFonts w:ascii="Times New Roman" w:hAnsi="Times New Roman"/>
          <w:b/>
          <w:sz w:val="20"/>
          <w:bdr w:val="single" w:sz="8" w:space="1" w:color="000000"/>
        </w:rPr>
        <w:t>]</w:t>
      </w:r>
      <w:r>
        <w:rPr>
          <w:rFonts w:ascii="Times New Roman" w:hAnsi="Times New Roman"/>
          <w:sz w:val="20"/>
          <w:bdr w:val="single" w:sz="8" w:space="1" w:color="000000"/>
        </w:rPr>
        <w:t xml:space="preserve">% of the votes entitled to be cast at the special meeting.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voting agreements, which reflect the decisions of the respective stockholders as of the execution of the merger agreement, may increase the likelihood that the issuance proposal is approved notwithstanding the DXL Board’s recommendation against it.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Lock-Up Agreements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of the merger agreement, certain stockholders of FBB, expected to represent approximately [●]% of the outstanding shares of DXL common stock as of immediately following the merger, entered into lock-up agreements, pursuant to which they accepted certain restrictions on transfers of the 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In addition, in connection with the private placement, the private placement investors were granted certain registration rights with respect to the shares of DXL common stock they would receive in the merger in exchange for shares of FBB common stock. Such registration rights would require the combined company to use reasonable best efforts to prepare and file a registration statement with the SEC as soon as practicable following the closing of the merger, if consummated, but in no event later than the 30th day following such closing to register the resale of the shares purchased in the private placement. The closing of the private placement is expected to occur immediately prior to the closing of the merger and is a condition to closing the merger. The private placement is discussed in more detail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Management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at the effective time of the merger, the executive management team of the combined company would be expected to include the following individuals: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573"/>
        <w:gridCol w:w="202"/>
        <w:gridCol w:w="3267"/>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02"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 with the Combined</w:t>
            </w:r>
          </w:p>
          <w:p>
            <w:pPr>
              <w:pStyle w:val="TableContents"/>
              <w:bidi w:val="0"/>
              <w:spacing w:before="0" w:after="20"/>
              <w:jc w:val="center"/>
              <w:rPr>
                <w:rFonts w:ascii="Times New Roman" w:hAnsi="Times New Roman"/>
                <w:b/>
                <w:sz w:val="16"/>
              </w:rPr>
            </w:pPr>
            <w:r>
              <w:rPr>
                <w:rFonts w:ascii="Times New Roman" w:hAnsi="Times New Roman"/>
                <w:b/>
                <w:sz w:val="16"/>
              </w:rPr>
              <w:t>Company</w:t>
            </w:r>
          </w:p>
        </w:tc>
        <w:tc>
          <w:tcPr>
            <w:tcW w:w="203" w:type="dxa"/>
            <w:tcBorders/>
            <w:vAlign w:val="bottom"/>
          </w:tcPr>
          <w:p>
            <w:pPr>
              <w:pStyle w:val="TableContents"/>
              <w:bidi w:val="0"/>
              <w:spacing w:before="0" w:after="283"/>
              <w:jc w:val="left"/>
              <w:rPr/>
            </w:pPr>
            <w:r>
              <w:rPr/>
              <w:t>  </w:t>
            </w:r>
          </w:p>
        </w:tc>
        <w:tc>
          <w:tcPr>
            <w:tcW w:w="29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Current Position with either DXL</w:t>
            </w:r>
          </w:p>
          <w:p>
            <w:pPr>
              <w:pStyle w:val="TableContents"/>
              <w:bidi w:val="0"/>
              <w:spacing w:before="0" w:after="20"/>
              <w:jc w:val="center"/>
              <w:rPr>
                <w:rFonts w:ascii="Times New Roman" w:hAnsi="Times New Roman"/>
                <w:b/>
                <w:sz w:val="16"/>
              </w:rPr>
            </w:pPr>
            <w:r>
              <w:rPr>
                <w:rFonts w:ascii="Times New Roman" w:hAnsi="Times New Roman"/>
                <w:b/>
                <w:sz w:val="16"/>
              </w:rPr>
              <w:t>or FBB</w:t>
            </w:r>
          </w:p>
        </w:tc>
      </w:tr>
      <w:tr>
        <w:trPr/>
        <w:tc>
          <w:tcPr>
            <w:tcW w:w="3573" w:type="dxa"/>
            <w:tcBorders/>
          </w:tcPr>
          <w:p>
            <w:pPr>
              <w:pStyle w:val="TableContents"/>
              <w:bidi w:val="0"/>
              <w:spacing w:before="0" w:after="283"/>
              <w:jc w:val="left"/>
              <w:rPr/>
            </w:pPr>
            <w:r>
              <w:rPr/>
              <w:t>Jim Fogarty</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Executive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Executive Officer of FBB</w:t>
            </w:r>
          </w:p>
        </w:tc>
      </w:tr>
      <w:tr>
        <w:trPr/>
        <w:tc>
          <w:tcPr>
            <w:tcW w:w="3573" w:type="dxa"/>
            <w:tcBorders/>
          </w:tcPr>
          <w:p>
            <w:pPr>
              <w:pStyle w:val="TableContents"/>
              <w:bidi w:val="0"/>
              <w:spacing w:before="0" w:after="283"/>
              <w:jc w:val="left"/>
              <w:rPr/>
            </w:pPr>
            <w:r>
              <w:rPr/>
              <w:t>Peter H. Stratton, Jr.</w:t>
            </w:r>
          </w:p>
        </w:tc>
        <w:tc>
          <w:tcPr>
            <w:tcW w:w="202"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pPr>
            <w:r>
              <w:rPr/>
              <w:t>Chief Financial Officer</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center"/>
              <w:rPr/>
            </w:pPr>
            <w:r>
              <w:rPr/>
              <w:t>Chief Financial Officer of DXL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Board of Directors of the Combined Company Following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Interests of DXL’s Directors and Executive Officers in the Merger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DXL’s directors and executive officers have economic interests in the merger that are different from, or in addition to, those of DXL stockholders generally. These interests are discussed in more detail in the section entitled “</w:t>
      </w:r>
      <w:r>
        <w:rPr>
          <w:rFonts w:ascii="Times New Roman" w:hAnsi="Times New Roman"/>
          <w:i/>
          <w:sz w:val="20"/>
          <w:bdr w:val="single" w:sz="8" w:space="1" w:color="000000"/>
        </w:rPr>
        <w:t>The Merger—Interests of DXL’s Directors and Executive Officers in the Merger</w:t>
      </w:r>
      <w:r>
        <w:rPr>
          <w:rFonts w:ascii="Times New Roman" w:hAnsi="Times New Roman"/>
          <w:sz w:val="20"/>
          <w:bdr w:val="single" w:sz="8" w:space="1" w:color="000000"/>
        </w:rPr>
        <w:t xml:space="preserve">”. The DXL Board was aware of and considered these interests, among other matters, in reaching its decision to approve the merger agreement in December 2025, and in evaluating and negotiating the merger agreement and the merger. Following developments since the execution of the merger agreement, the DXL Board now recommends that DXL stockholders vote “AGAINST” the issuance proposal.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Federal Securities Law Consequences; Resale Restrictions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that less than thirty (30) holders of FBB common stock have not executed an investor questionnaire certifying that such stockholder is an “accredited investor” pursuant to Regulation D under the Securities Act (such investors “unaccredited investors”).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bdr w:val="single" w:sz="8" w:space="1" w:color="000000"/>
        </w:rPr>
        <w:t>Agreements Related To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Material U.S. Federal Income Tax Consequences of the Merger and the Reverse 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would not sell, exchange or dispose of any shares of DXL common stock as a result of the merger if the merger is consummated. Thus, there would be no material U.S. federal income tax consequences to DXL stockholders as a result of the merger. DXL stockholders would not be expected to recognize gain or loss upon the reverse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a more complete description of the material U.S. federal income tax consequences of the reverse stock split and merger, please see the section entitled “</w:t>
      </w:r>
      <w:r>
        <w:rPr>
          <w:rFonts w:ascii="Times New Roman" w:hAnsi="Times New Roman"/>
          <w:i/>
          <w:sz w:val="20"/>
          <w:bdr w:val="single" w:sz="8" w:space="1" w:color="000000"/>
        </w:rPr>
        <w:t>The Merger—Material U.S. Federal Income Tax Consequences of the Merger and the Reverse Stock Split</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Accounting Treatment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consummated, the merger would be treated by DXL as a reverse acquisition under U.S. generally accepted accounting principles (“GAAP”). For accounting purposes, FBB would be considered the accounting acquirer in this transaction even though DXL would be the legal acquirer.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Appraisal Rights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DXL stockholders are not entitled to appraisal rights in connection with the merger.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b/>
          <w:sz w:val="20"/>
          <w:bdr w:val="single" w:sz="8" w:space="1" w:color="000000"/>
        </w:rPr>
        <w:t>The DXL Board no longer recommends that stockholders approve the merger. As a result, stockholders are being asked to vote on a transaction that the DXL Board has determined is not in the best interests of DXL stockholders on its current terms. These developments since the execution of the merger agreement may materially affect stockholders’ assessment of the merger and the likelihood that the merger will be completed.</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bdr w:val="single" w:sz="8" w:space="1" w:color="000000"/>
        </w:rPr>
        <w:t>The Merger</w:t>
      </w:r>
      <w:r>
        <w:rPr>
          <w:rFonts w:ascii="Times New Roman" w:hAnsi="Times New Roman"/>
          <w:sz w:val="20"/>
          <w:bdr w:val="single" w:sz="8" w:space="1" w:color="000000"/>
        </w:rPr>
        <w:t>—</w:t>
      </w:r>
      <w:r>
        <w:rPr>
          <w:rFonts w:ascii="Times New Roman" w:hAnsi="Times New Roman"/>
          <w:b/>
          <w:i/>
          <w:sz w:val="20"/>
          <w:bdr w:val="single" w:sz="8" w:space="1" w:color="000000"/>
        </w:rPr>
        <w:t>May 2026 Supplemental Financial Analyses</w:t>
      </w:r>
      <w:r>
        <w:rPr>
          <w:rFonts w:ascii="Times New Roman" w:hAnsi="Times New Roman"/>
          <w:sz w:val="20"/>
          <w:bdr w:val="single" w:sz="8" w:space="1" w:color="000000"/>
        </w:rPr>
        <w:t xml:space="preserve"> </w:t>
      </w:r>
      <w:r>
        <w:rPr>
          <w:rFonts w:ascii="Times New Roman" w:hAnsi="Times New Roman"/>
          <w:b/>
          <w:i/>
          <w:sz w:val="20"/>
          <w:bdr w:val="single" w:sz="8" w:space="1" w:color="000000"/>
        </w:rPr>
        <w:t>Prepared by Guggenheim Securities, Financial Advisor to DXL”)</w:t>
      </w:r>
      <w:r>
        <w:rPr>
          <w:rFonts w:ascii="Times New Roman" w:hAnsi="Times New Roman"/>
          <w:b/>
          <w:sz w:val="20"/>
          <w:bdr w:val="single" w:sz="8" w:space="1" w:color="000000"/>
        </w:rPr>
        <w:t>, Guggenheim Securities advised the DXL Board that, in light of the May 2026 DXL-Provided Financial Projections and the May 2026 Synergy Estimates (each as defined in the section entitled “</w:t>
      </w:r>
      <w:r>
        <w:rPr>
          <w:rFonts w:ascii="Times New Roman" w:hAnsi="Times New Roman"/>
          <w:b/>
          <w:i/>
          <w:sz w:val="20"/>
          <w:bdr w:val="single" w:sz="8" w:space="1" w:color="000000"/>
        </w:rPr>
        <w:t>The Merger—May 2026 Supplemental Financial Analyses Prepared by Guggenheim Securities, Financial Advisor to DXL”)</w:t>
      </w:r>
      <w:r>
        <w:rPr>
          <w:rFonts w:ascii="Times New Roman" w:hAnsi="Times New Roman"/>
          <w:sz w:val="20"/>
          <w:bdr w:val="single" w:sz="8" w:space="1" w:color="000000"/>
        </w:rPr>
        <w:t xml:space="preserve"> </w:t>
      </w:r>
      <w:r>
        <w:rPr>
          <w:rFonts w:ascii="Times New Roman" w:hAnsi="Times New Roman"/>
          <w:b/>
          <w:sz w:val="20"/>
          <w:bdr w:val="single" w:sz="8" w:space="1" w:color="00000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DXL and FBB are subject to various risks associated with their businesses and their industries. In addition, the merger, including the possibility that the merger may not be completed, poses a number of risks to each company and its respective stockholders, including the following risks: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create uncertainty regarding the outcome of the stockholder vote and may adversely affect the market price of DXL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change in recommendation may adversely affect DXL’s relationships with FBB and increase the likelihood of disputes, including litigation.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increase the likelihood that the merger is not consummated and that DXL will be subject to the risks associated with remaining a standalone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recommendation against the issuance proposal may encourage alternative transactions or unsolicited proposals, which could create additional uncertainty and volatility.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existence of differing views between DXL and FBB regarding the merger may adversely affect the parties’ ability to complete the transaction or collaborate effectively.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FBB and the potential benefits of the merger in this proxy statement is based in part on information provided by FBB, and stockholders are presented with differing perspectives regarding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directors and executive officers have conflicts of interest that may influence them to support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may be completed even though material adverse changes may result from the announcement of the merger, industry-wide changes and other causes.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may decline as a result of the merger, if consummated.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stockholders may not realize a benefit from the merger commensurate with the ownership dilution they will experience in connection with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pendency of the merger, DXL may not be able to enter into a business combination with another party and will be subject to contractual limitations on certain actions because of restrictions in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expected to result in an annual limitation on DXL’s ability to utilize its net operating loss carryforwards.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consummate the merger may result in DXL paying a termination fee and/or out-of-pocket fees and expenses to FBB and could harm the price of DXL common stock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Once the merger has consummated, there can be no further recourse by either party or its stockholders for a breach of representation or warranty.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provisions of the merger agreement may discourage third parties from submitting alternative takeover proposals, including proposals that may be superior to the arrangements contemplated by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met, the merger may not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may result in some stockholders owning “odd lots” that may be more difficult to sell or require greater transaction costs per share to sell.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reduced number of issued shares of DXL common stock resulting from the reverse stock split could adversely affect the liquidity of DXL common stock and result in higher transaction costs if the merger is not consummated.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Additional discussion of the risks summarized in this risk factor summary, and other risks that DXL and FBB face, can be found below under the heading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and should be carefully considered, together with other information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76201_3"/>
      <w:bookmarkEnd w:id="5"/>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common stock is listed for trading on The Nasdaq Global Market under the symbol “DXLG”. On June 30, 2026, DXL submitted a transfer application to transfer the listing of its common stock from The Nasdaq Global Market to The Nasdaq Capital Market.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last trading day prior to the public announcement of the proposed merger on December 11, 2025, the closing price per share of DXL common stock as reported on Nasdaq was $1.08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this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and subject to successful application for initial listing with Nasdaq, DXL common stock would be expected to continue to be listed on The Nasdaq Capital Market under the symbol “DXLG”.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240" w:after="0"/>
        <w:jc w:val="left"/>
        <w:rPr>
          <w:rFonts w:ascii="Times New Roman" w:hAnsi="Times New Roman"/>
          <w:sz w:val="20"/>
        </w:rPr>
      </w:pPr>
      <w:r>
        <w:rPr>
          <w:rFonts w:ascii="Times New Roman" w:hAnsi="Times New Roman"/>
          <w:sz w:val="20"/>
        </w:rPr>
        <w:t xml:space="preserve">DXL has never declared or paid cash dividends on DXL common stock. DXL currently anticipates that all of its earnings in the foreseeable future will be used for the operation and growth of its business and paying down debt. Future payment of dividends and share buybacks, if any, will be at the discretion of the DXL Board. </w:t>
      </w:r>
    </w:p>
    <w:p>
      <w:pPr>
        <w:pStyle w:val="TextBody"/>
        <w:bidi w:val="0"/>
        <w:spacing w:before="240" w:after="0"/>
        <w:jc w:val="left"/>
        <w:rPr>
          <w:rFonts w:ascii="Times New Roman" w:hAnsi="Times New Roman"/>
          <w:sz w:val="20"/>
        </w:rPr>
      </w:pPr>
      <w:r>
        <w:rPr>
          <w:rFonts w:ascii="Times New Roman" w:hAnsi="Times New Roman"/>
          <w:sz w:val="20"/>
        </w:rPr>
        <w:t xml:space="preserve">FBB common stock is not listed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76201_4"/>
      <w:bookmarkEnd w:id="6"/>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 and the documents incorporated by reference into this proxy statement, contains “forward-looking” statements within the meaning of Section 21E of the Securities Exchange Act of 1934, as amended, and the Private Securities Litigation Reform Act of 1995, known as the PSLRA. These statements, as they relate to DXL or FBB, the management of either such company or the proposed transaction between DXL or FBB, involve risks and uncertainties that may cause results to differ materially from those set forth in the statements. Forward-looking statements are not historical facts but rather are based on current plans, expectations,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DXL, as well as assumptions made by, and information currently available to management. No forward-looking statement can be guaranteed, and actual results may differ materially from those projected. In light of developments since the execution of the merger agreement as described in this proxy statement, including the DXL Board’s withdrawal of its prior recommendation and its recommendation that stockholders vote “AGAINST” the issuance proposal, the forward-looking statements in this proxy statement should be evaluated in that context. DXL and FBB undertake no obligation to publicly update any forward-looking statement, whether as a result of new information, future events or otherwise, except to the extent required by law. DXL uses words such as “anticipates,” “believes,” “plans,” “expects,” “projects,” “future,” “intends,” “may,” “will,” “should,” “could,” “estimates,” “outlook,” “predicts,” “potential,” “continue,” and similar expressions that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DXL has filed with the SEC as well as the possibility that (i) risks associated with DXL’s ability to obtain the stockholder approval required to consummate the proposed transaction, including approval of the issuance of shares of DXL common stock in the merger and the resulting “change of control” of DXL under the Nasdaq rules or the contemplated reverse stock split, and the timing of the closing of the proposed transaction, including the risks that a condition to closing would not be satisfied within the expected timeframe, or at all, or that the closing of the proposed transaction, will not occur; (ii) the response of DXL stockholders to the proposed transaction; (iii) the DXL Board’s recommendation that stockholders vote “AGAINST” the issuance proposal and the resulting uncertainty regarding whether the merger will be completed; (iv) risks related to DXL’s ability to manage its operating expenses and its expenses associated with the proposed transaction pending closing; (v) risks related to the failure or delay in obtaining required approvals from any governmental or quasi-governmental entity necessary to consummate the proposed transaction, including continued listing on Nasdaq; (vi) the risk that as a result of adjustments to the post-closing equity split, DXL stockholders and FBB stockholders could own more or less of the combined company than is currently anticipated; (vii) risks related to the market price of DXL common stock relative to the exchange ratio; (viii) unexpected liabilities, costs, charges, expenditures or expenses resulting from the proposed transaction; (ix) potential adverse reactions or changes to business relationships resulting from the announcement or completion of the proposed transaction; (x) DXL’s ability to retain personnel as a result of the announcement or completion of the proposed transaction; (xi) risks associated with the possible failure to realize certain anticipated benefits of the proposed transaction, including with respect to future financial and operating results; and (xii) risks associated with the possible failure to properly and effectively integrate the proposed transaction. Additionally, forward-looking statements related to FBB’s future expectations are subject to numerous risks and uncertainties. Neither DXL nor FBB gives any assurance that either DXL or FBB will achieve its expectations. </w:t>
      </w:r>
    </w:p>
    <w:p>
      <w:pPr>
        <w:pStyle w:val="TextBody"/>
        <w:bidi w:val="0"/>
        <w:spacing w:before="240" w:after="0"/>
        <w:jc w:val="left"/>
        <w:rPr>
          <w:rFonts w:ascii="Times New Roman" w:hAnsi="Times New Roman"/>
          <w:sz w:val="20"/>
        </w:rPr>
      </w:pPr>
      <w:r>
        <w:rPr>
          <w:rFonts w:ascii="Times New Roman" w:hAnsi="Times New Roman"/>
          <w:sz w:val="20"/>
        </w:rPr>
        <w:t>The foregoing list of factors is not exhaustive. You should carefully consider the foregoing factors and the other risks and uncertainties that affect the businesses of DXL described in the “</w:t>
      </w:r>
      <w:r>
        <w:rPr>
          <w:rFonts w:ascii="Times New Roman" w:hAnsi="Times New Roman"/>
          <w:i/>
          <w:sz w:val="20"/>
        </w:rPr>
        <w:t>Risk Factors</w:t>
      </w:r>
      <w:r>
        <w:rPr>
          <w:rFonts w:ascii="Times New Roman" w:hAnsi="Times New Roman"/>
          <w:sz w:val="20"/>
        </w:rPr>
        <w:t>” section of this proxy statement, DXL’s Annual Report on Form 10-K, Quarterly Reports on Form 10-Q, Current Reports on Form 8-K and other documents filed by DXL from time to time with the SEC. Please see the section entitled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All forward-looking statements included in this proxy statement are based upon information available to DXL and FBB on the date hereof. If any of these risks or uncertainties materialize or any of these assumptions prove incorrect, the results of operations of DXL, FBB or the combined company,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is consummated, could differ materially from the forward-looking statements. All forward-looking statements in this proxy statement are current only as of the date on which the statements were made. DXL and FBB do not undertake any obligation to publicly update any forward-looking statements to reflect events or circumstances after the date on which any statement is made, the occurrence of unanticipated events or any new information that becomes available in the future,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7620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following risk factors relating to the consummation of the merger and to the combined company following the merger in deciding how to vote for the proposals presented in this proxy statement. These factors should be considered in conjunction with the other information included or incorporated by reference by DXL in this proxy statement. </w:t>
      </w:r>
    </w:p>
    <w:p>
      <w:pPr>
        <w:pStyle w:val="TextBody"/>
        <w:bidi w:val="0"/>
        <w:spacing w:before="480" w:after="0"/>
        <w:jc w:val="center"/>
        <w:rPr>
          <w:rFonts w:ascii="Times New Roman" w:hAnsi="Times New Roman"/>
          <w:b/>
          <w:sz w:val="20"/>
        </w:rPr>
      </w:pPr>
      <w:bookmarkStart w:id="8" w:name="tx76201_6"/>
      <w:bookmarkEnd w:id="8"/>
      <w:r>
        <w:rPr>
          <w:rFonts w:ascii="Times New Roman" w:hAnsi="Times New Roman"/>
          <w:b/>
          <w:sz w:val="20"/>
        </w:rPr>
        <w:t xml:space="preserve">Risks Related to the Merger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DXL Board’s recommendation that stockholders vote against the issuance proposal may create uncertainty regarding the outcome of the stockholder vote and may adversely affect the market price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determined to recommend that DXL stockholders vote against the issuance proposal. This recommendation may create significant uncertainty regarding the likelihood that the merger will be consummated. Such uncertainty may result in increased volatility in the trading price of DXL common stock and may adversely affect DXL’s ability to maintain or attract investors, including institutional investors that may have investment mandates tied to transaction outcomes or strategic direction. </w:t>
      </w:r>
    </w:p>
    <w:p>
      <w:pPr>
        <w:pStyle w:val="TextBody"/>
        <w:bidi w:val="0"/>
        <w:spacing w:before="240" w:after="0"/>
        <w:jc w:val="left"/>
        <w:rPr>
          <w:rFonts w:ascii="Times New Roman" w:hAnsi="Times New Roman"/>
          <w:sz w:val="20"/>
        </w:rPr>
      </w:pPr>
      <w:r>
        <w:rPr>
          <w:rFonts w:ascii="Times New Roman" w:hAnsi="Times New Roman"/>
          <w:sz w:val="20"/>
        </w:rPr>
        <w:t xml:space="preserve">Moreover, market participants may interpret the DXL Board’s recommendation as an indication that the merger is not in the best interests of DXL or its stockholders or that there are risks or uncertainties not fully reflected in the trading price of DXL common stock, which could negatively impact investor confidence and the market price of DXL common stock, potentially for an extended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change in recommendation may adversely affect DXL’s relationships with FBB and increase the likelihood of disputes, including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that stockholders vote against the issuance proposal may give rise to questions regarding DXL’s obligations under the merger agreement, depending on the circumstances under which such recommendation was made and any applicable contractual provisions, including any provisions governing changes in recommendation, fiduciary duties or efforts covenants. As a result, the change in recommendation may lead to disputes with FBB, including claims that DXL has breached its obligations under the merger agreement or failed to comply with applicable covenants or standards of conduct. Such disputes may result in litigation, including actions seeking damages, injunctive relief or the enforcement of contractual provisions, including specific performance, which could be costly and time-consuming and could divert management’s attention from DXL’s business and, if adversely determined, could result in monetary or equitable remedies that could have a material adverse effect on DXL’s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stockholders entered into voting agreements in connection with the merger agreement in favor of the issuance proposal, which may increase the likelihood that the issuance proposal is approved notwithstanding the DXL Board’s recommendation against it. </w:t>
      </w:r>
    </w:p>
    <w:p>
      <w:pPr>
        <w:pStyle w:val="TextBody"/>
        <w:bidi w:val="0"/>
        <w:spacing w:before="120" w:after="0"/>
        <w:jc w:val="left"/>
        <w:rPr>
          <w:rFonts w:ascii="Times New Roman" w:hAnsi="Times New Roman"/>
          <w:sz w:val="20"/>
        </w:rPr>
      </w:pPr>
      <w:r>
        <w:rPr>
          <w:rFonts w:ascii="Times New Roman" w:hAnsi="Times New Roman"/>
          <w:sz w:val="20"/>
        </w:rPr>
        <w:t xml:space="preserve">Certain stockholders of DXL entered into voting agreements pursuant to which they have agreed to vote their shares of DXL common stock in favor of the issuance proposal.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As a result of these voting commitments, the likelihood that the issuance proposal will be approved may be increased, even though the DXL Board has withdrawn its prior recommendation in favor of the merger and the issuance proposal and now recommends that stockholders vote “AGAINST” the issuance proposal, and such outcome may occur irrespective of the views of other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particular, these voting agreements may make it more difficult for other DXL stockholders to influence the outcome of the vote on the issuance proposal, and may reduce the practical impact of votes cast by stockholders who do not support the issuance proposal. Accordingly, the issuance proposal could be approved despite the DXL Board’s recent determination, after its ongoing evaluation of the merger and in light of developments since the execution of the merger agreement, that the merger and the transactions contemplated by the merger agreement, including the issuance proposal, are not in the best interests of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the issuance proposal is approved, and the other conditions to the merger are satisfied or waived (including the reverse stock split approval), the merger would be completed, notwithstanding the DXL Board’s recommendation against the issuance proposal, and stockholders who did not vote in favor of the issuance proposal would nevertheless be subject to the effects of the completed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increase the likelihood that the merger is not consummated and that DXL will be subject to the risks associated with remaining a standalone company. </w:t>
      </w:r>
    </w:p>
    <w:p>
      <w:pPr>
        <w:pStyle w:val="TextBody"/>
        <w:bidi w:val="0"/>
        <w:spacing w:before="120" w:after="0"/>
        <w:jc w:val="left"/>
        <w:rPr>
          <w:rFonts w:ascii="Times New Roman" w:hAnsi="Times New Roman"/>
          <w:sz w:val="20"/>
        </w:rPr>
      </w:pPr>
      <w:r>
        <w:rPr>
          <w:rFonts w:ascii="Times New Roman" w:hAnsi="Times New Roman"/>
          <w:sz w:val="20"/>
        </w:rPr>
        <w:t xml:space="preserve">In light of the DXL Board’s recommendation, there is a heightened risk that DXL stockholders will not approve the merger. If the merger is not consummated, DXL will continue to operate as a standalone company. In that event, DXL would remain subject to the risks associated with its standalone business, including those described elsewhere in this proxy statement, and may have incurred significant costs and disruption in pursuing the merger without realizing any corresponding benefits, which could adversely affect DXL’s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DXL Board’s recommendation against the issuance proposal may encourage alternative transactions or unsolicited proposals, which could create additional uncertainty and volatility.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may signal to third parties that DXL could be open to alternative strategic transactions, subject to the limitations in the merger agreement. As a result, DXL may receive unsolicited acquisition proposals or be subject to takeover attempts or proxy contests, including actions by stockholders or other parties seeking to influence the composition of the DXL Board or DXL’s strategic direction. While such developments could result in alternative transactions that may be favorable to stockholders, they could also lead to additional uncertainty, increased volatility in the price of DXL common stock, additional transaction costs and potential disruption to DXL’s business operations, as well as increased demands on management and the DXL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existence of differing views between DXL and FBB regarding the merger may adversely affect the parties’ ability to complete the transaction or collaborate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DXL Board’s recommendation against the issuance proposal reflects a divergence in views between DXL and FBB regarding the merits of the transaction. This divergence may impair the parties’ ability to cooperate effectively in fulfilling their respective obligations under the merger agreement, including efforts to satisfy closing conditions and to manage ongoing obligations during the interim period. This lack of alignment could create operational inefficiencies, delay required actions, and adversely affect the overall business performance of DXL during the pendency of the transaction, including by creating uncertainty among employees, customers, suppliers and other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regarding FBB and the potential benefits of the merger in this proxy statement is based in part on information provided by FBB, and stockholders are presented with differing perspectives regarding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includes information regarding FBB, its business, financial condition and prospects, as well as statements regarding the potential strategic and financial benefits of the merger and the expected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combined company. Certain of this information has been provided by FBB or its representatives and reflects FBB’s views regarding the anticipated benefits of the transaction, which may involve assumptions, projections and judgments that are inherently uncertain and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As a result, certain statements identified in this proxy statement as having been made or provided by FBB or its representatives regarding the expected benefits of the merger, the outlook for the combined company or the strategic rationale for the transaction may differ from, or be inconsistent with, the views of the DXL Board. The DXL Board does not adopt or endorse such statements as reflecting its current views, and any anticipated benefits, synergies or other forward-looking matters described in such statements are subject to risks and uncertainties and may not be achieved. </w:t>
      </w:r>
    </w:p>
    <w:p>
      <w:pPr>
        <w:pStyle w:val="TextBody"/>
        <w:bidi w:val="0"/>
        <w:spacing w:before="240" w:after="0"/>
        <w:jc w:val="left"/>
        <w:rPr>
          <w:rFonts w:ascii="Times New Roman" w:hAnsi="Times New Roman"/>
          <w:sz w:val="20"/>
        </w:rPr>
      </w:pPr>
      <w:r>
        <w:rPr>
          <w:rFonts w:ascii="Times New Roman" w:hAnsi="Times New Roman"/>
          <w:sz w:val="20"/>
        </w:rPr>
        <w:t xml:space="preserve">Accordingly, stockholders are presented with differing perspectives in this proxy statement and should carefully consider the DXL Board’s recommendation against the issuance proposal, together with the other information included in this proxy statement, including the risks described in this section, in determining how to vote on the proposals presented, and should not place undue reliance on forward-looking statements or projections regarding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with FBB is not consummated for any reason, including as a result of the DXL Board’s recommendation against the issuance proposal or a failure to obtain stockholder approval, DXL’s business could suffer materially and DXL’s stock price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proposed merger with FBB is subject to a number of closing conditions, including the approval by DXL stockholders, approval by Nasdaq of DXL’s listing application for DXL common stock to be issued as merger consideration, and other customary closing conditions. If the merger is not consummated for any reason, including as a result of the DXL Board’s recommendation against the issuance proposal or a failure to obtain stockholder approval, DXL may be subject to a number of material risks, and its business and stock price could be adversely affected,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incurred and expects to continue to incur significant expenses related to the proposed merger with FBB even if the merger is not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contains covenants relating to DXL’s solicitation of competing acquisition proposals and the conduct of DXL’s business between the date of signing the merger agreement and the closing of the merger. As a result, significant business decisions and transactions before the closing of the merger are restricted or prohibited. Accordingly, DXL may be unable to pursue business opportunities that would otherwise be in its best interest as a standalone company. If the merger agreement is terminated after DXL has invested significant time and resources in the transaction process, DXL may have a limited ability to continue its current operations without obtaining additional financing to fund its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$2.5 million termination fee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could be obligated to pay FBB a $950,000 out-of-pocket fees and expense reimbursement in connection with the termination of the merger agreement, depending on the reason for the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business partners and investors in general may view the failure to consummate the merger as a poor reflection on its business or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DXL’s suppliers and other business partners may seek to change or terminate their relationships with DXL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proposed merger, current and prospective employees could experience uncertainty about their future roles within the combined company. This uncertainty may adversely affect DXL’s ability to retain its key employees, who may seek other employment opportunities.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DXL’s management team may be distracted from day-to-day operations as a result of the proposed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DXL common stock may decline to the extent that the current market price reflects a market assumption that the proposed merger will be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of DXL’s directors and executive officers have conflicts of interest and/or economic interests in connection with the merger that are different from, or in addition to, those of DXL stockholders generally. </w:t>
      </w:r>
    </w:p>
    <w:p>
      <w:pPr>
        <w:pStyle w:val="TextBody"/>
        <w:bidi w:val="0"/>
        <w:spacing w:before="120" w:after="0"/>
        <w:jc w:val="left"/>
        <w:rPr>
          <w:rFonts w:ascii="Times New Roman" w:hAnsi="Times New Roman"/>
          <w:sz w:val="20"/>
        </w:rPr>
      </w:pPr>
      <w:r>
        <w:rPr>
          <w:rFonts w:ascii="Times New Roman" w:hAnsi="Times New Roman"/>
          <w:sz w:val="20"/>
        </w:rPr>
        <w:t>When considering how to vote on the proposals related to the merger, DXL stockholders should be aware that DXL’s directors and executive officers have conflicts of interest and/or certain interests, including economic interests, in the merger that may be different from, or in addition to, the interests of DXL stockholders more generally, including, among others, their continued service as a director of either the combined company or DXL as a standalone company, retention and severance benefits, the potential payout of certain DXL LTIP awards, and continued indemnification. For a more detailed discussion, see “</w:t>
      </w:r>
      <w:r>
        <w:rPr>
          <w:rFonts w:ascii="Times New Roman" w:hAnsi="Times New Roman"/>
          <w:i/>
          <w:sz w:val="20"/>
        </w:rPr>
        <w:t>The Merger—Interests of DXL’s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material adverse changes may result from the announcement of the merger, industry-wide changes and other causes. </w:t>
      </w:r>
    </w:p>
    <w:p>
      <w:pPr>
        <w:pStyle w:val="TextBody"/>
        <w:bidi w:val="0"/>
        <w:spacing w:before="120" w:after="0"/>
        <w:jc w:val="left"/>
        <w:rPr>
          <w:rFonts w:ascii="Times New Roman" w:hAnsi="Times New Roman"/>
          <w:sz w:val="20"/>
        </w:rPr>
      </w:pPr>
      <w:r>
        <w:rPr>
          <w:rFonts w:ascii="Times New Roman" w:hAnsi="Times New Roman"/>
          <w:sz w:val="20"/>
        </w:rPr>
        <w:t xml:space="preserve">In general, either party can refuse to complete the merger upon the occurrence of a material adverse effect affecting the other party between December 11, 2025, the date of the merger agreement, and the closing of the merger. However, some types of changes do not permit either party to refuse to complete the merger, even if such changes would have a material adverse effect on DXL or FBB, to the extent they resulted from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conditions in the United States or any other country or region in the world, or changes in conditions in the global economy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financial markets, credit markets or capital markets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conditions in the industries in which such persons generally conduct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legislative or political conditions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geopolitical conditions, outbreak of hostilities, acts of war, sabotage, terrorism (including cyberattacks or cyberterrorism) or military actions (including any escalation or general worsening of any such hostilities, acts of war, sabotage, terrorism or military actions)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hurricanes, tsunamis, tornadoes, floods, mudslides, wildfires or other natural disasters, weather conditions, epidemics, pandemics or disease outbreaks and other force majeure events in the United States or any other country or region in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resulting from the announcement of the merger agreement or the pendency of the merger and the transactions contemplated by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compliance by any party with the terms of the merger agreement, including any action taken or refrained from being taken pursuant to or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taken or refrained from being taken, in each case which such person has expressly approved, consented to or requested in writing following the date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proposed changes in GAAP or other accounting standards or in any applicable laws or regulations (or the enforcement or interpretation of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price or trading volume of the DXL common stock, in and of itself (it being understood that any cause of such change may be deemed to constitute, in and of itself, a material adverse effect under the merger agreement and may be taken into consideration when determining whether a material adverse effect has occurred, to the extent not otherwise excluded under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under the merger agreement and may be taken into consideration when determining whether a material adverse effect has occurred, to the extent not otherwise excluded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under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if the combined company is unable to realize the strategic and financial benefits currently anticipated from the merger, DXL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DXL may not be able to enter into a business combination with another party and will be subject to contractual limitations on certain actions because of restrictions in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Covenants in the merger agreement impede the ability of DXL or FBB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or facilitating the communication, engaging in any communications, discussions or negotiations, or taking any action that could reasonably be expected to lead to certain acquisition inquiries or acquisition proposal, such as certain acquisitions of such party’s common stock, tender offers for such party’s common stock, and mergers or other business combinations. Any such transactions could be favorable to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FBB common stock makes it difficult to evaluate the fairness of the merger, FBB stockholders may receive consideration in the merger that is greater than or less than the fair market value of FBB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share capital of FBB is privately held and is not traded in any public market. The lack of a public market makes it extremely difficult to determine the fair market value of FBB. Because the percentage of DXL’s equity to be issued to FBB stockholders was determined based on negotiations between the parties, it is possible that the value of the DXL common stock to be issued in connection with the merger would be greater than the fair market value of FBB. Alternatively, it is possible that the value of the shares of DXL common stock to be issued in connection with the merger would be less than the fair market value of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the merger is consummated, the combined company would incur significant transaction costs as a result of the merger, including investment banking, legal and accounting fees. In addition, the combined company would incur significant consolidation and integration expenses, which cannot be accurately estimated at this time. These costs could include the possible relocation of certain operations as well as costs associated with terminating existing office leases and the loss of benefits of certain favorable office leases. Actual transaction costs may substantially exceed FBB’s estimates and may have an adverse effect on the combined company’s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would result in an annual limitation on DXL’s ability to utilize its net operating loss carryforwards. </w:t>
      </w:r>
    </w:p>
    <w:p>
      <w:pPr>
        <w:pStyle w:val="TextBody"/>
        <w:bidi w:val="0"/>
        <w:spacing w:before="120" w:after="0"/>
        <w:jc w:val="left"/>
        <w:rPr>
          <w:rFonts w:ascii="Times New Roman" w:hAnsi="Times New Roman"/>
          <w:sz w:val="20"/>
        </w:rPr>
      </w:pPr>
      <w:r>
        <w:rPr>
          <w:rFonts w:ascii="Times New Roman" w:hAnsi="Times New Roman"/>
          <w:sz w:val="20"/>
        </w:rPr>
        <w:t xml:space="preserve">Under Section 382 of the Code, use of DXL’s net operating loss carryforwards (“NOLs”) would be limited if DXL experiences an “ownership change.” For these purposes, an ownership change generally occurs where the aggregate stock ownership of one or more stockholders or groups of stockholders who own at least 5% of a corporation’s stock increases by more than 50 percentage points over its lowest ownership percentage within a specified testing period. DXL would experience an ownership change as a result of the merger, and therefore its ability to utilize its NOLs and certain credit carryforwards remaining at the effective time would be limited. The limitation would be determined by the fair market value of DXL common stock outstanding prior to the ownership change, multiplied by the applicable federal rate. Limitations imposed on DXL’s ability to utilize NOLs could cause U.S. federal and state income taxes to be paid earlier than they would be paid if such limitations were not in effect and could cause such NOLs to expire unused, in each case reducing or eliminating the benefit of such NOLs.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may become involved in securities litigation or stockholder derivative litigation in connection with the merger in the future, and this could divert the attention of DXL and FBB management and harm the combined company’s business, and insurance coverage may not be sufficient to cover all related costs and damages. </w:t>
      </w:r>
    </w:p>
    <w:p>
      <w:pPr>
        <w:pStyle w:val="TextBody"/>
        <w:bidi w:val="0"/>
        <w:spacing w:before="120" w:after="0"/>
        <w:jc w:val="left"/>
        <w:rPr>
          <w:rFonts w:ascii="Times New Roman" w:hAnsi="Times New Roman"/>
          <w:sz w:val="20"/>
        </w:rPr>
      </w:pPr>
      <w:r>
        <w:rPr>
          <w:rFonts w:ascii="Times New Roman" w:hAnsi="Times New Roman"/>
          <w:sz w:val="20"/>
        </w:rPr>
        <w:t xml:space="preserve">Securities litigation or stockholder derivative litigation frequently follows the announcement of certain significant business transactions, such as the sale of a business division or announcement of a business combination transaction. DXL, FBB and the combined company may become involved in this type of litigation in connection with the merger in the future. Litigation often is expensive and diverts management’s attention and resources, which could adversely affect the business of DXL, FBB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consummate the merger may result in DXL paying a termination fee and/or out-of-pocket fees and expenses to FBB and could harm the price of DXL common stock and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and the merger agreement is terminated under certain circumstances, DXL may be required to pay FBB a termination fee of $2.5 million and/or an out-of-pocket fees and expense reimbursement of up to $950,000. Even if a termination fee or expense reimbursement is not payable in connection with a termination of the merger agreement, DXL will have incurred significant fees and expenses, which must be paid whether or not the merger is consummated. Further, if the merger is not consummated, it could significantly harm the market price of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the merger has consummated, there can be no further recourse by either party or its stockholders for a breach of any representation or warranty.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representations and warranties of FBB, DXL and the merger subsidiary contained in the merger agreement or any certificate or instrument delivered pursuant to the merger agreement would terminate at the effective time of the merger, and there would be no recourse for any breach of such representations and warranties following the closing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exchange ratio is not adjustable based on the market price of DXL common stock so the merger consideration at the closing would have, if the merger is consummated, greater or lesser value than the market price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at the effective time of the merger, each share of FBB common stock (excluding (i) shares held as treasury stock by FBB or held or owned by DXL, the merger subsidiary or any subsidiary of DXL or FBB, (ii) dissenting shares, and (iii) unaccredited investor shares), after giving effect to the cancellation of all FBB warrants outstanding, would be converted solely into the right to receive a number of validly issued, fully paid and nonassessable shares of DXL’s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DXL common stock before the completion of the merger would not affect the number of shares of DXL common stock issuable to FBB stockholders pursuant to the merger agreement. Therefore, if before the completion of the merger the market price of DXL common stock declines from the market price on the date of the merger agreement, then FBB stockholders would receive, if the merger is consummated, merger consideration with substantially lower value than the value of such merger consideration on the date of the merger agreement. Similarly, if before the completion of the merger the market price of DXL common stock increases from the market price of DXL common stock on the date of the merger agreement, then FBB stockholders would receive, if the merger is consummated,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DXL common stock, for each one percentage point change in the market price of DXL common stock, there is a corresponding one percentage point rise or decline, respectively, in the value of the total merger consideration payable to FBB stockholders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alternative takeover proposals, including proposals that may be superior to the arrangements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terms of the merger agreement prohibit each of DXL and FBB from soliciting alternative takeover proposals or cooperating with persons making unsolicited takeover proposals, except in limited circumstances when, among other things, the DXL Board or the board of directors of FBB, as applicable, determines in good faith after consultation with its financial advisors and outside legal counsel that an unsolicited alternative takeover proposal is or is reasonably likely to result in a superior takeover proposal, and that failure to cooperate with the proponent of the proposal could be reasonably likely to violate the fiduciary duties of the DXL Board or the board of directors of FBB, as applicable.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met,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share issuances and amendments to the restated certificate of incorporation to effect the reverse stock split expected to be necessary for the merger are approved by DXL stockholders, specified conditions must be satisfied or waived to complete the merger. These conditions are set forth in the merger agreement and described in the section entitled “</w:t>
      </w:r>
      <w:r>
        <w:rPr>
          <w:rFonts w:ascii="Times New Roman" w:hAnsi="Times New Roman"/>
          <w:i/>
          <w:sz w:val="20"/>
        </w:rPr>
        <w:t>The Merger Agreement—Conditions to the Closing of the Merger</w:t>
      </w:r>
      <w:r>
        <w:rPr>
          <w:rFonts w:ascii="Times New Roman" w:hAnsi="Times New Roman"/>
          <w:sz w:val="20"/>
        </w:rPr>
        <w:t xml:space="preserve">”. DXL cannot assure you that all of the conditions would be satisfied or waived. If the conditions are not satisfied or waived, the merger would not occur or would be delayed, and DXL and FBB each may lose some or all of the intended benefits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76201_7"/>
      <w:bookmarkEnd w:id="9"/>
      <w:r>
        <w:rPr>
          <w:rFonts w:ascii="Times New Roman" w:hAnsi="Times New Roman"/>
          <w:b/>
          <w:sz w:val="20"/>
        </w:rPr>
        <w:t xml:space="preserve">Risks Related to the Reverse Stock Split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There can be no assurance that the per-share market price of DXL common stock following the reverse stock split will remain unchanged or increase in proportion to the reduction in the number of shares of DXL common stock issued and outstanding before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 of the reverse stock split is to increase the per-share market price of DXL common stock above the minimum bid price requirement under the Nasdaq rules so that DXL can maintain its listing on Nasdaq. Also, in order to consummate the merger with FBB, DXL must satisfy the Nasdaq initial listing standards, which require, among other things, a minimum bid price of $4.00 per share. However, there can be no assurance that the market price per share of DXL common stock after the reverse stock split will be unchanged or increase in proportion to the reduction in the number of shares of DXL common stock issued and outstanding before the reverse stock split. For example, based on the closing price of DXL common stock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of $0.</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if the DXL Board were to implement the reverse stock split and utilize a ratio of 1-for-</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the per share price of DXL common stock immediately after giving effect to the reverse stock split would be expected to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DXL cannot assure you that the market price per post-reverse stock split share will exceed or remain in excess of the (i) $4.00 minimum bid price initial listing requirement in connection with the merger, which requires the combined company to have a minimum bid price of $4.00 per share, or the (ii) $1.00 minimum bid price for a sustained period of time to meet the continued listing requirements should the merger not be completed. In addition, the reverse stock split may not result in a per share price that would attract brokers and investors who do not trade in lower-priced stocks. If the merger is not consummated, even if the market price per post-split share of DXL common stock remains in excess of $1.00 per share, DXL may be delisted due to a failure to meet other Nasdaq continued listing requirements, including requirements related to the minimum stockholders’ equity requirement, the minimum number of shares that must be in the public float, the minimum market value of the public float and the minimum number of “round lot”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proposal is not approved, DXL may be unable to regain compliance with Nasdaq’s minimum bid price requirement, which could result in the delisting of DXL common stock and have a material adverse effect on DXL and, if the merger is completed, the combined company. </w:t>
      </w:r>
    </w:p>
    <w:p>
      <w:pPr>
        <w:pStyle w:val="TextBody"/>
        <w:bidi w:val="0"/>
        <w:spacing w:before="12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to regain compliance with the minimum bid price requirement, which compliance period is expected to expire on or around August 3, 2026. If DXL is unable to regain compliance within the initial 180-day period, it may be eligible for an additional compliance period of 180 calendar days to regain compliance if it meets certain requirements, including if it (i) transfers its listing to The Nasdaq Capital Market and (ii) meets the continued listing requirement for market value of publicly held shares and all other initial listing standards for The Nasdaq Capital Market, with the exception of the bid price requirement, and provides written notice to Nasdaq of its intent to cure the deficiency during this second compliance period, by effecting a reverse stock split, if necessary. However, if Nasdaq concludes that DXL will not be able to cure the deficiency, or if DXL determines not to submit a transfer application or make the required representation, Nasdaq will provide notice to DXL that its common stock will be subject to delisting.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DXL is seeking stockholder approval for the reverse stock split to provide the DXL Board the ability, if necessary, to increase the price of DXL common stock in order to meet the minimum bid price requirement for continued listing of DXL common stock on Nasdaq, should DXL be unable to regain compliance during the initial compliance period or any additional compliance period provided by Nasdaq. Additionally, if the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Board does not implement the reverse stock split within one year of the date on which the reverse stock split is approved by DXL stockholders, the authority granted in this proposal to implement the reverse stock split will terminate, which could further limit DXL’s flexibility to address any future non-compliance with the minimum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requires approval by DXL stockholders, and there can be no assurance that such approval will be obtained. If the reverse stock split proposal is not approved, the DXL Board will not have the authority to effect the reverse stock split and DXL may be unable to cure the minimum bid price deficiency within the applicable compliance period. As a result, DXL common stock could become subject to delisting from Nasdaq. If DXL common stock were delisted, it may trade on an over-the-counter market, which could result in reduced liquidity, increased volatility and a diminished trading market for DXL common stock. Additionally, delisting from Nasdaq could result in, among other things: (i) reduced institutional investor interest, as many institutional investors and investment funds are restricted from investing in or maintaining positions in securities not listed on a national securities exchange; (ii) a significant impairment of DXL’s ability, or, if the merger is completed, the combined company’s ability, to raise capital through public or private equity offerings on acceptable terms, or at all; and (iii) reputational harm, which could negatively impact relationships with customers, suppliers, employees and other business partners. In addition, if the merger is completed prior to DXL regaining compliance with the minimum bid price requirement, the combined company would inherit this deficiency and, if the reverse stock split has not been implemented, would face the same risk of delisting from Nasdaq, which could have a material adverse effect on the combined company’s stock price, liquidity and ability to raise capital. Even if the reverse stock split proposal is approved and the DXL Board implements the reverse stock split, there can be no assurance that the market price of DXL common stock will increase proportionately, or that the market price will remain at a level sufficient to satisfy or maintain Nasdaq’s minimum bid price requirement or any other continued listing requirements. Accordingly, even if the reverse stock split is approved and implemented, there is no guarantee that DXL common stock, or, if the merger is completed, the combined company’s common stock, will not ultimately be delisted from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reverse stock split is approved and effected, the resulting per-share market price may not attract institutional investors or investment funds and may not satisfy the investing guidelines of such investors and, consequently, the trading liquidity of DXL common stock may not improve. </w:t>
      </w:r>
    </w:p>
    <w:p>
      <w:pPr>
        <w:pStyle w:val="TextBody"/>
        <w:bidi w:val="0"/>
        <w:spacing w:before="120" w:after="0"/>
        <w:jc w:val="left"/>
        <w:rPr>
          <w:rFonts w:ascii="Times New Roman" w:hAnsi="Times New Roman"/>
          <w:sz w:val="20"/>
        </w:rPr>
      </w:pPr>
      <w:r>
        <w:rPr>
          <w:rFonts w:ascii="Times New Roman" w:hAnsi="Times New Roman"/>
          <w:sz w:val="20"/>
        </w:rPr>
        <w:t xml:space="preserve">While the DXL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DXL common stock may not necessarily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will have the effect of increasing the number of authorized shares of DXL common stock available for future issuance, and any such future issuances may have a dilutive effect on its earnings per share, voting power and other interests of existing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apply to the number of authorized shares available for issuance under DXL’s charter. Therefore, because the number of issued and outstanding shares of DXL common stock will decrease as a result of the reverse stock split, it will have the effect of increasing the number of authorized shares available for issuance. Future issuances of DXL common stock may, depending on the circumstances, have a dilutive effect on the earnings per share, voting power and other interests of existing DXL stockholders. For example, DXL may use the additional authorized but unissued shares to restructure existing indebtedness, raise additional capital through equity financing, enter into strategic partnerships, or sell securities convertible into or exercisable for DXL common stock, any of which may result in substantial dilution to existing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result in some stockholders owning “odd lots” that may be more difficult to sell or require greater transaction costs per share to sell.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may result in some stockholders owning “odd lots” of less than 100 shares of DXL common stock on a post-split basis. These odd lots may be more difficult to sell, or require greater transaction costs per share to sell, than shares in “round lots” of even multiples of 100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reduced number of issued shares of DXL common stock resulting from the reverse stock split could adversely affect the liquidity of DXL common stock and result in higher transaction costs if the merger is not consummated. </w:t>
      </w:r>
    </w:p>
    <w:p>
      <w:pPr>
        <w:pStyle w:val="TextBody"/>
        <w:bidi w:val="0"/>
        <w:spacing w:before="120" w:after="0"/>
        <w:jc w:val="left"/>
        <w:rPr>
          <w:rFonts w:ascii="Times New Roman" w:hAnsi="Times New Roman"/>
          <w:sz w:val="20"/>
        </w:rPr>
      </w:pPr>
      <w:r>
        <w:rPr>
          <w:rFonts w:ascii="Times New Roman" w:hAnsi="Times New Roman"/>
          <w:sz w:val="20"/>
        </w:rPr>
        <w:t xml:space="preserve">Although the DXL Board believes that the decrease in the number of shares of DXL common stock issued as a result of the reverse stock split and the anticipated increase in the market price of DXL common stock could encourage interest in DXL common stock and possibly promote greater liquidity for its stockholders, such liquidity could also be adversely affected by the reduced number of shares issued after the reverse stock split. The reverse stock split may also result in higher transaction costs if the merger is not consummated. The liquidity of DXL common stock may be negatively impacted by the reverse stock split, given the reduced number of shares that would be outstanding after the reverse stock split if the merger is not consummated, particularly if the stock price does not increase as a result of the reverse stock split. Accordingly, the reverse stock split may not achieve the desired results of increasing marketability and liquidity of DXL common stock if the merger is not consummated. </w:t>
      </w:r>
    </w:p>
    <w:p>
      <w:pPr>
        <w:pStyle w:val="TextBody"/>
        <w:bidi w:val="0"/>
        <w:spacing w:before="480" w:after="0"/>
        <w:jc w:val="center"/>
        <w:rPr>
          <w:rFonts w:ascii="Times New Roman" w:hAnsi="Times New Roman"/>
          <w:b/>
          <w:sz w:val="20"/>
        </w:rPr>
      </w:pPr>
      <w:bookmarkStart w:id="10" w:name="tx76201_8"/>
      <w:bookmarkEnd w:id="10"/>
      <w:r>
        <w:rPr>
          <w:rFonts w:ascii="Times New Roman" w:hAnsi="Times New Roman"/>
          <w:b/>
          <w:sz w:val="20"/>
        </w:rPr>
        <w:t xml:space="preserve">Risks Related to DXL </w:t>
      </w:r>
    </w:p>
    <w:p>
      <w:pPr>
        <w:pStyle w:val="TextBody"/>
        <w:bidi w:val="0"/>
        <w:spacing w:before="240" w:after="0"/>
        <w:jc w:val="left"/>
        <w:rPr>
          <w:rFonts w:ascii="Times New Roman" w:hAnsi="Times New Roman"/>
          <w:sz w:val="20"/>
        </w:rPr>
      </w:pPr>
      <w:r>
        <w:rPr>
          <w:rFonts w:ascii="Times New Roman" w:hAnsi="Times New Roman"/>
          <w:sz w:val="20"/>
        </w:rPr>
        <w:t>For risks related to the business of DXL, please refer to the section entitled “</w:t>
      </w:r>
      <w:r>
        <w:rPr>
          <w:rFonts w:ascii="Times New Roman" w:hAnsi="Times New Roman"/>
          <w:i/>
          <w:sz w:val="20"/>
        </w:rPr>
        <w:t>Item 1A. Risk Factors</w:t>
      </w:r>
      <w:r>
        <w:rPr>
          <w:rFonts w:ascii="Times New Roman" w:hAnsi="Times New Roman"/>
          <w:sz w:val="20"/>
        </w:rPr>
        <w:t xml:space="preserve">” set forth in DXL’s Annual Report on Form 10-K for the year ended January 31, 2026 as filed with the SEC on March 19, 2026. </w:t>
      </w:r>
    </w:p>
    <w:p>
      <w:pPr>
        <w:pStyle w:val="TextBody"/>
        <w:bidi w:val="0"/>
        <w:spacing w:before="480" w:after="0"/>
        <w:jc w:val="center"/>
        <w:rPr>
          <w:rFonts w:ascii="Times New Roman" w:hAnsi="Times New Roman"/>
          <w:b/>
          <w:sz w:val="20"/>
        </w:rPr>
      </w:pPr>
      <w:bookmarkStart w:id="11" w:name="tx76201_9"/>
      <w:bookmarkEnd w:id="11"/>
      <w:r>
        <w:rPr>
          <w:rFonts w:ascii="Times New Roman" w:hAnsi="Times New Roman"/>
          <w:b/>
          <w:sz w:val="20"/>
        </w:rPr>
        <w:t xml:space="preserve">Risks Related to FBB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would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Risks Related to FBB section to “FullBeauty Brands,” the “Company,” “we,” “us,” “our” and other similar terms collectively refer to FBB Holdings I, Inc. and its subsidiaries. </w:t>
      </w:r>
    </w:p>
    <w:p>
      <w:pPr>
        <w:pStyle w:val="TextBody"/>
        <w:bidi w:val="0"/>
        <w:spacing w:before="240" w:after="0"/>
        <w:jc w:val="left"/>
        <w:rPr>
          <w:rFonts w:ascii="Times New Roman" w:hAnsi="Times New Roman"/>
          <w:i/>
          <w:sz w:val="20"/>
        </w:rPr>
      </w:pPr>
      <w:r>
        <w:rPr>
          <w:rFonts w:ascii="Times New Roman" w:hAnsi="Times New Roman"/>
          <w:i/>
          <w:sz w:val="20"/>
        </w:rPr>
        <w:t xml:space="preserve">We operate in an industry that involves numerous risks and uncertainties. You should carefully consider the risk factors discussed below, as well as the other information presented herein, as described in “FBB’s Management’s Discussion and Analysis of Financial Condition and Results of Operations” and our consolidated financial statements and related notes included elsewhere in this proxy statement, in evaluating us and our business. The risks and uncertainties described below may change over time and other risks and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including those that we do not currently consider material, may impair our business. If any of the risks discussed below actually occur, our business, financial condition, operating results or prospects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economic conditions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performance is subject to macroeconomic conditions and their impact on levels of consumer spending. Some of the factors negatively impacting discretionary consumer spending include general economic conditions, high unemployment, increased taxation, high consumer debt, reductions in net worth based on severe market declines (such as in residential real estate markets), higher fuel, energy and other prices, increasing interest rates, inflation, severe weather conditions and low consumer confidence. In addition, any significant volatility in the financial markets could negatively impact the levels of future discretionary consumer spending. Consumer confidence is also affected by the domestic and international political situation. Our financial condition and operations could be impacted by changes in government regulations in areas including, but not limited to, taxes, trade policies, tariffs, customs regulations, data privacy and security and artificial intelligence (“AI”). The outbreak or escalation of war, geopolitical instability, or the occurrence of terrorist acts or other hostilities primarily in or affecting the United States, could lead to a decrease in spending by consumers. In addition, natural disasters, industrial accidents, and acts of war in various parts of the world could have the effect of disrupting supplies and raising prices globally which, in turn, may have adverse effects on the world and U.S. economies and lead to a downturn in consumer confidence and spending. Such macroeconomic and other factors could have a negative effect on consumer spending in the United States, which in turn could have a material and adverse effect on our business, results of operations, financial condition, and cash flows. While our business is diversified across product categories and is not heavily concentrated in any single selling period, we generally experience modestly higher sales volume in the second and fourth quarters, and a downturn in consumer spending during those periods could have a disproportionate effect on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customers’ use of our digital platforms, including our e-commerce websites, and response to print media and digital marketing strategies; if our overall marketing strategies, including maintenance of a robust customer list, are not successful, our business and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Our business depends on customers’ use of our e-commerce websites and their response to our digital marketing and print media strategies. The level of customer traffic and volume of customer purchases on our e-commerce websites is substantially dependent on our ability to provide attractive and accessible websites that promote a high-quality customer experience. Customer response to our print media and digital marketing is substantially dependent on merchandise assortment, merchandise availability and creative presentation, as well as the selection of customers to whom our marketing is directed, changes in marketing strategies and the size and frequency of our communications. Although we utilize sophisticated in-house database modeling to enhance the effectiveness of our targeted online and print marketing campaigns, there can be no assurance that our efforts will be successful. Our maintenance of a robust customer list, which we believe includes desirable demographic characteristics for the products we offer, has also been a key component of our overall strategy. If we are unable to maintain and increase customers’ use of our e-commerce websites and the volume of goods they purchase, if the performance of our e-commerce websites, emails and catalogs declines, if our overall marketing strategy is not successful, or if evolving laws and regulations impact how we are able to use our digital marketing channels or otherwise govern e-commerce websites, our business and results of operations could be adversely affected.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acquire new customers, or fail to do so in a cost-effective manner, we may not be able to increase or maintain revenue or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on our ability to acquire customers in a cost-effective manner. In order to expand our customer base, we may need to appeal to and acquire customers who have historically used other means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commerce to purchase fashion apparel and home goods and may prefer alternatives to our offerings, such as traditional brick and mortar retailers or the websites of our competitors. We have made significant investments related to customer acquisition and expect to continue to spend significant amounts to acquire additional customers, and we cannot be assured that we will always succeed in doing so in a cost-effective manner. If the quality of our shopping experience declines or if consumers do not perceive the products we offer to be of high value and quality, we may not be able to acquire new customers. If we are unable to acquire new customers who purchase products in numbers sufficient to grow our business, our net revenue may stagnate or decrease, and our business, financial condition and operating results may be materially adversely affected. </w:t>
      </w:r>
    </w:p>
    <w:p>
      <w:pPr>
        <w:pStyle w:val="TextBody"/>
        <w:bidi w:val="0"/>
        <w:spacing w:before="240" w:after="0"/>
        <w:jc w:val="left"/>
        <w:rPr>
          <w:rFonts w:ascii="Times New Roman" w:hAnsi="Times New Roman"/>
          <w:sz w:val="20"/>
        </w:rPr>
      </w:pPr>
      <w:r>
        <w:rPr>
          <w:rFonts w:ascii="Times New Roman" w:hAnsi="Times New Roman"/>
          <w:sz w:val="20"/>
        </w:rPr>
        <w:t>We utilize paid and non-paid advertising to acquire new customers. Our paid advertising includes search engine marketing, display advertising and paid social media advertisements. Our non-paid advertising efforts include search engine optimization, non-paid social media, mobile “push” notifications and email. We obtain a significant amount of traffic via search engines, and we also seek to obtain traffic via social networking websites and other channels used by our current and prospective customers. Search engines frequently update and change the logic that determines the placement and display of results of a user’s search, such that the purchased or algorithmic placement of links to our sites can be negatively affected. A major search engine could change its algorithms in a manner that negatively affects our paid or non-paid search ranking, and competitive dynamics could impact the effectiveness of search engine marketing or search engine optimization. As e-commerce and social networking continue to evolve, we may be unable to establish, develop or maintain relationships with these channels on acceptable terms. Increased competition for online advertising inventory, reduced effectiveness of targeted advertising due to evolving data privacy regulations, and higher customer acquisition costs could further reduce marketing efficiency and negatively impact our profitability and cash flow. In addition, evolving laws and regulations governing digital marketing and data privacy may impact our ability to use our current advertising strategies more broadly. If we are unable to cost-effectively drive traffic to our sites, our ability to acquire new customers and our financial condition would suffer. See “—</w:t>
      </w:r>
      <w:r>
        <w:rPr>
          <w:rFonts w:ascii="Times New Roman" w:hAnsi="Times New Roman"/>
          <w:i/>
          <w:sz w:val="20"/>
        </w:rPr>
        <w:t>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could be adversely affected if we fail to accurately predict apparel trends and customer preferences.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continued success depends on our ability to provide a compelling value proposition for our customers. Our products and services must satisfy the desires of our customers, whose preferences may change over time. Apparel trends and customer preferences are volatile and tend to change rapidly, particularly women’s apparel. In order to be successful, we must identify, obtain supplies of, and offer to customers attractive, high-quality and affordable merchandise on a continuous and timely basis.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and missed opportunities. In response, we may be forced to rely on markdowns or promotional sales to dispose of excess, slow-moving inventory, which would decrease our revenues and margins. Failure to effectively gauge the direction of customer preferences, or convey a compelling brand image or price/value equation to customers may result in lower sales and lower operating income. This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use and planned expansion of AI technologies present operational, regulatory, cybersecurity, legal, and reputational risks that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increasingly leveraging AI, machine learning, and automated decision-making tools in certain aspects of our business and may expand such use in the future. While we believe these technologies may improve operational efficiency, enhance customer experience, and support data-driven decision-making, their use presents risks and uncertainties that could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AI technologies are complex and rapidly evolving. Our AI systems, including those developed internally or provided by third-party vendors, may produce inaccurate, misleading, or biased outputs, or may fail to perform as intended. Such failures could have a negative impact on our business, customer interactions, or brand reputation and could expose us to liability, regulatory actions, and threats of litigation. In addition, our use of AI technologies may present challenges in asserting intellectual property ownership over the resulting output, and could increase our exposure to claims of intellectual property infringement, data privacy violations, cybersecurity risks, or contractual disputes, particularly where AI systems rely on third-party data, models, or infrastructure. Securing and enforcing intellectual property rights in rapidly evolving areas can be costly and time-consuming, and our current protections may be insufficient. See “—We may be unable to protect our trademarks and other intellectual property rights.”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environment surrounding AI is evolving in the United States and internationally. New or proposed laws and regulations may impose compliance obligations, require changes to our practices, increase costs, or restrict our ability to deploy AI tools in certain contexts. For example, federal and state legislatures have enacted or are considering enacting laws governing the use of artificial intelligence technologies to make decisions, such as pricing decisions or decisions that could have a significant impact on consumers. Regulatory scrutiny, litigation, or governmental investigations related to AI usage could result in reputational harm, penalties, or operational limitations. </w:t>
      </w:r>
    </w:p>
    <w:p>
      <w:pPr>
        <w:pStyle w:val="TextBody"/>
        <w:bidi w:val="0"/>
        <w:spacing w:before="240" w:after="0"/>
        <w:jc w:val="left"/>
        <w:rPr>
          <w:rFonts w:ascii="Times New Roman" w:hAnsi="Times New Roman"/>
          <w:sz w:val="20"/>
        </w:rPr>
      </w:pPr>
      <w:r>
        <w:rPr>
          <w:rFonts w:ascii="Times New Roman" w:hAnsi="Times New Roman"/>
          <w:sz w:val="20"/>
        </w:rPr>
        <w:t xml:space="preserve">AI systems may also require significant investments in technology infrastructure, data governance, cybersecurity controls, and personnel training. If we are unable to successfully integrate AI into our operations, manage associated risks, or realize anticipated benefits, our competitive position and financial performance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growing adoption of AI-driven search and discovery tools by consumers may reduce the effectiveness of traditional digital marketing channels, including search engine marketing and search engine optimization, on which we rely to drive traffic to our e-commerce websites. If consumers increasingly discover and purchase products through AI-powered platforms rather than conventional search engines or direct website visits, our customer acquisition model could be disrupted, and our marketing costs could increase without a corresponding increase in sales. </w:t>
      </w:r>
    </w:p>
    <w:p>
      <w:pPr>
        <w:pStyle w:val="TextBody"/>
        <w:bidi w:val="0"/>
        <w:spacing w:before="240" w:after="0"/>
        <w:jc w:val="left"/>
        <w:rPr>
          <w:rFonts w:ascii="Times New Roman" w:hAnsi="Times New Roman"/>
          <w:sz w:val="20"/>
        </w:rPr>
      </w:pPr>
      <w:r>
        <w:rPr>
          <w:rFonts w:ascii="Times New Roman" w:hAnsi="Times New Roman"/>
          <w:sz w:val="20"/>
        </w:rPr>
        <w:t xml:space="preserve">Furthermore, reliance on third-party AI-related service providers subjects us to risks related to service availability, model performance, data handling practices, and vendor solvency. Any disruption, security incident, or failure by such providers could materially impact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implement appropriate governance, oversight, and internal controls over our AI initiatives, or if stakeholders perceive our use of AI as unethical, unsafe, or inconsistent with applicable standards, our reputation and stakeholder trust in us could be harmed and we may be subject to regulatory scrutiny, litigation or governmental investigations. Ensuring that our employees use only Company-approved AI technologies presents an additional challenge; unauthorized use of AI tools could expose us to data security, intellectual property, or regulatory risks outside of our existing controls.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largely depends on a strong brand image and, if we are unable to maintain and enhance our brand image, or fail to adequately protect our brand image, we may be unable to increase or maintain our level of sales.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brand image and brand awareness around our different brands has contributed significantly to the success of our business. We also believe that maintaining and enhancing our brand image is important to maintaining and expanding our customer base. Our ability to successfully integrate new brands and to expand into new markets or to maintain the strength and distinctiveness of our brand image in our existing markets will be adversely impacted if we fail to connect with our target customers. Maintaining and enhancing our brand image may require us to make substantial investments in areas such as merchandising, marketing,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community relations, catalog and website graphics and employee training, which could adversely affect our cash flow, and which may ultimately be unsuccessful. Furthermore, our brand image could be jeopardized if we fail to maintain high standards for merchandise quality, if we fail to comply with local laws and regulations or if we experience negative publicity or other negative events that affect our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Some of these risks may be beyond our ability to control, such as the effects of negative publicity, including on social media, regarding our company, our vendors or other strategic partners. Failure to successfully market and maintain our brand image in new and existing markets could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efficiently manage inventory levels, our results of operations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must maintain sufficient inventory levels to operate our business successfully, but we must also avoid accumulating excess inventory, which increases working capital needs and may lower gross margins. We obtain most of our inventory from vendors located outside the United States. Some of these vendors often require lengthy advance notice of order requirements to be able to supply products in the quantities requested. This usually requires us to order merchandise and enter commitments for the purchase of such merchandise, well in advance of the time these products will be offered for sale. In addition, certain of our vendors may require minimum order quantities for certain of our products that exceed our near-term sales expectations, which may require us to purchase and hold excess inventory. As a result, it may be difficult to respond to changes in the consumer preferences or other changes in the markets for our products. If we do not accurately forecast demand for our products or the time it will take to obtain new inventory, inventory levels will not be appropriate, and our results of operations could be adversely affected. Excess inventory may also require increased markdown activity, which could materially reduce gross margins and negatively impact operating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tariffs on product imported to the United States, retaliatory trade actions taken by other countries, and resulting trade wars have had, and may continue to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Because most of our inventory is sourced from vendors located outside the United States, our business is subject to risks associated with international trade. These risks include the imposition of new or increased tariffs, duties or other import-related charges, changes in trade agreements, trade restrictions, quotas, sanctions, and changes in the interpretation or enforcement of existing trade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2025, the United States government announced the imposition of additional tariffs and reciprocal tariffs on most goods imported into the United States. Multiple nations, including China, responded with reciprocal tariffs and other trade actions, which triggered the U.S. government to increase the reciprocal tariffs on countries that retaliated against the U.S. enacted trade policy. The recent and ongoing enactment of tariffs by the government of the United States (including as a result of the recent Supreme Court ruling on tariff authority), along with the unpredictability of the tariff rates, pose a significant risk to our business operations, and have, and may continue to, materially increase our costs and reduce our margins. The tariffs have resulted in, and may also continue to lead to, additional order cancellations and higher pricing for our products, reducing consumer demand and further impacting our sales volume. Successful challenges to the authorization of certain tariffs, including under Learning Resources, Inc. v. Trump, may entitle companies to refunds or other offsets. There remains significant uncertainty regarding the implementation of such decision, including the process that will govern refund claims, the timing of any potential refunds, and the ultimate amounts, if any, that we recover. We are actively monitoring the impact of any tariffs that become effective, as well as potential retaliatory tariffs imposed by other countries and will continue to work on strategies to moderate or minimize the effects of trade actions.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our efforts to diversify sourcing across geographies, negotiate cost sharing with vendors, adjust pricing without materially affecting demand, and manage inventory levels will be successful, or that they will fully or significantly offset the negative impact of the tariffs on our business. Given the uncertainty regarding the scope and duration of current and potential tariffs, as well as the potential for additional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by the United States or other countries, the specific impact to our business, results of operations, cash flows, and financial condition is uncertain, but could continue to be material. The extent of any such impact will further depend on the ultimate tariff rates imposed under current and any future statutory authorities, the duration of such measures, and the outcome of ongoing and potential legal challenges.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our ability to build and maintain a high-quality workforce, and competition for talent may make it difficult to do so.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in part, on having a high-quality management team and workforce with the appropriate skills, experience and leadership capabilities to support our business and execute our strategic initiatives. Our success also depends, in part, on our ability to recruit, retain and motivate our employees sufficiently, both to maintain our current business and to execute our strategic initiatives. Competition for experienced and well-qualified employees in our industry is particularly intense in many of the places where we do business, and we may not be successful in attracting and retaining such personnel. Changes to our current and future office environments, adoption of new work models and our business requirements or expectations about when or how often employees work either on-site or remotely may not meet the expectations of our employees. As certain jobs and employers increasingly operate remotely, traditional geographic competition for talent may change in ways that cannot be fully predicted at this time. If our employment proposition is not perceived as favorable compared to other companies’ policies, it could negatively impact our ability to attract, hire and retain our employees. In addition, changes in U.S. immigration policy or the availability of work visas could affect our ability to attract and retain skilled employees in areas such as technology, data analytics, and e-commerce operations, and could more broadly affect labor availability in industries on which our supply chain and outsourced operations depend. </w:t>
      </w:r>
    </w:p>
    <w:p>
      <w:pPr>
        <w:pStyle w:val="TextBody"/>
        <w:bidi w:val="0"/>
        <w:spacing w:before="240" w:after="0"/>
        <w:jc w:val="left"/>
        <w:rPr>
          <w:rFonts w:ascii="Times New Roman" w:hAnsi="Times New Roman"/>
          <w:sz w:val="20"/>
        </w:rPr>
      </w:pPr>
      <w:r>
        <w:rPr>
          <w:rFonts w:ascii="Times New Roman" w:hAnsi="Times New Roman"/>
          <w:sz w:val="20"/>
        </w:rPr>
        <w:t xml:space="preserve">In particular, our success depends on the continued service and performance of our senior management team and other key personnel. The loss of one or more members of senior management could result in diminished organizational focus, weaker operating execution, and reduced ability to identify and pursue strategic initiatives.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suffer because of increases in the price of raw materials, labor, energy and freight. </w:t>
      </w:r>
    </w:p>
    <w:p>
      <w:pPr>
        <w:pStyle w:val="TextBody"/>
        <w:bidi w:val="0"/>
        <w:spacing w:before="120" w:after="0"/>
        <w:jc w:val="left"/>
        <w:rPr>
          <w:rFonts w:ascii="Times New Roman" w:hAnsi="Times New Roman"/>
          <w:sz w:val="20"/>
        </w:rPr>
      </w:pPr>
      <w:r>
        <w:rPr>
          <w:rFonts w:ascii="Times New Roman" w:hAnsi="Times New Roman"/>
          <w:sz w:val="20"/>
        </w:rPr>
        <w:t xml:space="preserve">Raw materials used to manufacture our merchandise are subject to availability constraints and price volatility caused by a variety of factors including high or low demand for fabrics, labor conditions, transportation or freight costs, currency fluctuations, acreage devoted to cotton crops and crop yields, climate change, weather conditions, supply conditions, economic inflation, tariffs, environmental protection, other standards and other unpredictable factors. Increases in the price of cotton, wool, petroleum-based man-made materials and other raw materials used in the production of fabric and accessories, as well as increases in labor and energy costs, could result in increases in the costs of our products and the expense of transporting them to our distribution centers and to our customers. There can be no assurance that we will be able to reflect any such higher costs in the prices for our products. Consequently, higher product costs could have a negative effect on our gross profit margin and increased selling prices could have a negative effect on our sales volume. To the extent that we cannot offset cost increases with other cost reductions or efficiencies, such increased costs may result in increased product prices, which could lead to reduced customer demand and adversely affect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would suffer if our distribution center or customer care center were shut down, disrupted, or not successfully optimized.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would suffer materially if our distribution center or customer care center were shut down, disrupted, or not successfully optimized. Most of the merchandise we purchase is shipped directly to our distribution center in Indianapolis, Indiana, where it is prepared for shipment to the customer. Our ability to meet consumer expectations, manage inventory, complete sales and achieve objectives for operating efficiencies depends on the proper operation of this facility. We also maintain a customer care center in El Paso, Texas, supplemented by outsourced resources in the Philippines, that collectively receive millions of points of contact, including phone calls, emails and live chats, annually, maintains a live online chat capability and responds to social media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comments. As a result of damage to, or prolonged interruption of, operations at any of our distribution center or customer care facilities due to a work stoppage, supply chain disruption, weather conditions such as tornado, flood, blizzard, the impact of climate change, epidemics, pandemics, labor shortages, or other disruptions or other natural disaster or event, we could lose sales or incur significantly higher costs and longer lead times associated with distributing our products to customers, or experience delayed response time to customers at our customer care center. </w:t>
      </w:r>
    </w:p>
    <w:p>
      <w:pPr>
        <w:pStyle w:val="TextBody"/>
        <w:bidi w:val="0"/>
        <w:spacing w:before="240" w:after="0"/>
        <w:jc w:val="left"/>
        <w:rPr>
          <w:rFonts w:ascii="Times New Roman" w:hAnsi="Times New Roman"/>
          <w:sz w:val="20"/>
        </w:rPr>
      </w:pPr>
      <w:r>
        <w:rPr>
          <w:rFonts w:ascii="Times New Roman" w:hAnsi="Times New Roman"/>
          <w:sz w:val="20"/>
        </w:rPr>
        <w:t xml:space="preserve">We maintain business interruption and property insurance, but our insurance coverage may not be sufficient, or insurance proceeds may not be paid to us timely if our distribution center or our customer care center is shut down for any unplanned reason. These factors could have a material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do not adequately predict customer demand or otherwise optimize and operate our distribution center successfully, it could result in excess or insufficient fulfillment capacity, or result in increased costs, or both, or harm our business in other ways. Orders from several of our websites are fulfilled primarily from a single location. As we continue to add distribution center capability or add new businesses with different requirements, our distribution center systems become increasingly complex and operating them becomes more challenging. We may be unable to adequately operate and staff our distribution center efficiently.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a failure to optimize inventory in our distribution center will increase our net shipping cost by requiring, among other things, partial shipments. Our ability to receive inbound inventory efficiently and ship completed orders to customers also may be negatively affected by inclement weather, fire, flood, power loss, earthquakes, labor disputes, acts of war or terrorism, acts of God and similar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 parties to deliver our merchandise and catalogs to our customers, and our business could be negatively impacted by disruptions in the operations of these third-party service providers. </w:t>
      </w:r>
    </w:p>
    <w:p>
      <w:pPr>
        <w:pStyle w:val="TextBody"/>
        <w:bidi w:val="0"/>
        <w:spacing w:before="120" w:after="0"/>
        <w:jc w:val="left"/>
        <w:rPr>
          <w:rFonts w:ascii="Times New Roman" w:hAnsi="Times New Roman"/>
          <w:sz w:val="20"/>
        </w:rPr>
      </w:pPr>
      <w:r>
        <w:rPr>
          <w:rFonts w:ascii="Times New Roman" w:hAnsi="Times New Roman"/>
          <w:sz w:val="20"/>
        </w:rPr>
        <w:t xml:space="preserve">We rely on third-party shipping partners, such as FedEx and DHL, to deliver our merchandise and on the United States Postal Service (“USPS”) to deliver our catalogs to our customers. Relying on these third-party delivery services puts us at risk for cost increases that they may demand or disruptions in their operations, such as employee strikes, inclement weather and their inability to meet our shipping demands. If we are forced to use other delivery services, our costs could increase and we may be unable to meet shipment deadlines. Moreover, we may be unable to obtain terms as favorable as those received from the transportation providers we currently use, which would further increase our costs. In addition, if our products are not delivered to our customers on time, our customers may cancel their orders, or we may lose business from these customers in the future. These circumstances may negatively impact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System interruptions that impair customer access to our sites or other performance failures in our technology infrastructure could damage our business,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extensively on our information technology systems to track inventory, manage our supply chain, record and process transactions, manage customer communications, summarize results and manage our business. We must periodically update or upgrade our IT platforms to ensure that we continue to provide compelling customer experiences. The failure of our IT systems to operate properly or effectively, problems with transitioning to upgraded or replacement systems or difficulty in integrating new systems could adversely impact our business. In addition, our IT systems may be subject to damage and/or interruption from power outages, computer, network and telecommunications failures, computer viruses, hackers, terrorist attacks, denial of service attacks, security breaches, ransomware, phishing and social engineering scams, usage errors by our employees and harmful acts by our website visitors, and similar events. If our IT systems are damaged or cease to function properly, we may have to make a significant investment to fix or replace them, and we may suffer loss of critical data (including customer data) and interruptions or delays in our operations in the interim. Any significant disruption in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IT systems or loss of or access to data could harm our reputation and credibility and could adversely affect our business, financial condition or results of operations. See “—</w:t>
      </w:r>
      <w:r>
        <w:rPr>
          <w:rFonts w:ascii="Times New Roman" w:hAnsi="Times New Roman"/>
          <w:i/>
          <w:sz w:val="20"/>
        </w:rPr>
        <w:t>Unauthorized disclosure of sensitive or confidential information, whether through a breach of our computer system or otherwise, could severely hurt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use complex proprietary hardware and software in our technology infrastructure, which we seek to continually update and improve. We may not always be successful in executing these upgrades and improvements, and the operation of our systems may be subject to failure. We have in the past and may in the future experience slowdowns or interruptions in some or all our sites when we are updating them, and new technologies or infrastructures may not be fully integrated with existing systems on a timely basis, or at all. Significant capital investment may be required to keep up with rapid technological change (including the successful utilization of data analytics, AI and machine learning). The failure of our IT systems to operate effectively and remain innovative may result in reduced efficiency and may have an adverse effect on our reputation, results of operations and financial condition. See “—</w:t>
      </w:r>
      <w:r>
        <w:rPr>
          <w:rFonts w:ascii="Times New Roman" w:hAnsi="Times New Roman"/>
          <w:i/>
          <w:sz w:val="20"/>
        </w:rPr>
        <w:t>Our use and planned expansion of AI</w:t>
      </w:r>
      <w:r>
        <w:rPr>
          <w:rFonts w:ascii="Times New Roman" w:hAnsi="Times New Roman"/>
          <w:sz w:val="20"/>
        </w:rPr>
        <w:t xml:space="preserve"> </w:t>
      </w:r>
      <w:r>
        <w:rPr>
          <w:rFonts w:ascii="Times New Roman" w:hAnsi="Times New Roman"/>
          <w:i/>
          <w:sz w:val="20"/>
        </w:rPr>
        <w:t>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expand our use of third-party services, including cloud-based services, our technology infrastructure may be subject to increased risk of slowdown or interruption as a result of integration with such services and/or failures by such third parties and our contractual and operational safeguards may not be effective in preventing the failure of these systems or services to operate effectively and be available. Our net revenue depends on the number of visitors who shop on our sites and the volume of orders we can handle. Unavailability of our sites or reduced order fulfillment performance would reduce the volume of goods sold and could also materially adversely affect consumer perception of our brand. As our transaction volume grows and we expand our use of third-party cloud-based services, the demands on our technology platform will increase, and there can be no assurance that we will be able to scale our systems and infrastructure on a timely or cost-effective basis. Any slowdown or failure of our sites and the underlying technological infrastructure could harm our business, reputation and our ability to acquire, retain and serve our customers, which could materially adversely affect our results of operations. Our disaster recovery plan may be inadequate, and our business interruption insurance may not be sufficient to compensate us for the losses that could occur.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Unauthorized disclosure of sensitive or confidential information, whether through a breach of our computer system or otherwise, could severely hurt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involves the receipt, storage and transmission of customers’ personal information, consumer preferences and payment card information, as well as confidential information about our employees, suppliers and our business, some of which is entrusted to third-party service providers and vendors. Despite the security measures we have in place, including commercially available systems, software, tools and monitoring, our facilities and systems — and those of third parties with which we do business — may be vulnerable to security breaches, cyber-attacks, acts of vandalism, computer viruses, misplaced or lost data, AI-enabled threats, and human errors. The methods used to obtain unauthorized access to or penetrate our systems or systems of our third-party providers and to access our sensitive information are constantly evolving and may be difficult to anticipate or detect for extended periods. Our associates, contractors or third-party partners may also purposefully or inadvertently cause breaches. There is no guarantee that our safeguards will be adequate against all threats.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an electronic security breach in our systems (or in the systems of third parties with which we do business and that process data on our behalf) that results in the unauthorized release of individually identifiable customer or other sensitive data could nonetheless occur and have a material adverse effect on our reputation and lead to financial losses from remedial actions, loss of business or potential liability, including possible punitive damages. In the event of a security breach, there can be no assurance that limitations of liability in our contracts would be enforceable or adequate or would otherwise protect us from any such liabilities or damages with respect to any claim. We also cannot provide assurances that our existing cyber insurance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continue to be available on acceptable terms or will be available in sufficient amounts to cover one or more large claims or that the insurer will not deny coverage as to any future claim. Successful assertion of one or more large claims against us that exceeds available insurance coverage or results in changes to our insurance policies, including premium increases or the imposition of large deductible or co-insurance requirements,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maintain a cybersecurity program that includes technical safeguards, employee training, incident response procedures, and third-party security assessments designed to protect our systems and data. Despite these measures, no security program can eliminate all risk, and our defenses may not be sufficient to prevent or detect every potential intrusion, attack, or data loss event.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combined company following the merger, we expect to integrate and align our cybersecurity practices with those of DXL, including its enterprise risk management framework. There can be no assurance that this integration will be achieved without disruption or that the combined company’s cybersecurity program will be sufficient to address the expanded threat surface of the larger organization. </w:t>
      </w:r>
    </w:p>
    <w:p>
      <w:pPr>
        <w:pStyle w:val="TextBody"/>
        <w:bidi w:val="0"/>
        <w:spacing w:before="240" w:after="0"/>
        <w:jc w:val="left"/>
        <w:rPr>
          <w:rFonts w:ascii="Times New Roman" w:hAnsi="Times New Roman"/>
          <w:sz w:val="20"/>
        </w:rPr>
      </w:pPr>
      <w:r>
        <w:rPr>
          <w:rFonts w:ascii="Times New Roman" w:hAnsi="Times New Roman"/>
          <w:sz w:val="20"/>
        </w:rPr>
        <w:t>In addition, as the regulatory environment relating to retailers and other companies’ obligation to protect such sensitive data becomes increasingly rigorous, with new and constantly changing requirements applicable to our business, compliance with those requirements could result in additional costs, and a material failure on our part to comply could subject us to fines or other regulatory sanctions and potentially to lawsuits.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postage, paper and printing costs could adversely affect the costs of producing and distributing our catalog and promotional mailings, which could have an adverse effect on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Mailings of catalogs and other print media are a key aspect of our business. We currently use the USPS for distribution of substantially all our catalogs and are therefore vulnerable to postal rate increases, including potential discontinuation of bulk mailing discounts we currently leverage for cost savings. Increases in postage, paper and printing costs would increase the cost of our catalog mailings and could reduce our profitability to the extent that we are unable to offset such increases by raising prices, by implementing more efficient printing, mailing, delivery and order fulfillment systems or by using alternative direct-mail formats.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paper has fluctuated significantly in the past and may continue to fluctuate in the future. We do not have multi-year fixed-price contracts for the supply of paper and are not guaranteed access to, or reasonable prices for, the amounts required for our business over the long term. We also depend upon a limited number of external vendors to print and mail our catalogs, which subjects us to pricing risks and disruption if any printer experiences production issues or fails to perform. Any inability to source paper or printing services in the quality and quantity required, or any material increase in associated costs, could impact customer acquisition, result in lost sales or otherwise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increasing popularity of GLP-1 medications could reduce demand for our products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GLP-1 receptor agonists used as weight-loss medications, including widely publicized drugs such as Wegovy and Ozempic, have experienced accelerated development, rapid adoption and significant media attention. These medications are designed to promote weight loss and may result in meaningful and sustained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reductions in body weight for certain individuals. To the extent that these medications become more widely available, more affordable, or more commonly prescribed, a portion of our customer base may experience weight loss that reduces their need for plus-size apparel.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focused on serving plus-size and extended plus-size individuals. If a significant number of current or potential customers reduce their apparel size or shift their purchasing preferences to smaller-size assortments not offered by us, overall demand for our products could decline. In addition, customers experiencing rapid or ongoing weight changes may defer apparel purchases, reduce purchase frequency, or migrate to competitors with broader size ranges. Any such changes in customer behavior could negatively impact our sales, inventory planning, merchandising strategy, and long-term growth prospects. </w:t>
      </w:r>
    </w:p>
    <w:p>
      <w:pPr>
        <w:pStyle w:val="TextBody"/>
        <w:bidi w:val="0"/>
        <w:spacing w:before="240" w:after="0"/>
        <w:jc w:val="left"/>
        <w:rPr>
          <w:rFonts w:ascii="Times New Roman" w:hAnsi="Times New Roman"/>
          <w:sz w:val="20"/>
        </w:rPr>
      </w:pPr>
      <w:r>
        <w:rPr>
          <w:rFonts w:ascii="Times New Roman" w:hAnsi="Times New Roman"/>
          <w:sz w:val="20"/>
        </w:rPr>
        <w:t xml:space="preserve">The long-term magnitude and duration of any such demand shifts remain uncertain. Weight changes may occur gradually and may vary significantly by individual customer. At the same time, these trends may also present potential opportunities for our business. Customers experiencing size transitions may require replacement wardrobes across multiple size ranges over time, which could increase purchase frequency or demand for a broader range of sizes and fits. We may also benefit from opportunities to introduce new fits or product lines, expand adjacent size categories, or strengthen customer relationships through personalized service and size-inclusive offerings. </w:t>
      </w:r>
    </w:p>
    <w:p>
      <w:pPr>
        <w:pStyle w:val="TextBody"/>
        <w:bidi w:val="0"/>
        <w:spacing w:before="240" w:after="0"/>
        <w:jc w:val="left"/>
        <w:rPr>
          <w:rFonts w:ascii="Times New Roman" w:hAnsi="Times New Roman"/>
          <w:sz w:val="20"/>
        </w:rPr>
      </w:pPr>
      <w:r>
        <w:rPr>
          <w:rFonts w:ascii="Times New Roman" w:hAnsi="Times New Roman"/>
          <w:sz w:val="20"/>
        </w:rPr>
        <w:t xml:space="preserve">Our portfolio of established plus-size brands, combined with our direct-to-consumer customer data and digital marketing capabilities, may position us to serve customers through weight transitions in ways that traditional retailers cannot. However, our ability to realize any such benefits will depend on our ability to anticipate and respond effectively to evolving consumer preferences, manage inventory and costs, and execute our strategic initiatives successfully. If the use of GLP-1 medications continues to grow and materially alters the purchasing patterns of our target demographics, the net effect on our business and results of operations could be adverse.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inability of our customers to access credit could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portion of our customers finance their purchases of our products with credit, including our private label credit cards, co-branded credit cards and other general purpose credit cards. If the banks providing such credit limit the amount of credit they make available to our customers, or otherwise increase the fees associated with such credit, or if access to credit is otherwise limited due to regulatory restrictions on credit card interest rates, our business and results of operations could be adversely affected. Any deterioration in consumer credit quality, increased delinquencies or changes in underwriting standards by our credit partners could reduce purchasing power among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indebtedness could adversely affect our financial health, limit our ability to obtain future financing, and reduce our flexibility to respond to changes in our business. In addition, any inability to access liquidity or the capital markets on acceptable terms could adversely affect our business, results of operations, financial position and cash flows. </w:t>
      </w:r>
    </w:p>
    <w:p>
      <w:pPr>
        <w:pStyle w:val="TextBody"/>
        <w:bidi w:val="0"/>
        <w:spacing w:before="120" w:after="0"/>
        <w:jc w:val="left"/>
        <w:rPr>
          <w:rFonts w:ascii="Times New Roman" w:hAnsi="Times New Roman"/>
          <w:sz w:val="20"/>
        </w:rPr>
      </w:pPr>
      <w:r>
        <w:rPr>
          <w:rFonts w:ascii="Times New Roman" w:hAnsi="Times New Roman"/>
          <w:sz w:val="20"/>
        </w:rPr>
        <w:t>As of January 3, 2026, we had significant indebtedness consisting of amounts outstanding under our term loan and asset-based revolving credit facility. For a description of our indebtedness please refer to the section entitled “</w:t>
      </w:r>
      <w:r>
        <w:rPr>
          <w:rFonts w:ascii="Times New Roman" w:hAnsi="Times New Roman"/>
          <w:i/>
          <w:sz w:val="20"/>
        </w:rPr>
        <w:t>FBB’s Management’s Discussion and Analysis of Financial Condition and Results of Operations — Description of Indebtedness</w:t>
      </w:r>
      <w:r>
        <w:rPr>
          <w:rFonts w:ascii="Times New Roman" w:hAnsi="Times New Roman"/>
          <w:sz w:val="20"/>
        </w:rPr>
        <w:t>.” In connection with the merger, our indebtedness is expected to be modified as further described in the section entitled “</w:t>
      </w:r>
      <w:r>
        <w:rPr>
          <w:rFonts w:ascii="Times New Roman" w:hAnsi="Times New Roman"/>
          <w:i/>
          <w:sz w:val="20"/>
        </w:rPr>
        <w:t>The Merger Agreement—Financing.</w:t>
      </w:r>
      <w:r>
        <w:rPr>
          <w:rFonts w:ascii="Times New Roman" w:hAnsi="Times New Roman"/>
          <w:sz w:val="20"/>
        </w:rPr>
        <w:t xml:space="preserve">” Our indebtedness could have significant consequences. Because of our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satisfy our obligations with respect to our debt may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more vulnerable to adverse economic and general industry conditions, including interest rate fluctuations, because a portion of our borrowings are at variable rates of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additional financing or pursue strategic acquisitions and investments may be limited, and we may be required to make non-strategic divestitures;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portion of our cash flow from operations may have to be dedicated to the payment of principal and interest on our debt, thereby reducing our ability to use that cash flow to fund our operations, capital expenditures and future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renew or refinance our debt on terms as favorable as our existing debt or at all;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flexibility to adjust to changing market conditions and our ability to withstand competitive pressures could be diminished.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cash flow declines, we may be required to reduce capital expenditure, limit strategic investments, delay growth initiatives, or seek additional capital on terms that may be less favorable. In addition, increases in interest rates could increase our debt service obligations where borrowings are subject to variable rates. </w:t>
      </w:r>
    </w:p>
    <w:p>
      <w:pPr>
        <w:pStyle w:val="TextBody"/>
        <w:bidi w:val="0"/>
        <w:spacing w:before="240" w:after="0"/>
        <w:jc w:val="left"/>
        <w:rPr>
          <w:rFonts w:ascii="Times New Roman" w:hAnsi="Times New Roman"/>
          <w:sz w:val="20"/>
        </w:rPr>
      </w:pPr>
      <w:r>
        <w:rPr>
          <w:rFonts w:ascii="Times New Roman" w:hAnsi="Times New Roman"/>
          <w:sz w:val="20"/>
        </w:rPr>
        <w:t xml:space="preserve">We largely depend on cash generated from our existing operations to support our growth. If we were unable to generate sufficient cash from our existing operations, changes in the credit and capital markets, including market disruptions, limited liquidity and interest rate fluctuations, may increase the cost of financing or restrict the company’s access to this potential source of future liquidity. In addition, a decrease in the ratings that rating agencies assign to our short and long-term debt may also negatively impact our access to the debt capital markets and increase our cost of borrowing. As a result of occasional instability in the global financial markets, our liquidity may be affected, or our capital resources may not be sufficient to satisfy our liquidity needs. Although we believe that our existing cash and cash equivalents, cash provided by operations and available borrowings under our existing credit facilities will be adequate to satisfy our capital needs for the next 12 months, any renewed tightening of the credit markets could make it more difficult for us to access funds, enter into an agreement for new indebtedness or obtain funding through the issuance of our securities. Our credit facilities also have financial covenants which, if not met, may further impede our ability to access funds under such facilities.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our credit facilities may restrict our current and future operations, which could adversely affect our ability to respond to changes in our business and to manage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our credit facility agreements are directly between our wholly owned subsidiaries and the relevant banking institutions. Our term loan and asset-based revolving credit facility, and any additional debt financing we may incur would likely contain, covenants requiring us to maintain or adhere to certain covenants that restrict our operations, which include limitations on our ability to, among other things: incur additional indebtedness; create liens on property; engage in mergers, consolidations and other fundamental changes; dispose of assets; make investments, loans or advances; make certain acquisitions; engage in certain transactions with affiliates; declare or pay dividends on, or repurchase, our stock; and change our lines of business or fiscal year. Our term loan facility includes a financial maintenance covenant based on leverage, and our asset-based revolving credit facility includes a springing financial maintenance covenant based on a fixed charge coverage ratio that becomes applicable in certain circumstances. Additionally, the ability of our subsidiaries to pay upstream dividends and make other distributions to us is subject to certain covenants and limitations pursuant to our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Complying with these covenants could adversely affect our ability to respond to changes in our business, manage our operations, invest capital in new businesses and fund capital expenditures. Our ability to comply with these covenants may be affected by changes in our operating and financial performance, changes in general business and economic conditions, adverse regulatory developments or other events beyond our control. A failure to comply could result in an event of default, upon which lenders could elect to declare all amounts outstanding to be due and payable. If we are in default, we may be unable to borrow additional amounts under our facilities and our ability to obtain future financing may be negatively impacted. If our indebtedness were to be accelerated, it would have a material adverse effect on our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own sensitive and proprietary business information, we handle transactional and personal information about our employees, customers, consumers and users of our e-commerce websites. We also process data for a variety of marketing and advertising purposes, including email communications, affiliate partnerships, social media interactions, influencer partnerships, digital marketing, direct mailers and public relations initiatives, and, because of our data collection and processing activities, we are subject to various laws, regulations and industry standards. Increasingly complex and rigorous, and sometimes conflicting laws, regulatory standards, industry standards, external and internal privacy and security policies, contracts and other obligations govern the collection, use, retention, sharing and security of personal data, particularly in the context of digital marketing, which we rely upon to attract new customers. For example, the California Consumer Privacy Act of 2018 and similar state privacy laws impose obligations on companies to disclose to consumers information about how their personal data is collected, used, shared and stored and to provide certain individual privacy rights to persons, such as the right to request correction or deletion of personal data and the right to opt-out of certain sales or disclosures of personal data. </w:t>
      </w:r>
    </w:p>
    <w:p>
      <w:pPr>
        <w:pStyle w:val="TextBody"/>
        <w:bidi w:val="0"/>
        <w:spacing w:before="240" w:after="0"/>
        <w:jc w:val="left"/>
        <w:rPr>
          <w:rFonts w:ascii="Times New Roman" w:hAnsi="Times New Roman"/>
          <w:sz w:val="20"/>
        </w:rPr>
      </w:pPr>
      <w:r>
        <w:rPr>
          <w:rFonts w:ascii="Times New Roman" w:hAnsi="Times New Roman"/>
          <w:sz w:val="20"/>
        </w:rPr>
        <w:t xml:space="preserve">Laws, regulations and industry standards relating to privacy, data protection, marketing and advertising and consumer protection continue to evolve as various federal and state legislative and regulatory bodies, or self-regulatory organizations, expand current laws or regulations, enact new laws or regulations or issue revised rules or guidance regarding privacy, data protection, consumer protection and advertising. These requirements may be interpreted and applied in a manner that is inconsistent from one jurisdiction to another or may conflict with other rules or our practices. Such evolving legislation may add additional complexity, variation in requirements, restrictions and potential legal risk, require additional investment in resources for compliance programs, and impact strategies and availability of previously useful data and could result in increased compliance costs and/or changes in business practices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Our practices may not have complied with or may not comply in the future with all such laws, regulations, standards, requirements and obligations. Any failure, or perceived failure, by us to comply with any federal or state privacy or consumer protection-related laws, regulations, industry self-regulatory principles, industry standards or codes of conduct, regulatory guidance, orders to which we may be subject, contracts by which we are bound, or other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Any such claims, proceedings or actions may also hurt our reputation, brand and business, force us to incur significant expenses in defense of such proceedings or actions, distract our management, increase our costs of doing business, result in a loss of customers, suppliers or vendors or result in the imposition of monetary penalties.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 </w:t>
      </w:r>
    </w:p>
    <w:p>
      <w:pPr>
        <w:pStyle w:val="TextBody"/>
        <w:bidi w:val="0"/>
        <w:spacing w:before="240" w:after="0"/>
        <w:jc w:val="left"/>
        <w:rPr>
          <w:rFonts w:ascii="Times New Roman" w:hAnsi="Times New Roman"/>
          <w:sz w:val="20"/>
        </w:rPr>
      </w:pPr>
      <w:r>
        <w:rPr>
          <w:rFonts w:ascii="Times New Roman" w:hAnsi="Times New Roman"/>
          <w:sz w:val="20"/>
        </w:rPr>
        <w:t xml:space="preserve">Further, we may publish privacy policies, marketing materials, and other statements, such as statements regarding compliance with certain certifications or self-regulatory principles, regarding data privacy and security. If these policies, materials or statements are found to be deficient, lacking in transparency, deceptive, unfair or misrepresentative of our practices, then we may be subject to investigation, enforcement actions by regulators or other adverse consequences. For example, our compliance with our privacy policies and our general consumer data privacy and security practices may be subject to review by the Federal Trade Commission or the Attorney General of the states in which we operate, which may bring enforcement actions to challenge allegedly unfair and deceptive trade practices, including the violation of privacy policies and representations or material omissions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therein. Negative publicity we might receive regarding any actual or perceived violations of consumer privacy rights, including fines and enforcement actions against us or other similarly placed businesses, may also impair consumers’ trust in our privacy practices and make them reluctant to give their consent to share their data with us. </w:t>
      </w:r>
    </w:p>
    <w:p>
      <w:pPr>
        <w:pStyle w:val="TextBody"/>
        <w:bidi w:val="0"/>
        <w:spacing w:before="240" w:after="0"/>
        <w:jc w:val="left"/>
        <w:rPr>
          <w:rFonts w:ascii="Times New Roman" w:hAnsi="Times New Roman"/>
          <w:sz w:val="20"/>
        </w:rPr>
      </w:pPr>
      <w:r>
        <w:rPr>
          <w:rFonts w:ascii="Times New Roman" w:hAnsi="Times New Roman"/>
          <w:sz w:val="20"/>
        </w:rPr>
        <w:t xml:space="preserve">Federal and state governmental authorities continue to evaluate the privacy implications of third-party cookies and other online tracking methods used for behavioral advertising. Our use of such technologies subjects us to potential claims under the California Invasion of Privacy Act and similar laws, as well as risks from evolving legislation and browser-level restrictions that could limit the effectiveness of our digital marketing practices. If the use of these technologies is significantly restricted or our ability to employ them is impaired, our costs of operations could increase and our ability to acquire new customers on cost-effective terms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derive a significant portion of our operating income from our private label and co-brand credit card programs, and changes in consumer behavior, credit performance, or regulatory developments could materially reduce this revenue. </w:t>
      </w:r>
    </w:p>
    <w:p>
      <w:pPr>
        <w:pStyle w:val="TextBody"/>
        <w:bidi w:val="0"/>
        <w:spacing w:before="120" w:after="0"/>
        <w:jc w:val="left"/>
        <w:rPr>
          <w:rFonts w:ascii="Times New Roman" w:hAnsi="Times New Roman"/>
          <w:sz w:val="20"/>
        </w:rPr>
      </w:pPr>
      <w:r>
        <w:rPr>
          <w:rFonts w:ascii="Times New Roman" w:hAnsi="Times New Roman"/>
          <w:sz w:val="20"/>
        </w:rPr>
        <w:t xml:space="preserve">Our credit card operations facilitate sales and generate significant revenue from fees related to extending credit. Through both our primary private label credit card program and our “second look” co-branded credit card program, we receive royalty payments and other revenue sharing based primarily on net sales. The amount of revenue we earn is directly affected by customer purchase volume, revolving balances, credit quality, fee structures (including late fees), and applicable regulatory requirements. Regulatory developments, such as legislative actions by Consumer Financial Protection Bureau (CFPB), may materially reduce fee income and alter the economics of our agreement with our credit card partner. If certain fee limits are reduced or other regulatory changes occur, our royalty rates, marketing funds, and other revenue components may be reduced or restructured. In addition, declines in consumer spending, higher charge-offs, reduced approval rates, tighter credit standards, or operational changes by our bank partner could adversely impact net sales under the program. Any material reduction in credit card program revenue could have a material adverse effect on our financial condition,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payment-related risks, including in our credit card operations. </w:t>
      </w:r>
    </w:p>
    <w:p>
      <w:pPr>
        <w:pStyle w:val="TextBody"/>
        <w:bidi w:val="0"/>
        <w:spacing w:before="120" w:after="0"/>
        <w:jc w:val="left"/>
        <w:rPr>
          <w:rFonts w:ascii="Times New Roman" w:hAnsi="Times New Roman"/>
          <w:sz w:val="20"/>
        </w:rPr>
      </w:pPr>
      <w:r>
        <w:rPr>
          <w:rFonts w:ascii="Times New Roman" w:hAnsi="Times New Roman"/>
          <w:sz w:val="20"/>
        </w:rPr>
        <w:t>We accept payments using a variety of methods, including our private label credit cards, co-branded credit cards, credit and debit cards, gift cards, mobile payments and online payments. Acceptance of these payment options subjects us to rules, regulations, contractual obligations and compliance requirements, including payment network rules and operating guidelines and rules governing electronic funds transfers. These requirements may change over time or be reinterpreted, making compliance more difficult, costly, or uncertain.</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Payment Card Industry Data Security Standard (“PCI-DSS”), which is a multifaceted security standard that is designed to protect credit card account data as mandated by payment card industry entities. The PCI-DSS requires companies to adopt certain measures to ensure the security of cardholder information, and noncompliance with PCI-DSS can result in penalties ranging from $5,000 to $100,000 per month by credit card companies, litigation, damage to our reputation and revenue losses. We use vendors to help us with PCI-DSS compliance. Despite our compliance efforts, we may become subject to claims that we have violated PCI-DSS, based on past, present, and future business practices, which could have an adverse impact on our business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The payment and payment process methods that we accept subject us to potential fraud and theft by threat actors, which could negatively impact our revenue and profitability. If we fail to comply with applicable rules or requirements for the payment methods we accept, or if payment-related data is compromised due to a breach or misuse of data, we may be liable for costs incurred by third parties or our ability to accept or facilitate certain types of payments may be impaired. In addition, our customers could lose confidence in certain payment types,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which may result in a shift to other payment types or potential changes to our payment systems that may result in higher costs, adversely affecting our business and operating results.</w:t>
      </w:r>
    </w:p>
    <w:p>
      <w:pPr>
        <w:pStyle w:val="TextBody"/>
        <w:bidi w:val="0"/>
        <w:spacing w:before="240" w:after="0"/>
        <w:jc w:val="left"/>
        <w:rPr>
          <w:rFonts w:ascii="Times New Roman" w:hAnsi="Times New Roman"/>
          <w:sz w:val="20"/>
        </w:rPr>
      </w:pPr>
      <w:r>
        <w:rPr>
          <w:rFonts w:ascii="Times New Roman" w:hAnsi="Times New Roman"/>
          <w:sz w:val="20"/>
        </w:rPr>
        <w:t xml:space="preserve">Changes in credit card use and applications, payment patterns, credit fraud, and default rates may also result from a variety of economic, legal, social, and other factors that we cannot control or predict with certainty. Changes that adversely impact our ability to extend credit and collect payments or our customers’ ability to use credit products could negatively affect our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Reliance on promotions and markdowns to encourage customer purchases could adversely affect our gross margins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is dominated by large brands and national/mass retailers, where price competition, promotion and branded product assortment drive differentiation between competitors in the industry. To be competitive, we must offer customers compelling products at attractive prices, including through promotions and markdowns. Increased reliance on promotions and markdowns to encourage customers to purchase our merchandise could have a negative impact on our gross margins, results of operations and brand image.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relies heavily on email and other messaging services, and any restrictions on the sending of emails or messages or an inability to timely deliver such communications could have a material adverse effect on our net revenue and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highly dependent upon email and other messaging services for promoting our sites and products. Daily promotions offered through emails and other messages sent by us generate a significant portion of our revenue. We provide daily emails and periodic “push” communications to customers and other prospects informing them of what is available for purchase on our sites, and we believe these messages are an important part of our customer experience and help generate a substantial portion of our net revenue. If we are unable to successfully deliver emails or other messages to our subscribers, or if subscribers decline to open our emails or other messages, or otherwise “opt-out” of receiving emails from us, our net revenue and profitability would be materially adversely affected. Changes in how webmail applications organize and prioritize email may result in our emails being delivered in a less prominent location in a subscriber’s inbox or viewed as “spam” by our subscribers and may reduce the likelihood of that subscriber opening our emails. Actions by third parties to block, impose restrictions on or charge for the delivery of emails or other messages could also adversely impact our business. From time to time, internet service providers or other regulations that limit our ability to send such communications or impose additional requirements upon us in connection with sending such communications would also adversely impact our business. Our use of email and other messaging services to send communications about our sites or other matters may also result in legal claims against us, which may cause us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that increase costs, limit promotional communications, limit our ability or our customers’ ability to send communications through their services, or disruptions or downtime experienced by these social networking services or decline in the use of or engagement with social networking services by customers and potential customers, could materially adversely affect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merchandise returns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allow our customers to return products, subject to our return policy. If merchandise returns are significant, or significantly more than we estimate, our business, prospects, financial condition and results of operations could be harmed. Further, we modify our policies relating to returns from time to time, which may result in customer dissatisfaction or an increase in the number of product returns. From time to time, our products are damaged in transit, or we may experience undetected production issues that result in products that do not meet our expected quality, which can increase return rates and harm our brand.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Existing and increased competition in the apparel industry or decreasing demand for plus-size products may adversely affect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compete with numerous direct-to-consumer companies and retailers, including national department store chains, men’s and women’s specialty apparel chains, outdoor specialty stores, apparel catalog businesses, sportswear marketers and online apparel businesses that sell similar lines of merchandise, for customers, vendors and personnel. Decreased demand for plus-sized clothing compared to an unchanged or increased number of competitors could lead to increased competition. Our competitors may be able to adopt more aggressive pricing and promotional policies, adapt to changes in customer tastes or requirements more quickly, devote greater resources to the design, sourcing, distribution, marketing and sale of their products or generate greater national brand recognition than us. In addition, our competitors may seek to emulate facets of our business strategy, which could result in a reduction of any competitive advantage or special appeal that we might possess. An inability to overcome these potential competitive disadvantages or effectively market our products relative to our competitors could have an adverse effect on our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From time to time, we may acquire new companies, enter strategic partnerships, expand our existing brand portfolio or launch new brands or collections, and our failure to successfully perform these activities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growth strategy, we may pursue acquisitions or enter strategic partnerships that are consistent with our mission and enable us to leverage our competitive strengths. We have made strategic acquisitions in the past and may in the future consider strategic transactions and business arrangements, including acquisitions, asset purchases, strategic partnerships, joint ventures, restructurings, divestitures and investments. Acquiring and integrating new businesses involves additional risks that could adversely affect our growth and results of operations, including difficulties assimilating acquired operations, personnel, financial systems and general operating procedures, diversion of our capital and management’s attention from other business issues and opportunities, and the need to make accurate assumptions regarding valuation, operations and growth potential. Newly acquired businesses may be unprofitable, and we may incur significant costs and expenses in connection with any acquisition, including in remerchandising and rebranding. Our ability to integrate newly acquired products or other acquired assets will depend on the successful expansion of our existing financial controls, distribution models, information systems, management and human resources and on attracting, training and retaining qualified employees. Any such transaction may require us to incur non-recurring or other charges, may increase our near and long-term expenditure and may pose significant integration challenges or disrupt our management or business, which could harm our operations and financial results. In addition, we may finance any future acquisition with equity or debt financing. Equity financing could result in dilution of stockholders, and any additional leverage that may be incurred with respect to any future acquisitions could adversely affect our profitability and limit our ability to capitalize on future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may launch new collections or expand our existing brand portfolio, both of which may require significant upfront investments, including investments in marketing, information technology and additional personnel. We may not be able to generate satisfactory revenue from these efforts to offset these upfront costs. Any lack of market acceptance of our efforts to launch new collections or expand our existing brand portfolio could have a material adverse effect on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Regulatory, administrative and litigation developments, including government regulation of e-commerce and digital marketing specifically, are evolving, and unfavorable changes or failure by us to comply with these regulations could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Laws and regulations at the local, state, federal and international levels frequently change, and the ultimate cost of compliance cannot be precisely estimated. In addition, we cannot predict the impact that may result from regulatory or administrative changes. Changes in regulations, the imposition of additional regulations, or the enactment of any new or more stringent legislation that impacts employment and labor, advertising, data privacy,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labeling, trade, product safety, transportation and logistics, tax, accounting, operations, or environmental issues, among others, could have an adverse impact on our results of operations, financial position and cash flows. Additionally, from time to time, we are involved in litigation incidental to our business. Our current exposure could change in the event of the discovery of damaging facts with respect to legal matters pending against us or determinations by judges, juries or other finders of fact that are not in accordance with management’s evaluation of the claims. Should management’s evaluation prove incorrect, our exposure could greatly exceed expectations and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In addition, laws and regulations governing the use of digital marketing channels are rapidly evolving. It may become more difficult for us to comply with such laws, and future data privacy laws and regulations or industry standards, as well as related enforcement, may restrict or limit our ability to use some or all the marketing strategies on which we currently rely. The failure by us, our employees or third parties acting at our direction to abide by applicable laws and regulations in the use of these digital marketing channels could adversely impact our reputation or subject us to fines or other penalties. See “—</w:t>
      </w:r>
      <w:r>
        <w:rPr>
          <w:rFonts w:ascii="Times New Roman" w:hAnsi="Times New Roman"/>
          <w:i/>
          <w:sz w:val="20"/>
        </w:rPr>
        <w:t>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cannot be sure that our agents’, suppliers’ and other partners’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proceedings or actions could force us to spend significant amounts in defense of these proceedings, distract our management, increase our costs of doing business, decrease the use of our sites by customers and vendors and may result in the imposition of monetary liability. We may also be contractually liable to indemnify and hold harmless third parties from the costs or consequences of non-compliance with any such laws or regulations. Adverse legal or regulatory developments could substantially harm our business. In particular, if we are restricted, in whole or in part, from operating in one or more countries, our ability to retain or increase our customer base may be adversely affected, and we may not be able to maintain or grow our net revenue and expand our business as anticipated.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part of the combined public company following the merger, we may become subject to evolving disclosure and compliance obligations related to environmental, social, and governance matters, including proposed federal and state requirements regarding climate-related financial risk and greenhouse gas emissions disclosures. Many of these requirements remain subject to ongoing legal challenges and implementation uncertainty, and compliance could require the development of new data collection processes, internal controls, and reporting capabilities that we have not previously maintained as a private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risks associated with global sourcing and 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source substantially all our products from a network of vendors primarily in Asia and Africa, both directly and through the utilization of agents in select countries. We may also source products indirectly through domestic vendors with foreign sources. Our inability to effectively source inventory directly could negatively impact our ability to deliver our inventory supply and could disrupt our business, which may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at risk for increases in vendor costs and cannot be certain that we will not experience operational difficulties with these third-party vendors, such as reductions in the availability of production capacity, decline in plus-size clothing expertise, errors in complying with merchandise specifications, insufficient quality control and failure to meet production deadlines. The inability of a vendor to ship orders in a timely manner or to meet our safety, quality and social compliance standards could have a material adverse impact on our business, results of operations, financial position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we face a variety of risks generally associated with doing business in foreign markets and importing merchandise from abroad (see also “— </w:t>
      </w:r>
      <w:r>
        <w:rPr>
          <w:rFonts w:ascii="Times New Roman" w:hAnsi="Times New Roman"/>
          <w:i/>
          <w:sz w:val="20"/>
        </w:rPr>
        <w:t>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political or labor instability in any of the countries in which our merchandise is manufactured or the channels through which it passes;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value of the U.S. dollar against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our manufacturers to comply with local laws, including labor laws, health and safety laws or labor practices;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security and regulatory requirements applicable to imported goods;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 of natural disasters, industrial accidents and public health concerns on our foreign sourcing offices and vendor manufacturing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and disruptions in shipping due to port security considerations, labor disputes, political instability or access restrictions to shipping routes such as the Suez Canal;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under the United States Foreign Corrupt Practices Act of 1977, as amended, and similar laws, economic sanctions laws, regulations and regimes (including those administered by the Office of Foreign Assets Control of the United States Department of the Treasury), restrictions related to forced labor and human rights concerns, and other international laws and regulations;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costs and delays of transportation.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ship most of our products from vendors to our domestic distribution centers by ocean. If a disruption occurs in the operation of ports through which our products transit, including disruptions caused by geopolitical instability affecting shipping routes, we and our vendors may have to ship some or all of our products from Asia or other regions by air freight or to alternative shipping destinations in the United States or Canada. Shipping by air is significantly more expensive than shipping by ocean and our profitability could be reduced. Similarly, shipping to alternative destinations in the United States or neighboring countries could lead to increased lead times and costs for our products. A disruption at ports (domestic or abroad) through which our products are imported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independent manufacturers to operate in compliance with applicable laws and our internal requirements, and we work with a third-party audit vendor to confirm a responsible and ethical supply chain. Our vendor code of conduct, guidelines for vendors or other vendor compliance programs promote ethical business practices and we monitor compliance with them; however, we do not control these manufacturers, their labor practices, the health and safety conditions of their facilities or from where they buy their raw materials. Any violation of labor, health, environmental, safety or other laws, including issues relating to human rights abuses, forced labor, or workplace safety violations, by any of the independent manufacturers we use could damage our reputation and could have a material adverse effect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Unseasonal or severe weather conditions may adversely affect our merchandise sales. </w:t>
      </w:r>
    </w:p>
    <w:p>
      <w:pPr>
        <w:pStyle w:val="TextBody"/>
        <w:bidi w:val="0"/>
        <w:spacing w:before="120" w:after="0"/>
        <w:jc w:val="left"/>
        <w:rPr>
          <w:rFonts w:ascii="Times New Roman" w:hAnsi="Times New Roman"/>
          <w:sz w:val="20"/>
        </w:rPr>
      </w:pPr>
      <w:r>
        <w:rPr>
          <w:rFonts w:ascii="Times New Roman" w:hAnsi="Times New Roman"/>
          <w:sz w:val="20"/>
        </w:rPr>
        <w:t xml:space="preserve">Our business may be adversely affected by unseasonal weather conditions. Sales of certain seasonal apparel items, are dependent in part on the weather and may decline in years in which weather conditions do not favor the use of these products. Sales of our spring and summer products, which traditionally consist of lighter clothing, swimwear, and the like, may be adversely affected by cool or wet weather. Similarly, sales of our fall and winter products, which include sweaters, flannel, outerwear, and the like, may be adversely affected by mild, dry or warm weather.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effects of climate change may result in an increase in the frequency, severity, and duration of extreme weather conditions and natural disasters, as well as shifts in traditional seasonal weather patterns. Severe weather events may impact our ability to deliver orders to customers on schedule and staff our distribution and customer care centers, which could have an adverse effect on our business and results of operations. In addition, because we purchase inventory based in part on anticipated weather patterns, unanticipated weather or unseasonably severe weather may result in excess inventory or lost sales, either of which would have an adverse impact on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protect our trademarks and other intellectual property rights, and third parties may claim that we infringe on their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trademarks and service marks are important to our success and competitive position due to their name recognition with our customers. We devote substantial resources to the establishment and protection of our trademarks and service marks on a worldwide basis, including in certain of the countries in which we have business operations or plan to have business operations. While we have registered our primary trademarks in our core product categories in the United States, because we have not registered all our trademarks in all categories, or in all foreign countries in which we may fulfill orders through third-party vendors for our merchandise, our international expansion and product merchandising using these marks could be limited. </w:t>
      </w:r>
    </w:p>
    <w:p>
      <w:pPr>
        <w:pStyle w:val="TextBody"/>
        <w:bidi w:val="0"/>
        <w:spacing w:before="240" w:after="0"/>
        <w:jc w:val="left"/>
        <w:rPr>
          <w:rFonts w:ascii="Times New Roman" w:hAnsi="Times New Roman"/>
          <w:sz w:val="20"/>
        </w:rPr>
      </w:pPr>
      <w:r>
        <w:rPr>
          <w:rFonts w:ascii="Times New Roman" w:hAnsi="Times New Roman"/>
          <w:sz w:val="20"/>
        </w:rPr>
        <w:t>In addition to trademark protection, we protect our assets through a combination of copyrights, trade secrets, patents and other intellectual property rights. Nevertheless, the actions we have taken, including establishing and protecting our trademarks and service marks, may not be adequate to prevent others from imitating our products or to prevent others from seeking to block sales of our products if we were to expand into other markets. Also, others may assert proprietary rights in our intellectual property, and we may not be able to successfully resolve these types of conflicts to our satisfaction. In addition, the laws of certain foreign countries may not protect our proprietary rights to the same extent as do the laws of the United States and laws and enforcement mechanisms to protect our intellectual property from unauthorized usage in new technologies, like AI, are evolving and may be inadequate. See “—</w:t>
      </w:r>
      <w:r>
        <w:rPr>
          <w:rFonts w:ascii="Times New Roman" w:hAnsi="Times New Roman"/>
          <w:i/>
          <w:sz w:val="20"/>
        </w:rPr>
        <w:t>Our use and planned expansion of AI technologies present operational, regulatory, cybersecurity, legal, and reputational risks that could adversely affect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litigation regarding our trademarks could be time-consuming and costly and we cannot assure that our rights in, or ownership of, our trademarks or other intellectual property rights would be upheld if challenged. The loss of exclusive use of our trademarks and other intellectual property could have a material adverse effect on our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We may be subject to costly litigation in the event third parties claim our products or services infringe upon their proprietary rights. Third parties may have, or may in the future obtain, patents, including design patents, that our products, brands or technology may infringe. Any of these third parties could make a claim of infringement against us, and we may also be subject to claims by third parties that we have breached their copyright, trademark or license usage rights. We also face the risk of infringing third-party intellectual property rights from the use of outputs generated using AI which may contain or be substantially similar to third-party material protected by intellectual property, including patents, copyrights or trademarks. </w:t>
      </w:r>
    </w:p>
    <w:p>
      <w:pPr>
        <w:pStyle w:val="TextBody"/>
        <w:bidi w:val="0"/>
        <w:spacing w:before="240" w:after="0"/>
        <w:jc w:val="left"/>
        <w:rPr>
          <w:rFonts w:ascii="Times New Roman" w:hAnsi="Times New Roman"/>
          <w:sz w:val="20"/>
        </w:rPr>
      </w:pPr>
      <w:r>
        <w:rPr>
          <w:rFonts w:ascii="Times New Roman" w:hAnsi="Times New Roman"/>
          <w:sz w:val="20"/>
        </w:rPr>
        <w:t xml:space="preserve">Litigation could result in substantial expense to us and significant diversion of efforts by our technical and management personnel. An adverse determination in any such proceeding could subject us to significant liabilities to third parties, could prevent us from using our trademarks or other intellectual property rights or could require us to seek licenses from third parties and such licenses may be costly and may not be available on acceptable terms or at all. Adverse determinations in a judicial or administrative proceeding or failure to obtain necessary licenses could prevent us from commercializing our products, which would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Matters relating to unionized employees and multiemployer plan obligations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Some of our employees are represented by a union. Participation in labor unions could put us at increased risk of labor strikes and disruption of our operations. Responding to unionization attempts may distract management and our workforce. If a significant number of our employees were to become unionized and collective bargaining agreement terms were significantly different from our current compensation arrangements, it could significantly increase our costs. Any of these changes could adversely affect our business, financial condition,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terms of our collective bargaining agreements require us to make periodic contributions on behalf of our unionized employees to defined benefit multiemployer pension plans. These plans have been determined to be in “critical status,” and we could be subject to withdrawal liability in the event of a withdrawal from such plans, which would be payable over an extended period and could adversely impact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Labor shortages or increases in labor costs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Any labor shortage, particularly those of which occur in our distribution center during peak-selling periods, may negatively impact our ability to process inventory in a timely manner. Additionally, because of the tight labor market, our hourly rates have increased to attract candidates. If we are unable to pass on these higher costs through price increases or reduced workforce hours, our margins and profitability may be adversely impacted, which could have a material adverse effect on our results of operations, financial position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may place significant strains on our resources. </w:t>
      </w:r>
    </w:p>
    <w:p>
      <w:pPr>
        <w:pStyle w:val="TextBody"/>
        <w:bidi w:val="0"/>
        <w:spacing w:before="120" w:after="0"/>
        <w:jc w:val="left"/>
        <w:rPr>
          <w:rFonts w:ascii="Times New Roman" w:hAnsi="Times New Roman"/>
          <w:sz w:val="20"/>
        </w:rPr>
      </w:pPr>
      <w:r>
        <w:rPr>
          <w:rFonts w:ascii="Times New Roman" w:hAnsi="Times New Roman"/>
          <w:sz w:val="20"/>
        </w:rPr>
        <w:t xml:space="preserve">Our growth may place a significant strain on our managerial, operational and financial resources. Moving forward, our systems, procedures or controls may not be adequate to support our operations, and we may be unable to achieve the rapid execution necessary to successfully implement our business plan. Our future operating results, if any, will also depend on our ability to add additional personnel commensurate with the growth of our operations, if any. If we are unable to manage growth effectively, our business, results of operations and financial condition will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or negative publicity if we need to recall any product we sell or if we fail to comply with applicable product safety laws. </w:t>
      </w:r>
    </w:p>
    <w:p>
      <w:pPr>
        <w:pStyle w:val="TextBody"/>
        <w:bidi w:val="0"/>
        <w:spacing w:before="120" w:after="0"/>
        <w:jc w:val="left"/>
        <w:rPr>
          <w:rFonts w:ascii="Times New Roman" w:hAnsi="Times New Roman"/>
          <w:sz w:val="20"/>
        </w:rPr>
      </w:pPr>
      <w:r>
        <w:rPr>
          <w:rFonts w:ascii="Times New Roman" w:hAnsi="Times New Roman"/>
          <w:sz w:val="20"/>
        </w:rPr>
        <w:t xml:space="preserve">The products we sell are regulated by many different governmental bodies, including but not limited to the Consumer Product Safety Commission and the Food and Drug Administration in the United States, and similar state laws (including California’s Proposition 65) and international regulatory authorities. Although we test the products sold on our websites, selected products still could present safety problems of which we are not aware. This could lead us to recall selected products, either voluntarily or at the direction of a governmental authority and may lead to a lack of consumer acceptance or loss of consumer trust. Product safety concerns, recalls, defects or errors could result in the rejection of our products by customers, damage to our reputation, lost sales, product liability litigation and increased costs, any or all of which could harm our business and have a material adverse effect on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Some of the products we sell or manufacture may expose us to product liability claims relating to personal injury, death, or environmental or property damage. Certain third parties also sell products using our platform that may increase our exposure to product liability claims, such as if these sellers do not have sufficient protection from such claims. Although we maintain liability insurance, our coverage may not be adequate for liabilities actually incurred or insurance may not continue to be available to us on economically reasonable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taxation risks, including income tax liabilities and state and local tax obligations, which could adversely affect our business. We are subject to income taxes in the United States (federal and state).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and administrative practices in various jurisdictions may be subject to significant change due to economic, political and other conditions, and significant judgment is required in evaluating and estimating our provision and accruals for these taxes. Our effective tax rates could be adversely affected by a tax authority challenging a position taken by the company, earnings being lower than anticipated in jurisdictions where we have lower statutory rates and higher than anticipated in jurisdictions where we have higher statutory rates, losses incurred in jurisdictions for which we are not able to realize the related tax benefit, entry into new businesses and geographies and changes to our existing businesses, acquisitions (including integrations) and investments, changes in our deferred tax assets and liabilities and their valuation, and changes in the relevant tax, accounting, and other laws, regulations, administrative practices, principles, and interpretations. We are also subject to audit in various jurisdictions, and such jurisdictions may assess additional income tax liabilities against us.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our tax estimates are reasonable, the outcome of any tax audits, investigations, and related litigation could be materially different from our historical income tax provisions and accruals. </w:t>
      </w:r>
    </w:p>
    <w:p>
      <w:pPr>
        <w:pStyle w:val="TextBody"/>
        <w:bidi w:val="0"/>
        <w:spacing w:before="240" w:after="0"/>
        <w:jc w:val="left"/>
        <w:rPr>
          <w:rFonts w:ascii="Times New Roman" w:hAnsi="Times New Roman"/>
          <w:sz w:val="20"/>
        </w:rPr>
      </w:pPr>
      <w:r>
        <w:rPr>
          <w:rFonts w:ascii="Times New Roman" w:hAnsi="Times New Roman"/>
          <w:sz w:val="20"/>
        </w:rPr>
        <w:t xml:space="preserve">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One or more states or municipalities could assert that the Company is liable for sales and use, commerce, or similar type of taxes, which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ship product to retail customers throughout the United States. In </w:t>
      </w:r>
      <w:r>
        <w:rPr>
          <w:rFonts w:ascii="Times New Roman" w:hAnsi="Times New Roman"/>
          <w:i/>
          <w:sz w:val="20"/>
        </w:rPr>
        <w:t>South Dakota v. Wayfair, Inc. et al</w:t>
      </w:r>
      <w:r>
        <w:rPr>
          <w:rFonts w:ascii="Times New Roman" w:hAnsi="Times New Roman"/>
          <w:sz w:val="20"/>
        </w:rPr>
        <w:t xml:space="preserve"> (“Wayfair”), the U.S. Supreme Court ruled that states may charge tax on purchases made from out-of-state sellers, even if the seller does not have a physical presence in the taxing state. The effect of Wayfair was to uphold economic nexus principles in determining sales and use tax nexus. As a result of the decision, most states have adopted laws that require an out-of-state retailer to register and collect sales and use or other non-income type taxes upon meeting certain economic nexus standards regardless of whether the company has physical presence in the state. Although we believe we are complying with the applicable legislative requirements and collecting taxes where obligated to do so, our interpretation and application of the legislation may differ from the states, which could result in the states’ attempt to impose additional tax liabilities, including potential penalties and interest. Furthermore, the requirements by state or local governments on out-of-state sellers to collect sales and use taxes could deter future sales, which could have an adverse impact on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subject to litigation claims through the ordinary course of our business operations regarding, but not limited to, employment matters, compliance with the Americans with Disabilities Act of 1990, footwear, apparel and accessory safety standards, product liability claims, security of customer and employee personal information, advertising and promotional practices, contractual relations with vendors, marketing and infringement of trademarks and other intellectual property rights. Litigation to defend ourselves against claims by third parties, or to enforce any rights that we may have against third parties, may be necessary, which could result in substantial costs and diversion of our resources, causing a material adverse effect on our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intangible assets become impaired, we may be required to record a significant charge to earnings.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intangible assets. Our intangible asset balances as of January 3, 2026, was approximately $131.1 million. We test indefinite-lived intangible assets for impairment at least annually or more frequently if indicators of impairment exist. Such assets are considered to be impaired when the net book value of an intangible asset exceeds its estimated fair value. An impairment of a significant portion of our intangible assets could materially adversely affect our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76201_10"/>
      <w:bookmarkEnd w:id="12"/>
      <w:r>
        <w:rPr>
          <w:rFonts w:ascii="Times New Roman" w:hAnsi="Times New Roman"/>
          <w:b/>
          <w:sz w:val="20"/>
        </w:rPr>
        <w:t xml:space="preserve">Risks Related to the Combined Company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risks relate to the combined company and would apply only if the merger is consummated. There can be no assurance that the merger will be consummated.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would have a substantial amount of indebtedness following the merger, which could materially adversely affect its financial condition and ability to comply with its covenants.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 would be expected to have a significant amount of indebtedness, including obligations under the A&amp;R Term Loan Facility (defined below) and the Combined ABL Facility (defined below). The combined company’s level of indebtedness could have material consequences, including requiring a substantial portion of its cash flow from operations to be dedicated to the payment of principal and interest thereon, increasing its vulnerability to adverse economic and industry conditions, limiting its flexibility in planning for or reacting to changes in its business or competitive environment, limiting its ability to obtain additional financing for working capital, capital expenditures, acquisitions or other corporate purposes, and placing it at a competitive disadvantage relative to competitors with less indebtedness. If the combined company’s cash flow declines, it may be required to reduce capital expenditure, delay growth initiatives, or seek additional capital on less favorable terms. </w:t>
      </w:r>
    </w:p>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and the Combined ABL Facility would contain financial and other restrictive covenants that limit our ability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or issue certain preferred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dividends, distributions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certain investments or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mergers or other fundamental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certain transactions with affiliates;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or repurchase certain subordinated or junior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A&amp;R Term Loan Facility would include a financial maintenance covenant requiring compliance with a maximum total net leverage ratio. The Combined ABL Facility is expected to include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company’s ability to comply with these covenants may be affected by events beyond its control, including prevailing economic, financial and industry conditions. If the combined company fails to comply with these covenants and is unable to obtain waivers or amendments from its lenders, an event of default could occur, which could result in the acceleration of indebtedness and the enforcement of remedies against collateral securing such indebtedness. In such circumstances, the combined company may not have sufficient liquidity to repay accelerated obligations and may not be able to obtain alternative financing on acceptable terms, or at all. Any of these factors could have a material adverse effect on the combined company’s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For more information on the A&amp;R Term Loan Facility and the Combined ABL Facility, please see the section entitled “</w:t>
      </w:r>
      <w:r>
        <w:rPr>
          <w:rFonts w:ascii="Times New Roman" w:hAnsi="Times New Roman"/>
          <w:i/>
          <w:sz w:val="20"/>
        </w:rPr>
        <w:t>The Merger Agreement—Financing”.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ABL Facility has not yet been entered into, and the combined company may not be able to establish such facility on the anticipated terms or within the expected timeframe, which could adversely affect its liquidity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ABL Facility is expected to be implemented in connection with the closing of the merger, subject to the terms and conditions set forth in the Bank of America Commitment Letter (as defined below). The Combined ABL Facility has not yet been entered into, and although DXL and FBB have agreed to use reasonable best efforts to establish the Combined ABL Facility, there can be no assurance that such facility would be entered into on the anticipated terms or within the expected timeframe if the conditions set forth in the Bank of America Commitment letter are not met. </w:t>
      </w:r>
    </w:p>
    <w:p>
      <w:pPr>
        <w:pStyle w:val="TextBody"/>
        <w:bidi w:val="0"/>
        <w:spacing w:before="240" w:after="0"/>
        <w:jc w:val="left"/>
        <w:rPr>
          <w:rFonts w:ascii="Times New Roman" w:hAnsi="Times New Roman"/>
          <w:sz w:val="20"/>
        </w:rPr>
      </w:pPr>
      <w:r>
        <w:rPr>
          <w:rFonts w:ascii="Times New Roman" w:hAnsi="Times New Roman"/>
          <w:sz w:val="20"/>
        </w:rPr>
        <w:t xml:space="preserve">In addition, availability under the Combined ABL Facility is expected to be subject to a borrowing base based primarily on eligible inventory and accounts receivable and may be reduced by reserves or other adjustments imposed by lenders. As a result, the amount of loans available for borrowing may fluctuate based on seasonal or other changes in working capital and lender discretion under the applicable credit documentation. If the Combined ABL Facility is not established on anticipated terms or if borrowing availability thereunder is more limited than expected, the combined company’s liquidity and financial flexibility could be adversely affected, which could have a material adverse effect on its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may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The combined company may need to increase brand awareness, successfully grow its store portfolio, grow its digital business, maintain a state-of-the-art website, predict and respond to fashion trends, grow its existing customer base, hire qualified personnel, build successful collaborations and alliances, grow and sustain the number of transactions, units-per-transaction and share of wallet and operate at appropriate operating margins. Failure to grow its market share could have a material adverse effect on the combined company’s results of operations, cash flows, and financial position. Even if the combined company does achieve profitability, it may not be able to sustain or increase profitability on a quarterly or annual basis.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integration of FBB with DXL may present significant challenges, and the combined company may not realize anticipated synergies and other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of independent businesses is complex, costly and time-consuming, and combining DXL’s and FBB’s businesses and operations may divert significant management attention and resources and disrupt the combined company’s business if the merger is consummated. The failure to meet the challenges involved in integrating the businesses and to realize the anticipated benefits of the transaction could cause an interruption of, or a loss of momentum in, the combined company’s business activities and could adversely affect its results of operations. The overall combination of the DXL business and the FBB business may also result in material unanticipated problems, expenses, liabilities, competitive responses, and loss of customer and other business relationships. The risks and difficulties of integration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to integration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operations and systems, including intellectual property and communications systems, administrative and information technology infrastructure and financial reporting and internal control systems, some of which may prove to be incompatible;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conforming standards, controls, procedures and accounting and other policies, business cultures and compensation structures between the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integrating employees and attracting and retaining key personnel, including talent;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retaining existing, and obtaining new 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managing the expanded operations of a significantly larger and more complex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realizing contingent liabilities that are larger than expected;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adverse consequences and unforeseen increased expenses associated with the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factors are outside of DXL’s control and, if the merger is consummated, would be outside the control of the combined company, and any one of them could result in lower revenues, higher costs and diversion of management time and energy, which could materially impact the business, financial condition and results of operations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the operations of the DXL business and the FBB business are integrated successfully, the full benefits of the transaction may not be realized, including expected synergies, cost savings or sales or growth opportunities. These benefits may not be achieved within the anticipated time frame or at all. Further, additional unanticipated costs may be incurred in the integration of the DXL business and the FBB business. All of these factors could cause dilution to the earnings per share of DXL, decrease or delay the projected accretive effect of the transaction, and negatively impact the price of DXL common stock following the transaction.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success of the combined company would also depend on relationships with third parties and pre-existing customers of DXL and FBB, which relationships may be affected by customer or third-party preferences or public attitudes about the merger. Any adverse changes in these relationships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success would depend on its ability to maintain and renew relationships with pre-existing customers, suppliers and other third parties of both DXL and FBB, and its ability to establish new relationships. There can be no assurance that the business of the combined company would be able to maintain and renew pre-existing contracts and other business relationships, or enter into or maintain new contracts and other business relationships, on acceptable terms, if at all. The failure to maintain important business relationships could have a material adverse effect on the combined company’s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consummated, the combined company’s stock price would be expected to be volatile, and the market price of its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following the merger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overall changes in the economy and general market volatility, including the effects of inflation and/or recession;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news announcements regarding the combined company’s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projections the combined company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quarterly comparable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entry into, or termination of, key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competitive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key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regulation or changes in laws applicable to the combined company (such as increased wage and paid benefits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affecting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its common stock by the combined company or its stockholders in the future;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the combined company’s markets;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views as to the prospects of the combined company or the retail clothing industry generally.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stock markets in general have experienced substantial volatility that has often been unrelated to the operating performance of individual companies or the retail clothing industry. These broad market fluctuations may also adversely affect the trading price of the combined company’s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the combined company’s profitability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a decrease in the stock price of the combined company may cause the combined company’s common stock to no longer satisfy the continued listing standards of Nasdaq. If the combined company is unable to maintain the requirements for listing on Nasdaq, it could be delisted, which could have a materially adverse effect on its ability to raise additional funds as well as the price and liquidity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reporting obligations of being a public company in the United States are expensive and time-consuming, and the combined company’s management would be required to devote substantial time to compliance matters.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FBB as the accounting acquirer would be responsible for the combined company’s public company obligations. Although DXL is currently a public company, FBB has operated as a privately held company and has not been subject to public company reporting requirements. The combined company would therefore incur significant additional legal, accounting and other expenses as FBB implements and integrates the controls and procedures necessary for public company compliance for the first time. The obligations of being a public company in the United States require significant expenditures and would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In addition, the combined company expects these rules and regulations to make it more difficult and more expensive for the combined company to obtain director and officer liability insurance and the combined company may be required to incur substantial costs to maintain the same or similar coverage that FBB had as a privately held company. The combined company’s management and other personnel would need to devote a substantial amount of time to ensure that the combined company complies with all of these requirements and to keep pace with new regulations, otherwise the combined company may fall out of compliance and risk becoming subject to litigation or being delisted, among other potential problems.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or availability for sale of a substantial number of shares of common stock of the combined company after the merger and the private placement and after expiration of applicable lock-up periods could adversely affect the market price of such shares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common stock of the combined company in the public market after the merger, the private placement or if existing stockholders of DXL and FBB sell, or indicate an intention to sell, substantial amounts of the combined company’s common stock in the public market after expiration of applicable lock-up periods and other legal restrictions on resale, or the perception that these sales could occur, could adversely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the market price of such shares and could materially impair the combined company’s ability to raise capital through equity offerings in the future.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DXL and FBB are unable to predict what effect, if any, market sales of securities held by significant stockholders, directors or officers of the combined company or the availability of these securities for future sale would have on the market price of the combined company’s common stock after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of the combined company’s common stock may be highly concentrated, and it may prevent other stockholders from influencing significant corporate decisions.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former FBB stockholders (including the private placement investors) are estimated to beneficially own or control approximately 55% of the combined company on a fully diluted basis using the treasury stock method. Accordingly, former FBB stockholders would have substantial influence over the outcome of any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of control of the combined company, even if such change of control would benefit the other stockholders of the combined company. </w:t>
      </w:r>
    </w:p>
    <w:p>
      <w:pPr>
        <w:pStyle w:val="TextBody"/>
        <w:bidi w:val="0"/>
        <w:spacing w:before="360" w:after="0"/>
        <w:jc w:val="left"/>
        <w:rPr>
          <w:rFonts w:ascii="Times New Roman" w:hAnsi="Times New Roman"/>
          <w:sz w:val="20"/>
        </w:rPr>
      </w:pPr>
      <w:r>
        <w:rPr>
          <w:rFonts w:ascii="Times New Roman" w:hAnsi="Times New Roman"/>
          <w:b/>
          <w:i/>
          <w:sz w:val="20"/>
        </w:rPr>
        <w:t>Certain significant stockholders of the combined company could attempt to influence changes which could adversely affect the combined company’s operations, financial condition and the value of DXL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certain former stockholders of FBB would hold significant ownership positions in the combined company, including Oaktree Opportunities Fund Xb Holdings (Delaware), L.P., Oaktree Opportunities Fund XI Holdings (Delaware), L.P. and certain of their affiliates (“Oaktree”), which would hold approximately 26.9% of the outstanding equity. Stockholders with significant ownership stakes may from time to time seek to influence corporate actions, engage in proxy solicitations, advance stockholder proposals or otherwise attempt to effect changes at the combined company. Such campaigns may seek to increase short-term stockholder value through actions such as financial restructuring, increased debt, special dividends, stock repurchases or sales of assets or the entire company. Responding to proxy contests and other actions by significant stockholders can be costly and time-consuming and could disrupt the combined company’s operations and divert the attention of the board of directors and senior management from executing the combined company’s business strategy. These actions could adversely affect the combined company’s operations, financial condition and the value of your investment in DXL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DXL and FBB do not anticipate that the combined company would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would be expected to retain its future earnings, if any, to fund the development and growth of the combined company’s business. As a result, capital appreciation, if any, of the combined company’s common stock would be the stockholders’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be sustained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FBB’s common stock. An active trading market for the combined company’s shares of common stock may not be sustained. If an active market for its common stock is not sustained, it may be difficult for its stockholders to sell their shares at an attractive price,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would be influenced by the research and reports that industry or equity research analysts publish about it and its business. Equity research analysts may elect not to provide research coverage of the combined company’s common stock after the completion of the merger, if the merger is consummated, and such lack of research coverage may adversely affect the market price of its common stock. In the event it does have equity research analyst coverage, the combined company would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 </w:t>
      </w:r>
    </w:p>
    <w:p>
      <w:pPr>
        <w:pStyle w:val="TextBody"/>
        <w:bidi w:val="0"/>
        <w:spacing w:before="240" w:after="0"/>
        <w:jc w:val="left"/>
        <w:rPr>
          <w:rFonts w:ascii="Times New Roman" w:hAnsi="Times New Roman"/>
          <w:sz w:val="20"/>
        </w:rPr>
      </w:pPr>
      <w:r>
        <w:rPr>
          <w:rFonts w:ascii="Times New Roman" w:hAnsi="Times New Roman"/>
          <w:sz w:val="20"/>
        </w:rPr>
        <w:t xml:space="preserve">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 The combined company’s management may not be able to effectively and timely implement controls and procedures that adequately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would be placed upon the combined company as a public company, including the requirements of the Sarbanes-Oxley Act, the combined company’s business and reputation may be harmed and its stock price may decline. Furthermore, investor perceptions of the combined company may be adversely affected, which could cause a decline in the market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success would depend significantly on its key personnel and its ability to attract and retain additional personnel.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merger is consummated, the combined company’s success would be dependent on the personal efforts, performance and abilities of its key management, which includes its executive officers as well as members of its senior management. The loss of any of its senior management may result in a loss of organizational focus, poor operating execution, an inability to identify and execute strategic initiatives, an impairment in its ability to identify new store locations, and an inability to consummate possible acquisitions. The competition is intense for the type of highly skilled individuals with relevant industry experience that the combined company would require, and it may not be able to continue to attract and retain new employees of the caliber needed to achieve its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Anti-takeover provisions in the combined company’s charter documents and under Delaware law could make an acquisition of the combined company more difficult and may prevent attempts by the combined company’s stockholders to replace or remove the combined company’s management. </w:t>
      </w:r>
    </w:p>
    <w:p>
      <w:pPr>
        <w:pStyle w:val="TextBody"/>
        <w:bidi w:val="0"/>
        <w:spacing w:before="120" w:after="0"/>
        <w:jc w:val="left"/>
        <w:rPr>
          <w:rFonts w:ascii="Times New Roman" w:hAnsi="Times New Roman"/>
          <w:sz w:val="20"/>
        </w:rPr>
      </w:pPr>
      <w:r>
        <w:rPr>
          <w:rFonts w:ascii="Times New Roman" w:hAnsi="Times New Roman"/>
          <w:sz w:val="20"/>
        </w:rPr>
        <w:t xml:space="preserve">Provisions in the combined company’s amended and restated certificate of incorporation and bylaws may delay or prevent an acquisition or a change in management. These provisions include the ability of the board of directors to issue preferred stock without stockholder approval. In addition, because the combined company would be incorporated in Delaware, it is governed by the provisions of Section 203 of the Delaware General Corporation Law (the “DGCL”), which prohibits stockholders owning in excess of 15% of the outstanding combined company’s voting stock from merging or combining with the combined company in certain circumstances. Although DXL and FBB believe these provisions collectively would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of the combined company,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bylaws of the combined company would provide that the Court of Chancery of the State of Delaware is the exclusive forum for substantially all disputes between the combined company and its stockholders, which could limit its stockholders’ ability to obtain a favorable judicial forum for disputes with the combined company or its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The amended and restated bylaws of the combined company would provide that the Court of Chancery of the State of Delaware (or, if the Court of Chancery of the State of Delaware does not have jurisdiction, the federal district court for the District of Delaware) is the sole and exclusive forum for any state law claims for (a) any derivative action or proceeding brought on behalf of the combined company; (b) any action asserting a claim of breach of a fiduciary duty owed by, or other wrongdoing by, any director, officer, stockholder, employee or agent of the combined company to the combined company or its stockholders; (c) any action asserting a claim against the combined company or any of its directors, officers, stockholders, employees or agents arising pursuant to any provision of the DGCL, the certificate of incorporation or the bylaws or as to which the DGCL confers jurisdiction on the Court of Chancery of the State of Delaware; (d) any action to interpret, apply, enforce or determine the validity of the certificate of incorporation or the bylaws; or (e) any action asserting a claim against the combined company or any of its directors, officers, stockholders, employees or agents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would provide that the federal district courts would be the exclusive forum for resolving any complaint asserting a cause of action arising under the Securities Act. The choice of forum provision may make it more expensive for stockholders to bring a claim than if the stockholders were permitted to select another jurisdiction and limit a stockholder’s ability to bring a claim in a judicial forum that it finds favorable for disputes with the combined company or its directors, officers or other employees, which may discourage such lawsuits against the combined company and its directors, officers and other employees. If a court were to find the choice of forum provision contained in the bylaws to be inapplicable or unenforceable in an action, the combined company may incur additional costs associated with resolving such action in other jurisdictions, which could adversely affect the combined company’s business and financial condition. Any person or entity purchasing or otherwise acquiring any interest in shares of the combined company’s capital stock shall be deemed to have notice of and to have consented to the provisions of the combined company’s bylaws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company’s business is seasonal and unfavorable general political and economic conditions could adversely affect the combined company’s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business is expected to be seasonal. Historically, a significant portion of DXL’s operating income has been generated during its second and fourth quarters. If, for any reason, the combined company miscalculates the demand for its products during these quarters, its sales in that quarter could decline, resulting in higher labor costs as a percentage of sales, lower margins and excess inventory, which could cause the combined company’s annual operating results to suffer. Due to seasonality, the possible adverse impact from such risks is potentially greater if any such risks occur during the combined company’s second and fourth quarters. Additionally, the combined company’s operations may be negatively affected by local, regional or national political and economic conditions, such as levels of disposable consumer income, inflation, consumer debt, interest rates, consumer confidence and other macro issues. The volatile political environment increases the chance of other legislative and regulatory changes at both the federal and state level that could affect the combined company in ways it cannot predict. In addition, global economies, conflicts, trade negotiations and policies may directly or indirectly affect the combined company’s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76201_11"/>
      <w:bookmarkEnd w:id="13"/>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121 of this proxy statement describe the material aspects of the merger, including the merger agreement. While DXL believes that this description covers the material terms of the merger and the merger agreement, it may not contain all of the information that is important to you. You should carefully read this entire proxy statement, including the merger agreement, which is attached as Annex A to this proxy statement, and the other documents to which DXL has referred to or incorporated by reference herein. For a more detailed description of where you can find those other documents, please see the section entitled “Where You Can Find Additional Information” beginning on page 228 of this proxy statement. As described elsewhere in this proxy statement, the DXL Board has continued to evaluate the merger, including developments since the execution of the merger agreement, and has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14" w:name="tx76201_12"/>
      <w:bookmarkEnd w:id="14"/>
      <w:r>
        <w:rPr>
          <w:rFonts w:ascii="Times New Roman" w:hAnsi="Times New Roman"/>
          <w:b/>
          <w:sz w:val="20"/>
        </w:rPr>
        <w:t xml:space="preserve">Terms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of the DXL Board, the board of directors of a wholly owned direct subsidiary of DXL (the “merger subsidiary”) and the Board of Directors of FBB has unanimously approved the merger agreement. The merger agreement provides that, pursuant to the terms and subject to the conditions set forth in the merger agreement, the merger subsidiary would merge with and into FBB, with FBB continuing as the surviving corporation and as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(ii) any dissenting shares, and (iii) any shares held by a FBB stockholder that is an unaccredited investor) would be converted into the right to receive that number of fully paid and nonassessable shares of the common stock, par value $0.01 per share, of DXL (“DXL common stock”) equal to the exchange ratio, which would be calculated based on the total number of shares outstanding of DXL common stock and FBB common stock immediately prior to the effective time of the merger, in each case, on a fully diluted basis using the treasury stock method. If the merger is consummated, immediately following the effective time of the merger, FBB stockholders would be expected to own or hold rights to acquire 55% of the combined company and DXL stockholders would be expected to own or hold rights to acquire 45% of the combined company, in each case, on a fully diluted basis using the treasury stock method.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See the section entitled “</w:t>
      </w:r>
      <w:r>
        <w:rPr>
          <w:rFonts w:ascii="Times New Roman" w:hAnsi="Times New Roman"/>
          <w:i/>
          <w:sz w:val="20"/>
        </w:rPr>
        <w:t>The Merger Agreement</w:t>
      </w:r>
      <w:r>
        <w:rPr>
          <w:rFonts w:ascii="Times New Roman" w:hAnsi="Times New Roman"/>
          <w:sz w:val="20"/>
        </w:rPr>
        <w:t xml:space="preserve">” for additional and more detailed information regarding the legal documents that govern the merger, including information about conditions to the completion of the merger and provisions for terminating or amending the merger agreement. </w:t>
      </w:r>
    </w:p>
    <w:p>
      <w:pPr>
        <w:pStyle w:val="TextBody"/>
        <w:bidi w:val="0"/>
        <w:spacing w:before="360" w:after="0"/>
        <w:jc w:val="left"/>
        <w:rPr>
          <w:rFonts w:ascii="Times New Roman" w:hAnsi="Times New Roman"/>
          <w:b/>
          <w:sz w:val="20"/>
        </w:rPr>
      </w:pPr>
      <w:bookmarkStart w:id="15" w:name="tx76201_13"/>
      <w:bookmarkEnd w:id="15"/>
      <w:r>
        <w:rPr>
          <w:rFonts w:ascii="Times New Roman" w:hAnsi="Times New Roman"/>
          <w:b/>
          <w:sz w:val="20"/>
        </w:rPr>
        <w:t xml:space="preserve">Prior Approval and Continued Evaluation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was unanimously approved by the DXL Board in December 2025 following consideration of the factors described elsewhere in this proxy statement. The discussion included in this proxy statement reflects the considerations evaluated at that time and, in part, information provided by FBB or its representatives, and is provided for historical context only. The DXL Board has continued to evaluate the merger, including in light of developments since the execution of the merger agreement.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Based on this evaluation, including these considerations, the DXL Board has determined that the merger and the transactions contemplated by the merger agreement, including the issuance proposal, are no longer advisable and are not in the best interests of DXL and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a more complete discussion of the DXL Board’s current recommendation and the reasons for that determination, please see “—</w:t>
      </w:r>
      <w:r>
        <w:rPr>
          <w:rFonts w:ascii="Times New Roman" w:hAnsi="Times New Roman"/>
          <w:i/>
          <w:sz w:val="20"/>
        </w:rPr>
        <w:t>DXL’s Reasons for Recommending Against the Issuance Proposal; Updated Recommendation of the DXL Board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x76201_14"/>
      <w:bookmarkEnd w:id="16"/>
      <w:r>
        <w:rPr>
          <w:rFonts w:ascii="Times New Roman" w:hAnsi="Times New Roman"/>
          <w:b/>
          <w:sz w:val="20"/>
        </w:rPr>
        <w:t xml:space="preserve">Effect on DXL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share issuances and amendments to the restated certificate of incorporation to effect the reverse stock split expected to be necessary for the merger are not approved by DXL stockholders, or if the merger is not consummated for any other reason, FBB will not be combined with DXL and DXL will continue to operate as it did prior to entering into the merger agreement. In addition, if the merger agreement is terminated and the DXL Board determines to seek another business combination, it may not be able to find a third party willing to provide equivalent or more attractive consideration than the consideration to be provided by each party in the merger. Moreover, DXL will also incur the costs and expenses of the merger and this proxy solicitation whether or not the merger is consummated. </w:t>
      </w:r>
    </w:p>
    <w:p>
      <w:pPr>
        <w:pStyle w:val="TextBody"/>
        <w:bidi w:val="0"/>
        <w:spacing w:before="360" w:after="0"/>
        <w:jc w:val="left"/>
        <w:rPr>
          <w:rFonts w:ascii="Times New Roman" w:hAnsi="Times New Roman"/>
          <w:b/>
          <w:sz w:val="20"/>
        </w:rPr>
      </w:pPr>
      <w:bookmarkStart w:id="17" w:name="tx76201_15"/>
      <w:bookmarkEnd w:id="17"/>
      <w:r>
        <w:rPr>
          <w:rFonts w:ascii="Times New Roman" w:hAnsi="Times New Roman"/>
          <w:b/>
          <w:sz w:val="20"/>
        </w:rPr>
        <w:t xml:space="preserve">Background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chronology summarizes the key meetings and events that led to the signing of the merger agreement and certain events that followed, including developments since the execution of the merger agreement that caused the DXL Board to withdraw its prior recommendation in favor of the merger and the issuance proposal and recommend that the DXL stockholders vote against the issuance proposal. The following chronology does not purport to be complete and may not contain all of the information that is important to you, nor does it catalogue every conversation or correspondence by or among members of the DXL Board, DXL management, DXL’s advisors and representatives or other parties and their respective affiliates, advisors or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and its senior management regularly review and discuss DXL’s historical performance, future growth prospects and overall strategic objectives and consider a variety of potential financial and strategic opportunities to enhance stockholder value. These reviews have periodically included consideration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Prior to 2024, representatives of DXL and FBB, including Harvey Kanter, the chief executive officer of DXL, and Jim Fogarty, the chief executive officer of FBB, had occasionally met to discuss the potential for strategic transactions between the companies. In November 2023, Mr. Kanter was contacted by email by Mr. Fogarty for a meeting, and Mr. Kanter and Mr. Fogarty held a call to discuss the potential for a combination of DXL and FBB and indicated willingness to enter into a non-disclosure agreement to facilitate further discussions. On February 12, 2024, DXL, FBB, Oaktree, and Goldman Sachs Specialty Lending Group, L.P., entered into a certain mutual confidentiality and non-disclosure agreement. The agreement included a customary one-year standstill provision which did not contain a so-called “don’t ask, don’t waive” provision prohibiting FBB from requesting a private waiver of the standstill. </w:t>
      </w:r>
    </w:p>
    <w:p>
      <w:pPr>
        <w:pStyle w:val="TextBody"/>
        <w:bidi w:val="0"/>
        <w:spacing w:before="240" w:after="0"/>
        <w:jc w:val="left"/>
        <w:rPr>
          <w:rFonts w:ascii="Times New Roman" w:hAnsi="Times New Roman"/>
          <w:sz w:val="20"/>
        </w:rPr>
      </w:pPr>
      <w:r>
        <w:rPr>
          <w:rFonts w:ascii="Times New Roman" w:hAnsi="Times New Roman"/>
          <w:sz w:val="20"/>
        </w:rPr>
        <w:t xml:space="preserve">On February 13, 2024, at a meeting of the DXL Board, Mr. Kanter provided an update to the DXL Board regarding his communications with Mr. Fogarty about the potential combination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2024, representatives of each of DXL and FBB, including Mr. Kanter and Mr. Fogarty, met to discuss a potential combination transaction, including potential cost and commercial synergies. Over the next approximately two months, both parties conducted due diligence on each other and engaged in a series of meetings and break-out sessions to discuss the business and operations of each of DXL and FBB. </w:t>
      </w:r>
    </w:p>
    <w:p>
      <w:pPr>
        <w:pStyle w:val="TextBody"/>
        <w:bidi w:val="0"/>
        <w:spacing w:before="240" w:after="0"/>
        <w:jc w:val="left"/>
        <w:rPr>
          <w:rFonts w:ascii="Times New Roman" w:hAnsi="Times New Roman"/>
          <w:sz w:val="20"/>
        </w:rPr>
      </w:pPr>
      <w:r>
        <w:rPr>
          <w:rFonts w:ascii="Times New Roman" w:hAnsi="Times New Roman"/>
          <w:sz w:val="20"/>
        </w:rPr>
        <w:t xml:space="preserve">On April 11, 2024, DXL and Guggenheim Securities entered into a certain non-disclosure agreement in connection with the DXL Board’s evaluation of Guggenheim Securities’ role as a potential financial advisor for DXL’s review of strategic and financial alternatives, including, but not limited to,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June 26, 2024, Fund 1 Investments, LLC (“PLP”), with respect to its shares of the DXL common stock held for the benefit of private investment vehicles for which Pleasant Lake Partners LLC serves as investment advisor, filed a Schedule 13D, disclosing its ownership of 5,732,261 shares of DXL Common Stock, representing a 9.8% ownership interest in DXL. Additionally, PLP also disclosed that it held certain cash-settled swaps,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cash-settled swap agreements with an unaffiliated third-party financial institution, which corresponded to an aggregate of 4,444,011 notional shares of the DXL common stock, representing approximately 7.6%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11, 2024, PLP amended its Schedule 13D to disclose that the cash-settled swaps corresponded to an aggregate of 5,136,073 notional shares of the DXL common stock, representing approximately 8.8%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July 31, 2024, at a meeting of the DXL Board, Mr. Kanter provided an update to the DXL Board regarding PLP, its ownership percentage in DXL and its prior interest in acquiring DXL. The DXL Board discussed that DXL was not for sale and that a non-disclosure agreement with a standstill would be required for further conversations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August 6, 2024, Lionel Conacher, the chairman of the DXL Board, Mr. Kanter and Peter Stratton, the chief financial officer of DXL, met with management of PLP. The purpose of the meeting was to introduce PLP to the chairman of the DXL Board and to better understand PLP’s intention as a large stockholder of DXL.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2024, PLP amended its Schedule 13D to disclose that the cash-settled swaps corresponded to an aggregate of 5,728,573 notional shares of the DXL common stock, representing approximately 9.8%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2024, the DXL Board met by videoconference, with representatives from Greenberg Traurig, LLP, DXL’s outside counsel (“Greenberg Traurig”), to discuss the meeting with PLP and determined that DXL would be open to receiving a written proposal from PLP. The DXL Board instructed Greenberg Traurig to relay that determination to PLP’s counsel, which GT communicated on September 16, 2024.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2024, Mr. Fogarty called Mr. Kanter to discuss FBB’s intent to propose a merger between the two companies in a stock-for-stock transaction that would result in DXL stockholders owning 35% of the combined company and FBB stockholders owning 65% of the combined company. Later that same day, FBB delivered to DXL a non-binding indication of interest reflecting such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27, 2024, the DXL Board met by videoconference, with representatives from Greenberg Traurig, and discussed FBB’s non-binding indication of interest and the recent communications with PLP. At the meeting, the DXL Board created a “Transaction Committee,” consisting of Messrs. Lionel Conacher, Jack Boyle and Willem Mesdag (the “DXL Transaction Committee”), to efficiently explore strategic and financial alternatives. The DXL Transaction Committee was granted full and exclusive authority of the DXL Board to take all actions with respect to exploring a potential strategic transaction with both FBB and PLP, including utilizing the DXL Board’s financial, accounting and legal advisors. The DXL Transaction Committee also directed Mr. Mesdag to meet with management of PLP to discuss a potential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2, 2024, representatives of Guggenheim Securities, at the direction of the DXL Transaction Committee, reached out to FBB to request that FBB provide certain financial information in order for DXL to better assess whether a potential combination transaction could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2024, at the direction of the DXL Transaction Committee, Mr. Mesdag met with management of PLP to discuss a possible strategic partnership. </w:t>
      </w:r>
    </w:p>
    <w:p>
      <w:pPr>
        <w:pStyle w:val="TextBody"/>
        <w:bidi w:val="0"/>
        <w:spacing w:before="240" w:after="0"/>
        <w:jc w:val="left"/>
        <w:rPr>
          <w:rFonts w:ascii="Times New Roman" w:hAnsi="Times New Roman"/>
          <w:sz w:val="20"/>
        </w:rPr>
      </w:pPr>
      <w:r>
        <w:rPr>
          <w:rFonts w:ascii="Times New Roman" w:hAnsi="Times New Roman"/>
          <w:sz w:val="20"/>
        </w:rPr>
        <w:t xml:space="preserve">On October 18, 2024, DXL, FBB, Oaktree, and Goldman Sachs Specialty Lending Group, L.P. entered into a certain amended confidentiality and non-disclosure agreement to extend the term of the agreement by eight months.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2024, Mr. Conacher met with Mr. Fogarty to discuss a possible strategic partnership and reviewed certain financial information about FBB that FBB had shared with DXL in advance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31, 2024, DXL and Guggenheim Securities entered into an engagement letter to formalize Guggenheim Securities’ role as lead financial advisor in connection with DXL’s review of strategic and financial alternatives, including a possible merger or sale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23, 2024, PLP sent a letter to DXL seeking increased ownership interest in DXL and a waiver of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2024, the DXL Transaction Committee met with representatives of Guggenheim Securities to review the PLP letter and the possible strategic partnership opportunity with FBB. Representatives of Guggenheim Securities presented potential scenarios of a merger and discussed the various benefits and risks associated therewith to be considered by the DXL Transaction Committee in exploring the opportunities with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2024, PLP further amended its Schedule 13D to disclose its ownership of 5,758,261 shares of DXL Common Stock, representing a 10.6% ownership interest in DXL. Additionally, PLP also disclosed that the cash-settled swaps it held corresponded to an aggregate of 5,763,573 notional shares of the DXL common stock, representing approximately 10.6% of the outstanding shares of the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DXL responded to PLP’s letter dated November 23, 2024, informing PLP that DXL determined to not authorize any further acquisition of DXL securities by PLP or exempt PLP from Section 203 of the DGCL at this time.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representatives of Guggenheim Securities, at the direction of the DXL Transaction Committee, met with Mr. Fogarty and representatives from FBB’s largest stockholders and provided feedback from the DXL Transaction Committee as to DXL’s interest in pursuing a stock-for-stock merger with FBB that would result in DXL stockholders owning 50% of the combined company. FBB informed representatives of Guggenheim Securities that they would be open to pursuing such transaction, pending their due diligence on DXL. Representatives of Guggenheim Securities conveyed this message to DXL management on December 11, 2024, which was then communicated by DXL management to the DXL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2024, PLP delivered a non-binding, unsolicited letter to DXL expressing its interest in acquiring all of the outstanding shares of common stock of DXL that are not owned by PLP or its affiliates for cash consideration of $3.00 per share, subject to the completion of due diligence and negotiation of the terms of a definitive agreement. On the same day, the DXL Transaction Committee met with representatives of Guggenheim Securities to review the PLP letter and potential next steps. Following a presentation of financial analyses by Guggenheim Securities, the DXL Transaction Committee instructed Guggenheim Securities to communicate to PLP that while DXL appreciated the interest in the Company and welcomed further discussions subject to entering into a non-disclosure agreement to discuss the offer, PLP’s offer undervalued DXL. The DXL Transaction Committee believed that PLP would be able to improve its proposal if DXL provided PLP with non-public information after PLP’s entry into a confidentiality and non-disclosure agreement.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23, 2024, PLP amended its Schedule 13D to disclose the offer letter, which was also filed as an exhibit to Schedule 13D. On the same day, the DXL Board met by videoconference, with representatives from Guggenheim Securities, to receive an update from the DXL Transaction Committee about PLP’s non-binding, unsolicited offer and to receive an update regarding the strategic opportunity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7, 2025, the DXL Transaction Committee held a meeting and directed Guggenheim Securities to contact FBB and other potential interested parties to discuss and evaluate potential strategic transactions. </w:t>
      </w:r>
    </w:p>
    <w:p>
      <w:pPr>
        <w:pStyle w:val="TextBody"/>
        <w:bidi w:val="0"/>
        <w:spacing w:before="240" w:after="0"/>
        <w:jc w:val="left"/>
        <w:rPr>
          <w:rFonts w:ascii="Times New Roman" w:hAnsi="Times New Roman"/>
          <w:sz w:val="20"/>
        </w:rPr>
      </w:pPr>
      <w:r>
        <w:rPr>
          <w:rFonts w:ascii="Times New Roman" w:hAnsi="Times New Roman"/>
          <w:sz w:val="20"/>
        </w:rPr>
        <w:t xml:space="preserve">As directed by the DXL Transaction Committee, over the following several weeks, representatives of Guggenheim Securities reached out to approximately 20 parties, including both strategic and financial buyers, to discuss their interest in a potential strategic transaction. Out of the approximately 20 parties contacted, only FBB and PLP agreed to engage with DXL. Representatives of Guggenheim Securities provided regular updates to DXL management during such outreach and DXL management provided regular updates to the DXL Transaction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17, 2025, the DXL Transaction Committee was reconstituted to include the entire DXL Board in order to streamline decision-making and ensure full board alignment in support of continuing discussions and negotiations with both PLP and FBB. On the same day, DXL and PLP entered into a confidentiality and non-disclosure agreement, which provided for a term of one year and included an 8-month standstill provision which would terminate if DXL were to enter into an agreement with a third party providing for a change of control transaction of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5, 2025, FBB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PLP was granted access to the virtual data room containing information regarding DXL for purposes of conducting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During the next four months, FBB and its advisors conducted due diligence on DXL and PLP and its advisors separately conducted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April 30, 2025, PLP submitted a revised non-binding bid to acquire all of the outstanding shares of common stock of DXL that were not owned by PLP or its affiliates for $1.49 – $1.92 per share in cash. PLP explained that the reduction in the proposed value was primarily a result of the declining macroeconomic environment, potential tariffs and changing consumer behavior. </w:t>
      </w:r>
    </w:p>
    <w:p>
      <w:pPr>
        <w:pStyle w:val="TextBody"/>
        <w:bidi w:val="0"/>
        <w:spacing w:before="240" w:after="0"/>
        <w:jc w:val="left"/>
        <w:rPr>
          <w:rFonts w:ascii="Times New Roman" w:hAnsi="Times New Roman"/>
          <w:sz w:val="20"/>
        </w:rPr>
      </w:pPr>
      <w:r>
        <w:rPr>
          <w:rFonts w:ascii="Times New Roman" w:hAnsi="Times New Roman"/>
          <w:sz w:val="20"/>
        </w:rPr>
        <w:t xml:space="preserve">On May 2, 2025, FBB delivered to DXL an indicative non-binding proposal proposing, among other things, a stock-for-stock merger between the two companies that would result in DXL stockholders owning 40% of the combined company and FBB stockholders owning 60% of the combined company. The proposal provided that the initial board of directors of the combined company would be composed of nine members, with four designated by DXL, four designated by FBB and the chief executive officer of the combined company, and that the board of directors of the combined company would select the chairperson of the board as well as the chairpersons of the committees of the board. The proposal also provided that the combined company would be led by Mr. Fogarty as its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On May 7, 2025, the DXL Transaction Committee met by videoconference, with representatives from Guggenheim Securities and Greenberg Traurig, and discussed the offers proposed by PLP and FBB. A representative from Guggenheim Securities discussed the potential synergies with each of PLP and FBB and reviewed DXL as a standalone company, and also discussed updating DXL’s business operating plan. Following the discussion, the DXL Transaction Committee directed Guggenheim Securities to continue the dialogue with each of PLP and FBB and to seek updated proposals from both PLP and FBB. </w:t>
      </w:r>
    </w:p>
    <w:p>
      <w:pPr>
        <w:pStyle w:val="TextBody"/>
        <w:bidi w:val="0"/>
        <w:spacing w:before="240" w:after="0"/>
        <w:jc w:val="left"/>
        <w:rPr>
          <w:rFonts w:ascii="Times New Roman" w:hAnsi="Times New Roman"/>
          <w:sz w:val="20"/>
        </w:rPr>
      </w:pPr>
      <w:r>
        <w:rPr>
          <w:rFonts w:ascii="Times New Roman" w:hAnsi="Times New Roman"/>
          <w:sz w:val="20"/>
        </w:rPr>
        <w:t xml:space="preserve">On May 30, 2025, representatives of FBB provided DXL senior management with certain financial projections for FBB covering the calendar years ending December 31, 2025 through December 31, 2029 (the “May 2025 FBB-Provided Financial Projections”). </w:t>
      </w:r>
    </w:p>
    <w:p>
      <w:pPr>
        <w:pStyle w:val="TextBody"/>
        <w:bidi w:val="0"/>
        <w:spacing w:before="240" w:after="0"/>
        <w:jc w:val="left"/>
        <w:rPr>
          <w:rFonts w:ascii="Times New Roman" w:hAnsi="Times New Roman"/>
          <w:sz w:val="20"/>
        </w:rPr>
      </w:pPr>
      <w:r>
        <w:rPr>
          <w:rFonts w:ascii="Times New Roman" w:hAnsi="Times New Roman"/>
          <w:sz w:val="20"/>
        </w:rPr>
        <w:t xml:space="preserve">On May 27, 2025, the DXL Transaction Committee met by videoconference, with representatives from Guggenheim Securities and Greenberg Traurig. The DXL Transaction Committee discussed certain financial projections and the various assumptions accompanying such projections, which were prepared by the DXL management team in advance of the meeting. Additionally, a representative of Greenberg Traurig discussed the fiduciary duties of the DXL Board when considering alternatives that may be available to DXL. </w:t>
      </w:r>
    </w:p>
    <w:p>
      <w:pPr>
        <w:pStyle w:val="TextBody"/>
        <w:bidi w:val="0"/>
        <w:spacing w:before="240" w:after="0"/>
        <w:jc w:val="left"/>
        <w:rPr>
          <w:rFonts w:ascii="Times New Roman" w:hAnsi="Times New Roman"/>
          <w:sz w:val="20"/>
        </w:rPr>
      </w:pPr>
      <w:r>
        <w:rPr>
          <w:rFonts w:ascii="Times New Roman" w:hAnsi="Times New Roman"/>
          <w:sz w:val="20"/>
        </w:rPr>
        <w:t xml:space="preserve">From May 2025 to June 2025, FBB and PLP conducted additional due diligence to further refine their respective bids. During this time, members of the senior management of DXL and FBB held virtual meetings to determine the potential strategic and cost synergy opportunity from a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11, 2025, the DXL Transaction Committee met by videoconference, with representatives from Guggenheim Securities and Greenberg Traurig. A representative of Guggenheim Securities and members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DXL management team provided an update on the recent communications with both FBB and PLP, and also discussed the timing and cadence of each proposal. The DXL Transaction Committee continued to discuss and assess the potential benefits of a business combination for DXL.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PLP submitted a revised bid to acquire all of the outstanding shares of common stock of DXL that are not owned by PLP or its affiliates for $1.96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On June 22, 2025, FBB reaffirmed its interest in a stock-for-stock merger with DXL that would result in DXL stockholders owning 40% of the combined company and FBB stockholders owning 60%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23, 2025, the DXL Transaction Committee met by videoconference, with representatives from Guggenheim Securities and Greenberg Traurig present. A representative from Greenberg Traurig discussed the fiduciary duties of the DXL Board in general in assessing strategic transactions. The DXL Transaction Committee discussed the history and current status of negotiations, the terms proposed by FBB and PLP, the various benefits and risks of the proposals, and also considered DXL’s prospects as an independent company. Following this discussion, the DXL Transaction Committee directed Guggenheim Securities to provide PLP with DXL’s counteroffer of $3.00 per share purchase price. </w:t>
      </w:r>
    </w:p>
    <w:p>
      <w:pPr>
        <w:pStyle w:val="TextBody"/>
        <w:bidi w:val="0"/>
        <w:spacing w:before="240" w:after="0"/>
        <w:jc w:val="left"/>
        <w:rPr>
          <w:rFonts w:ascii="Times New Roman" w:hAnsi="Times New Roman"/>
          <w:sz w:val="20"/>
        </w:rPr>
      </w:pPr>
      <w:r>
        <w:rPr>
          <w:rFonts w:ascii="Times New Roman" w:hAnsi="Times New Roman"/>
          <w:sz w:val="20"/>
        </w:rPr>
        <w:t xml:space="preserve">Between June 23, 2025 and July 23, 2025, representatives of Guggenheim Securities, at the direction of the DXL Transaction Committee, and representatives of PLP had several conversations about valuation for a transaction with PLP. During these conversations, there was a verbal offer of $2.05 per share purchase price by PLP. </w:t>
      </w:r>
    </w:p>
    <w:p>
      <w:pPr>
        <w:pStyle w:val="TextBody"/>
        <w:bidi w:val="0"/>
        <w:spacing w:before="240" w:after="0"/>
        <w:jc w:val="left"/>
        <w:rPr>
          <w:rFonts w:ascii="Times New Roman" w:hAnsi="Times New Roman"/>
          <w:sz w:val="20"/>
        </w:rPr>
      </w:pPr>
      <w:r>
        <w:rPr>
          <w:rFonts w:ascii="Times New Roman" w:hAnsi="Times New Roman"/>
          <w:sz w:val="20"/>
        </w:rPr>
        <w:t xml:space="preserve">On July 20, 2025, the DXL Transaction Committee met by videoconference, with representatives from Guggenheim Securities and Greenberg Traurig present. A representative from Guggenheim Securities discussed valuation approaches and considerations in evaluating strategic transactions generally and provided an update on the status of discussions with PLP. Following this discussion, the DXL Transaction Committee determined that it would provide a number at which DXL would be willing to engage in transaction negotiations with PLP.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the DXL Transaction Committee met by videoconference, with representatives from Guggenheim Securities and Greenberg Traurig present. A representative from Guggenheim Securities provided an update on the status of discussions with PLP since the July 20, 2025 DXL Transaction Committee meeting. Following this discussion, the DXL Transaction Committee approved a price of $2.20 per share to engage in transaction negotiations and directed Guggenheim Securities to relay this price to PLP. The same day, representatives of Guggenheim Securities relayed to PLP the DXL $2.20 per share price at which the DXL Transaction Committee would be willing to engage in transaction negotiations. </w:t>
      </w:r>
    </w:p>
    <w:p>
      <w:pPr>
        <w:pStyle w:val="TextBody"/>
        <w:bidi w:val="0"/>
        <w:spacing w:before="240" w:after="0"/>
        <w:jc w:val="left"/>
        <w:rPr>
          <w:rFonts w:ascii="Times New Roman" w:hAnsi="Times New Roman"/>
          <w:sz w:val="20"/>
        </w:rPr>
      </w:pPr>
      <w:r>
        <w:rPr>
          <w:rFonts w:ascii="Times New Roman" w:hAnsi="Times New Roman"/>
          <w:sz w:val="20"/>
        </w:rPr>
        <w:t xml:space="preserve">On July 23, 2025, DXL and PLP agreed to a non-binding $2.20 per share purchase price, subject to PLP’s due diligence on DXL and negotiation of the terms of a definitive agreement. Over the next couple of months, PLP conducted further due diligence on DXL. </w:t>
      </w:r>
    </w:p>
    <w:p>
      <w:pPr>
        <w:pStyle w:val="TextBody"/>
        <w:bidi w:val="0"/>
        <w:spacing w:before="240" w:after="0"/>
        <w:jc w:val="left"/>
        <w:rPr>
          <w:rFonts w:ascii="Times New Roman" w:hAnsi="Times New Roman"/>
          <w:sz w:val="20"/>
        </w:rPr>
      </w:pPr>
      <w:r>
        <w:rPr>
          <w:rFonts w:ascii="Times New Roman" w:hAnsi="Times New Roman"/>
          <w:sz w:val="20"/>
        </w:rPr>
        <w:t xml:space="preserve">On August 7, 2025, the DXL Transaction Committee met by videoconference, with representatives from Guggenheim Securities and Greenberg Traurig present, and discussed the status of discussions with PLP. The DXL Transaction Committee instructed Greenberg Traurig to send the draft definitive agreement, which had been prepared by Greenberg Traurig and circulated to the full DXL Board in advance of this meeting, to PLP. </w:t>
      </w:r>
    </w:p>
    <w:p>
      <w:pPr>
        <w:pStyle w:val="TextBody"/>
        <w:bidi w:val="0"/>
        <w:spacing w:before="240" w:after="0"/>
        <w:jc w:val="left"/>
        <w:rPr>
          <w:rFonts w:ascii="Times New Roman" w:hAnsi="Times New Roman"/>
          <w:sz w:val="20"/>
        </w:rPr>
      </w:pPr>
      <w:r>
        <w:rPr>
          <w:rFonts w:ascii="Times New Roman" w:hAnsi="Times New Roman"/>
          <w:sz w:val="20"/>
        </w:rPr>
        <w:t xml:space="preserve">On September 3, 2025, PLP communicated to Guggenheim Securities that it had lowered its bid to $1.60 per share due to a decrease in DXL’s market price and general market conditions. Representatives of Guggenheim Securities informed DXL’s senior management of PLP’s decreased bid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Later on September 3, 2025, the DXL Transaction Committee met by videoconference, with representatives from Guggenheim Securities and Greenberg Traurig present, and discussed the revised bid proposed by PLP. Following this discussion, the DXL Transaction Committee directed Guggenheim Securities to inform PLP that DXL was not interested in pursuing a sale transaction with PLP. The DXL Transaction Committee also instructed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to continue the dialogue with FBB about a potential transaction opportunity. That same day, representatives of Guggenheim Securities notified management of each of PLP and FBB of the DXL Transaction Committee’s decision.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5, 2025, representatives of FBB reached out to representatives of Guggenheim Securities and described a potential financing transaction that could reduce FBB’s balance sheet debt prior to any transaction with DXL. Following FBB’s outreach, representatives of Guggenheim Securities informed DXL senior management of FBB’s proposal.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the DXL Transaction Committee met by videoconference, with representatives from Guggenheim Securities and Greenberg Traurig present, and discussed the recent conversation that Guggenheim Securities had with FBB regarding the potential reduction of FBB’s balance sheet debt. The DXL Transaction Committee reviewed detailed financial and market information about FBB and considered current and prospective market conditions, the potential synergies of the combined company, the various benefits and risks of a sale transaction with FBB, and DXL’s prospects as an independent company. Based upon these discussions, the DXL Transaction Committee instructed Guggenheim Securities to inform FBB that DXL would be interested in pursuing a stock-for-stock transaction with FBB if FBB’s debt was reduced by $125 million and if the merger would result in DXL stockholders owning 50%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17, 2025, representatives of Guggenheim Securities met with representatives of FBB by telephone to provide feedback from the DXL Transaction Committee regarding its willingness to pursue a transaction if FBB’s debt was reduced by $125 million and DXL’s stockholders held 50% ownership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On September 19, 2025, FBB submitted a counteroffer, proposing a $100 million debt reduction and a stock-for-stock merger that would result in 40% ownership of the combined company for the DXL stockholders and 60% ownership of the combined company for the FBB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2025, the DXL Transaction Committee met by videoconference, with representatives from Guggenheim Securities and Greenberg Traurig attending, and discussed and assessed the counteroffer by FBB. The DXL Transaction Committee again considered the financial prospects of remaining independent and the various benefits and risks of a sale transaction with FBB. Based upon these discussions, the DXL Transaction Committee instructed Guggenheim Securities to counteroffer with a $100 million debt reduction and 49% ownership of the combined company for the DXL stockholders. On the same day, as instructed by the DXL Transaction Committee, representatives of Guggenheim Securities submitted to DXL’s counteroffer to FBB, proposing a $100 million debt reduction and 49%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2025, representatives of FBB notified Guggenheim Securities that it was willing to transact on the terms provided in DXL’s latest counteroffer, which was to pursue a stock-for-stock merger, subject to the completion of due diligence review and negotiation of the terms of a definitive agreement.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26, 2025, the DXL Transaction Committee met by videoconference, with representatives from Guggenheim Securities and Greenberg Traurig attending. A representative from Guggenheim Securities provided an update that FBB approved DXL’s counteroffer. Representatives of Guggenheim Securities and Greenberg Traurig also discussed the various factors to be considered by the DXL Transaction Committee in negotiating a definitive agreement, including contractual covenants with respect to FBB’s planned debt reduction. The representative of Greenberg Traurig also discussed general timing of the proposed transaction with FBB and the major action items needed to consummate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September 29, 2025, representatives from each of DXL, FBB, Guggenheim Securities, Greenberg Traurig, Rothschild &amp; Co (“Rothschild”), financial advisor to FBB, and Cleary Gottlieb Steen &amp; Hamilton LLP (“Cleary Gottlieb”), outside counsel to FBB, met by videoconference to provide information about their respective organizations and the potential transaction between DXL and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October 2025, after reviewing additional operating results that became available following FBB’s delivery of its May 2025 FBB-Provided Financial Projections, DXL senior management raised questions regarding certain assumptions and forecasts reflected in those projections based on concerns regarding the continued reliability of those projections in light of FBB’s then-current operating performance and trends. Following discussions with DXL senior management concerning these matters, representatives of FBB orally communicated and discussed adjusted assumptions and forecasts. DXL senior management considered these adjusted assumptions and forecasts in its ongoing evaluation of FBB and the merger.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2025, representatives from Greenberg Traurig and Cleary Gottlieb met by videoconference to discuss legal and structuring topics, including the proposed timeline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13, 2025, Greenberg Traurig distributed an initial draft of the merger agreement to Cleary Gottlieb. Between October 13, 2025 and December 11, 2025, multiple drafts of the merger agreement were exchanged and negotiated, and representatives of Greenberg Traurig and Cleary Gottlieb participated in a series of calls and videoconferences to discuss and negotiate various matters, including the merger agreement and other ancillary agreements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On October 14, 2025, the DXL Transaction Committee met by videoconference, with representatives from Guggenheim Securities and Greenberg Traurig attending. The DXL Transaction Committee discussed certain key terms in the merger agreement, and a representative from Greenberg Traurig provided the DXL Transaction Committee with an update regarding the status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2025, the DXL Transaction Committee met with Mr. Fogarty by videoconference, with representatives from Guggenheim Securities and Greenberg Traurig present, and discussed the current status of FBB and the contemplated transaction between the companies.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representatives of FBB informed representatives of Guggenheim Securities that after conversations with its equity and debt holders, and due to a significant decrease in DXL’s stock price, FBB was submitting a revised offer, proposing a $75 million debt reduction and 49% ownership of the combined company for the DXL stockholders. Representatives of Guggenheim Securities informed DXL’s senior management of FBB’s revised offer shortly thereafter.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the DXL Transaction Committee met by videoconference, with representatives from Guggenheim Securities and Greenberg Traurig present, and discussed the latest proposal by FBB provided to Guggenheim Securities the day before this meeting. Following this discussion, the DXL Transaction Committee determined that FBB must reduce its debt by $100 million in order for the transaction to move forward. The DXL Transaction Committee instructed Guggenheim Securities to relay this position to FBB. </w:t>
      </w:r>
    </w:p>
    <w:p>
      <w:pPr>
        <w:pStyle w:val="TextBody"/>
        <w:bidi w:val="0"/>
        <w:spacing w:before="240" w:after="0"/>
        <w:jc w:val="left"/>
        <w:rPr>
          <w:rFonts w:ascii="Times New Roman" w:hAnsi="Times New Roman"/>
          <w:sz w:val="20"/>
        </w:rPr>
      </w:pPr>
      <w:r>
        <w:rPr>
          <w:rFonts w:ascii="Times New Roman" w:hAnsi="Times New Roman"/>
          <w:sz w:val="20"/>
        </w:rPr>
        <w:t xml:space="preserve">On October 31, 2025, representatives of Guggenheim Securities reached out to representatives of FBB to communicate the DXL Transaction Committee’s determination with respect to FBB’s debt. </w:t>
      </w:r>
    </w:p>
    <w:p>
      <w:pPr>
        <w:pStyle w:val="TextBody"/>
        <w:bidi w:val="0"/>
        <w:spacing w:before="240" w:after="0"/>
        <w:jc w:val="left"/>
        <w:rPr>
          <w:rFonts w:ascii="Times New Roman" w:hAnsi="Times New Roman"/>
          <w:sz w:val="20"/>
        </w:rPr>
      </w:pPr>
      <w:r>
        <w:rPr>
          <w:rFonts w:ascii="Times New Roman" w:hAnsi="Times New Roman"/>
          <w:sz w:val="20"/>
        </w:rPr>
        <w:t xml:space="preserve">On November 3, 2025, FBB countered with a $100 million debt reduction and 45% ownership of the combined company for the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November 5, 2025, the DXL Transaction Committee met by videoconference, with representatives from Guggenheim Securities and Greenberg Traurig attending, and discussed the counteroffer by FBB. The DXL Transaction Committee again considered the financial prospects of remaining independent. Based upon these discussions, the DXL Transaction Committee instructed Guggenheim Securities to counteroffer with (i) a $100 million debt reduction, (ii) 45% ownership of the combined company for the DXL stockholders and (iii) a requirement that the board of directors of the combined company would be composed of nine members, with four designated by DXL, four designated by FBB and one independent director to be mutually agreed to by DXL and FBB, and that the designees of DXL would select the chairperson of the board of directors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November 5, 2025, representatives of Guggenheim Securities conveyed to representatives of FBB that DXL was prepared to move forward with negotiations at the terms set forth by the DXL Transaction Committee at its November 5 DXL Transaction Committee meeting.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2025, FBB informed representatives of Guggenheim Securities that, after consultation with its lenders and shareholders, FBB was only prepared to offer approximately $92 million in debt reduction. Representatives of FBB relayed this debt reduction limitation to Guggenheim Securities along with the accompanying proposal for ownership of approximately 45% ownership of the combined company for the DXL stockholders. FBB added that it agreed to DXL’s governance proposal relating to board composition.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15, 2025, the DXL Transaction Committee met by videoconference, with representatives from Guggenheim Securities and Greenberg Traurig present, and reviewed the counteroffer by FBB and the latest discussion that had taken place between FBB and Guggenheim Securities. The DXL Transaction Committee instructed Guggenheim Securities to (i) prepare certain pro forma financial information regarding the combined company based on financial projections provided to Guggenheim Securities by DXL’s senior management and (ii) request from FBB the debt documents in connection with FBB’s debt reduction for DXL’s review in connection with the proposed debt reduction.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2025, the DXL Transaction Committee met by videoconference, with representatives from Guggenheim Securities and Greenberg Traurig present. Representatives of Guggenheim Securities presented a preliminary financial analysis of the proposed terms by FBB, noting the $92 million in debt paydown as compared to the $100 million paydown the DXL Transaction Committee had previously proposed. Further, the DXL Transaction Committee and its advisors discussed whether to continue to engage in discussions with FBB. Following this discussion, the DXL Transaction Committee directed Guggenheim Securities to work with FBB, on DXL’s behalf, to finalize the transaction on the terms proposed by FBB, subject to finalization of definitive documentation. </w:t>
      </w:r>
    </w:p>
    <w:p>
      <w:pPr>
        <w:pStyle w:val="TextBody"/>
        <w:bidi w:val="0"/>
        <w:spacing w:before="240" w:after="0"/>
        <w:jc w:val="left"/>
        <w:rPr>
          <w:rFonts w:ascii="Times New Roman" w:hAnsi="Times New Roman"/>
          <w:sz w:val="20"/>
        </w:rPr>
      </w:pPr>
      <w:r>
        <w:rPr>
          <w:rFonts w:ascii="Times New Roman" w:hAnsi="Times New Roman"/>
          <w:sz w:val="20"/>
        </w:rPr>
        <w:t xml:space="preserve">On November 24, 2025, Greenberg Traurig delivered to Cleary Gottlieb an initial draft of the voting agreement, which provided, among other things, for certain DXL stockholders to vote in favor of the transactions contemplated by the merger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26, 2025, Greenberg Traurig delivered to Cleary Gottlieb an initial draft of the lock-up agreement, and such agreement was subsequently negotiated and finalized over the next couple of weeks. </w:t>
      </w:r>
    </w:p>
    <w:p>
      <w:pPr>
        <w:pStyle w:val="TextBody"/>
        <w:bidi w:val="0"/>
        <w:spacing w:before="240" w:after="0"/>
        <w:jc w:val="left"/>
        <w:rPr>
          <w:rFonts w:ascii="Times New Roman" w:hAnsi="Times New Roman"/>
          <w:sz w:val="20"/>
        </w:rPr>
      </w:pPr>
      <w:r>
        <w:rPr>
          <w:rFonts w:ascii="Times New Roman" w:hAnsi="Times New Roman"/>
          <w:sz w:val="20"/>
        </w:rPr>
        <w:t xml:space="preserve">On November 30, 2025, the compensation committee of the DXL Board (the “DXL compensation committee”) met by videoconference, with representatives from Greenberg Traurig present, and discussed the treatment of DXL’s outstanding equity awards under DXL’s stock-approved incentive compensation plan in connection with the proposed transaction with FBB. The DXL compensation committee asked certain questions, which were responded to by representatives of Greenberg Traurig.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FBB distributed to DXL certain debt documents in connection with its proposed debt reduction. Over the next several days, representatives of FBB and DXL had calls and videoconferences to discuss and negotiate the debt documents. </w:t>
      </w:r>
    </w:p>
    <w:p>
      <w:pPr>
        <w:pStyle w:val="TextBody"/>
        <w:bidi w:val="0"/>
        <w:spacing w:before="240" w:after="0"/>
        <w:jc w:val="left"/>
        <w:rPr>
          <w:rFonts w:ascii="Times New Roman" w:hAnsi="Times New Roman"/>
          <w:sz w:val="20"/>
        </w:rPr>
      </w:pPr>
      <w:r>
        <w:rPr>
          <w:rFonts w:ascii="Times New Roman" w:hAnsi="Times New Roman"/>
          <w:sz w:val="20"/>
        </w:rPr>
        <w:t xml:space="preserve">On December 1, 2025, the DXL Board met by videoconference, with representatives from Guggenheim Securities and Greenberg Traurig present. A representative of Greenberg Traurig provided an overview of the process for approving the merger transaction by the DXL Board and also discussed the current draft of the merger agreement. A representative of Guggenheim Securities provided an overview of the process for the DXL Board requesting Guggenheim Securities to issue a fairness opinion in connection with the transaction and discussed certain economic and strategic considerations in connection with the proposed merger with FBB.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2025, the DXL compensation committee met by videoconference, with representatives from Guggenheim Securities and Greenberg Traurig present, and discussed certain compensation arrangements in connection with the proposed merger with FBB, to ensure compliance with Section 409A of the Internal Revenue Code of 1986, as amended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10, 2025, the DXL Board met by videoconference, with representatives from Guggenheim Securities and Greenberg Traurig present. Representatives of Greenberg Traurig reviewed the final merger agreement, including the principal terms and conditions, as well as the ancillary agreements, and responded to questions from the DXL Board regarding the legal ramifications of those terms and conditions. The DXL Board was also reminded of its fiduciary duties to stockholders in connection with the proposed merger transaction, as well as the applicable legal standards governing their deliberations and decision-making process. Greenberg Traurig also summarized DXL’s rights and obligations under the proposed merger agreement. Also at this meeting of the DXL Board, Guggenheim Securities reviewed its financial analyses of the merger consideration and rendered an oral opinion, confirmed by delivery of a written opinion dated December 10, 2025, to the DXL Board to the effect that, as of that date and based on and subject to the matters considered, the procedures followed, the assumptions made and various limitations of and qualifications to the review undertaken, the merger consideration was fair, from a financial point of view, to the stockholders of DXL. Guggenheim Securities also delivered to the DXL Board a copy of its conflicts disclosure letter, dated December 10, 2025, summarizing the material relationships that Guggenheim Securities has with FBB and other parties affiliated with FBB. All questions posed by the members of the DXL Board were answered by management and representatives of Guggenheim Securities and Greenberg Traurig, as appropriate, and the DXL Board engaged in a discussion regarding the terms of the proposed transaction, the results of the transaction process, and the factors supporting the DXL Board’s determination that the proposed transaction is in the best interests of DXL and its stockholders. After such presentations and discussions, the DXL Board voted unanimously to approve the resolutions which, among other things, formally approved the merger agreement and related matters and authorized management, with the assistance of counsel, to finalize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December 10, 2025 DXL Board meeting, representatives of Greenberg Traurig, Guggenheim Securities, Cleary Gottlieb and Rothschild worked throughout the evening of December 10 and into the morning of December 11 to finalize the merger agreement and all related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December 11, 2025, the DXL Board re-convened by videoconference, with representatives from Guggenheim Securities and Greenberg Traurig present, and discussed the execution version of the merger agreement and transaction documents, including any edits from those reviewed at the December 10 DXL Board meeting. After review and discussion of the final merger agreement, the DXL Board voted unanimously to approve the resolutions, which, among other things, formally approved the definitive merger agreement and related matters and authorized management, with the assistance of counsel, to execute the merger agreement and all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that same day, representatives of DXL, Merger Sub, and FBB executed the merger agreement. Concurrently with the execution of the merger agreement, certain directors and stockholders of DXL executed voting agreements, and certain stockholders of FBB executed lock-up agreements. Immediately following the execution of the merger agreement, FBB delivered the FBB stockholder written consents approving the FBB stockholder matters, including approval of the merger. Later that afternoon, the transaction was publicly announced and representatives of DXL and FBB held a joint webcast for investors.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2026, DXL received an unsolicited takeover proposal (“unsolicited proposal”) from Zodiac Partners, a private holding company and an acquisition entity of Camac Partners, a registered investment firm based in Florida. On the same day, DXL shared the unsolicited proposal with Guggenheim Securities and Greenberg Traurig, and on January 10, 2026, DXL shared the unsolicited proposal with FBB. </w:t>
      </w:r>
    </w:p>
    <w:p>
      <w:pPr>
        <w:pStyle w:val="TextBody"/>
        <w:bidi w:val="0"/>
        <w:spacing w:before="240" w:after="0"/>
        <w:jc w:val="left"/>
        <w:rPr>
          <w:rFonts w:ascii="Times New Roman" w:hAnsi="Times New Roman"/>
          <w:sz w:val="20"/>
        </w:rPr>
      </w:pPr>
      <w:r>
        <w:rPr>
          <w:rFonts w:ascii="Times New Roman" w:hAnsi="Times New Roman"/>
          <w:sz w:val="20"/>
        </w:rPr>
        <w:t xml:space="preserve">On January 16, 2026, the DXL Board met by videoconference, with representatives from Guggenheim Securities and Greenberg Traurig present, to discuss the unsolicited proposal and the material terms included therein, including the take-private proposal in an all-cash transaction and the acquisition price of $1.25 per share. The DXL Board carefully reviewed and considered the unsolicited proposal in accordance with the terms of the merger agreement and in consideration of its fiduciary duties under Delaware law. The DXL Board also consulted with outside legal and financial advisors. Following such consultation and deliberation among the members of the DXL Board, the DXL Board determined that the unsolicited proposal did not represent the best value or course of action for DXL stockholders, did not constitute a DXL Superior Proposal (as defined in the merger agreement), and was not reasonably likely to lead to a DXL Superior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20, 2026, representatives of Guggenheim Securities, at the direction of the DXL Board, had a telephone conference with representatives of Zodiac Partners to inform Zodiac Partners of the DXL Board’s decision to not take any action with respect to the unsolicited proposal for the reasons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On January 27, 2026, Guggenheim Securities received a follow-up letter from Zodiac Partners addressed to the DXL Board, which reaffirmed Zodiac Partners’ continued interest in DXL and sought a limited due diligence process, and promptly shared the letter with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January 30, 2026, representatives of Greenberg Traurig, at the direction of the DXL Board, sent a response letter to Zodiac Partners setting forth the reasons why the DXL Board came to its determination to not take any actions with respect to the unsolicited proposal, including the DXL Board’s fiduciary duties under Delaware law as well as its determination that the unsolicited proposal did not constitute a DXL Superior Proposal under the merger agreement and was not likely to lead to a DXL Superior Proposal. Following such response letter, DXL did not engage in further negotiations with Zodiac Partners and did not provide Zodiac Partners with access to non-public information regarding DXL. </w:t>
      </w:r>
    </w:p>
    <w:p>
      <w:pPr>
        <w:pStyle w:val="TextBody"/>
        <w:bidi w:val="0"/>
        <w:spacing w:before="240" w:after="0"/>
        <w:jc w:val="left"/>
        <w:rPr>
          <w:rFonts w:ascii="Times New Roman" w:hAnsi="Times New Roman"/>
          <w:sz w:val="20"/>
        </w:rPr>
      </w:pPr>
      <w:r>
        <w:rPr>
          <w:rFonts w:ascii="Times New Roman" w:hAnsi="Times New Roman"/>
          <w:sz w:val="20"/>
        </w:rPr>
        <w:t xml:space="preserve">On April 2, 2026, the chief financial officer of DXL executed a voting agreement with FBB. </w:t>
      </w:r>
    </w:p>
    <w:p>
      <w:pPr>
        <w:pStyle w:val="TextBody"/>
        <w:bidi w:val="0"/>
        <w:spacing w:before="240" w:after="0"/>
        <w:jc w:val="left"/>
        <w:rPr>
          <w:rFonts w:ascii="Times New Roman" w:hAnsi="Times New Roman"/>
          <w:sz w:val="20"/>
        </w:rPr>
      </w:pPr>
      <w:r>
        <w:rPr>
          <w:rFonts w:ascii="Times New Roman" w:hAnsi="Times New Roman"/>
          <w:sz w:val="20"/>
        </w:rPr>
        <w:t xml:space="preserve">On May 11, 2026, DXL notified Mr. Kanter that it did not intend to renew his employment agreement. This notification was provided in accordance with Mr. Kanter’s expressed desire to retire, and as required by his employment agreement. Accordingly, Mr. Kanter’s employment agreement will expire and his employment with DXL will terminate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Zodiac Partners commenced a tender offer (the “Zodiac tender offer”) to acquire all outstanding shares of DXL common stock at a price of $0.82 per share in cash, subject to the terms and conditions set forth in the Offer to Purchase on Schedule TO filed with the U.S. Securities and Exchange Commission (the “SEC”). On the same date, DXL delivered a notice to FBB pursuant to the Merger Agreement informing FBB of the commencement of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On May 13, 2026, the DXL Board met by videoconference, with representatives from Guggenheim Securities and Greenberg Traurig present, to discuss the Zodiac tender offer and the terms thereof. The DXL Board discussed its fiduciary duties to stockholders in connection with the proposed Zodiac tender offer as well as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20, 2026, the DXL Board met by videoconference, with representatives from Greenberg Traurig present. In connection with the DXL Board’s evaluation of the Zodiac tender offer, DXL’s senior management updated certain previously prepared financial projections for DXL for the fiscal period ending January 31, 2035, which included projected revenues, operating income, capital expenditures, cost reductions, working capital requirements and other relevant financial metrics over such period. The projections had been reasonably prepared on bases reflecting the best then-currently available estimates and judgments of DXL’s senior management as to the expected future performance of DXL. The DXL Board discussed and approved these projections and determined to instruct Guggenheim Securities to use these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DXL filed a Solicitation/Recommendation Statement on Schedule 14D-9C with the SEC, which included a press release stating that the DXL Board was evaluating the Zodiac tender offer in consultation with its financial and legal advisors and advising stockholders to take no action at that time pending such evaluation. </w:t>
      </w:r>
    </w:p>
    <w:p>
      <w:pPr>
        <w:pStyle w:val="TextBody"/>
        <w:bidi w:val="0"/>
        <w:spacing w:before="240" w:after="0"/>
        <w:jc w:val="left"/>
        <w:rPr>
          <w:rFonts w:ascii="Times New Roman" w:hAnsi="Times New Roman"/>
          <w:sz w:val="20"/>
        </w:rPr>
      </w:pPr>
      <w:r>
        <w:rPr>
          <w:rFonts w:ascii="Times New Roman" w:hAnsi="Times New Roman"/>
          <w:sz w:val="20"/>
        </w:rPr>
        <w:t xml:space="preserve">On May 24, 2026, the DXL Board met by videoconference, with representatives from Greenberg Traurig present. Following a request from DXL, FBB’s senior management updated certain previously prepared financial projections for FBB for the fiscal period ending December 31, 2029, which included projected revenues, operating income, capital expenditures, cost reductions, working capital requirements and other relevant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metrics over such period (these projections being referred to herein as the May 2026 FBB-Provided Financial Projections (as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senior management updated the DXL Board on discussions had with FBB senior management regarding the May 2026 FBB-Provided Financial Projections and the underlying assumptions made by FBB senior management in the preparation of such financial projections. In addition, DXL’s senior management updated the May 2026 FBB-Provided Financial Projections to extend them through the fiscal period ending December 31, 2034 and to adjust for other assumptions regarding macroeconomic conditions, consumer retail conditions, future revenue growth and operating margins reflecting the best then-currently available estimates and judgments of DXL’s senior management as to the expected future performance of FBB. The DXL Board discussed such FBB financial projections, as revised by DXL senior management in similar nature and degree as adjustments made to the May 2025 FBB-Provided Financial Projections, and determined to scale back some of the adjustments made by DXL senior management in order to give greater effect to FBB’s assumptions and forecasts (such FBB financial projections, as updated by DXL senior management and as further updated by the DXL Board are included and a part of the May 2026 DXL-Provided Financial Projections). The DXL Board discussed and approved the May 2026 DXL-Provided Financial Projections and determined to instruct Guggenheim Securities to use the May 2026 DXL-Provided Financial Projections in its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On May 25, 2026, the DXL Board met by videoconference, with representatives from Guggenheim Securities, Greenberg Traurig and Joele Frank, Wilkinson Brimmer Katcher (“Joele Frank”) present. The DXL Board discussed the status of the Zodiac tender offer, including the timeline for DXL’s responses and the legal requirements relating to the Schedule 14D-9. Representatives of Greenberg Traurig reviewed fiduciary duty considerations applicable to the DXL Board in evaluating the Zodiac tender offer, as well as the provisions of the merger agreement relating to a potential change of recommendation and the termination fee that would be payable to FBB in certain circumstances pursuant to the merger agreement. In connection with the DXL Board’s evaluation of the Zodiac tender offer and its continuing evaluation of the merger, the DXL Board, together with its advisors, reviewed and discussed the May 2026 DXL-Provided Financial Projections. The DXL Board, together with its advisors, also discussed the material assumptions underlying the May 2026 DXL-Provided Financial Projections, including assumptions regarding macroeconomic conditions, consumer retail conditions, future revenue growth and operating margins, the nature and degree of adjustments to certain assumptions and forecasts underlying FBB’s May 2025 FBB-Provided Financial Projections following discussions with DXL senior management, as well as the inherent uncertainties associated with such projections. Guggenheim Securities was previously directed by the DXL Board to rely upon the May 2026 DXL-Provided Financial Projections in connection with the preparation of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Following that discussion, and to facilitate the DXL Board’s continuing evaluation of the merger, representatives of Guggenheim Securities reviewed with the DXL Board the May 2026 Supplemental Financial Analyses. Guggenheim Securities further advised the DXL Board that, in light of the May 2026 DXL-Provided Financial Projections, the May 2026 Synergy Estimates and the May 2026 Supplemental Financial Analyses (as such terms are defined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Guggenheim Securities also delivered to the DXL Board a copy of its conflicts disclosure letter, dated May 26, 2026, summarizing the material relationships that Guggenheim Securities has with FBB, Zodiac Partners and other parties affiliated with FBB and Zodiac Partners. </w:t>
      </w:r>
    </w:p>
    <w:p>
      <w:pPr>
        <w:pStyle w:val="TextBody"/>
        <w:bidi w:val="0"/>
        <w:spacing w:before="240" w:after="0"/>
        <w:jc w:val="left"/>
        <w:rPr>
          <w:rFonts w:ascii="Times New Roman" w:hAnsi="Times New Roman"/>
          <w:sz w:val="20"/>
        </w:rPr>
      </w:pPr>
      <w:r>
        <w:rPr>
          <w:rFonts w:ascii="Times New Roman" w:hAnsi="Times New Roman"/>
          <w:sz w:val="20"/>
        </w:rPr>
        <w:t xml:space="preserve">On May 26, 2026, the DXL Board met by videoconference, with representatives from Guggenheim Securities, Greenberg Traurig and Joele Frank present. The DXL Board revisited and reiterated everything discussed at the May 25, 2026 meeting. Following such discussion, the DXL Board (i) determined that the Zodiac tender offer is not in the best interests of DXL and its stockholders, (ii) recommended that stockholders reject the Zodiac tender offer and not tender their shares of DXL common stock pursuant to the Zodiac tender offer, (iii) determined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and the transactions contemplated by the merger agreement are no longer in the best interests of DXL and its stockholders and (iv) determined that not withdrawing its recommendation to DXL’s stockholders that they approve the issuance proposal would be reasonably expected to violate the fiduciary duties of DXL’s directors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Also on May 26, 2026, DXL filed a Solicitation/Recommendation Statement on Schedule 14D-9 with the SEC, setting forth the DXL Board’s recommendation with respect to the Zodiac tender offer. </w:t>
      </w:r>
    </w:p>
    <w:p>
      <w:pPr>
        <w:pStyle w:val="TextBody"/>
        <w:bidi w:val="0"/>
        <w:spacing w:before="240" w:after="0"/>
        <w:jc w:val="left"/>
        <w:rPr>
          <w:rFonts w:ascii="Times New Roman" w:hAnsi="Times New Roman"/>
          <w:sz w:val="20"/>
        </w:rPr>
      </w:pPr>
      <w:r>
        <w:rPr>
          <w:rFonts w:ascii="Times New Roman" w:hAnsi="Times New Roman"/>
          <w:sz w:val="20"/>
        </w:rPr>
        <w:t xml:space="preserve">Pursuant to DXL’s determination and resolutions, on the same day, DXL delivered a notice to FBB pursuant to Section 5.06(f) of the merger agreement informing FBB of the DXL Board’s determination of its intent to effect a DXL Adverse Recommendation Change (the “notice”). In the notice, the DXL Board stated that, after consulting with its financial advisor and outside counsel, and taking into account updated financial analyses, it had determined that such action was necessary to comply with its fiduciary duties under applicable law. Subsequent to the delivery of the notice, DXL management and FBB management teams engaged in discussions regarding the DXL Board’s determination and the terms of the merger agreement, although FBB did not propose any modifications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May 27, 2026, Zodiac Partners filed Amendment No. 1 to its Tender Offer Statement on Schedule TO with the SEC, amending and supplementing the Offer to Purchase.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DXL received a comment letter from the staff of the Division of Corporation Finance of the SEC in connection with DXL’s Solicitation/Recommendation Statement on Schedule 14D-9 filed on May 26, 2026. In the comment letter, the SEC staff requested that DXL revise its disclosure to (i) provide additional detail regarding the financial analyses of Guggenheim Securities, including a more comprehensive description of such analyses, the underlying long-term forecasts and the material assumptions and limitations associated therewith, and (ii) revise or delete references to the Private Securities Litigation Reform Act of 1995 in light of the inapplicability of the forward-looking statement safe harbor provisions to statements made in connection with a tender offer. </w:t>
      </w:r>
    </w:p>
    <w:p>
      <w:pPr>
        <w:pStyle w:val="TextBody"/>
        <w:bidi w:val="0"/>
        <w:spacing w:before="240" w:after="0"/>
        <w:jc w:val="left"/>
        <w:rPr>
          <w:rFonts w:ascii="Times New Roman" w:hAnsi="Times New Roman"/>
          <w:sz w:val="20"/>
        </w:rPr>
      </w:pPr>
      <w:r>
        <w:rPr>
          <w:rFonts w:ascii="Times New Roman" w:hAnsi="Times New Roman"/>
          <w:sz w:val="20"/>
        </w:rPr>
        <w:t xml:space="preserve">Between May 28, 2026 and May 31, 2026, representatives of Guggenheim Securities, at the direction of the DXL Board, had a series of telephone conferences with representatives of Rothschild to discuss the DXL Board’s reasons for changing its recommendation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June 1, 2026, DXL senior management and FBB senior management met by videoconference, with representatives of Guggenheim Securities and Rothschild present, to discuss the May 2026 FBB-Provided Financial Projections and FBB initiatives, including strategic marketing initiatives. </w:t>
      </w:r>
    </w:p>
    <w:p>
      <w:pPr>
        <w:pStyle w:val="TextBody"/>
        <w:bidi w:val="0"/>
        <w:spacing w:before="240" w:after="0"/>
        <w:jc w:val="left"/>
        <w:rPr>
          <w:rFonts w:ascii="Times New Roman" w:hAnsi="Times New Roman"/>
          <w:sz w:val="20"/>
        </w:rPr>
      </w:pPr>
      <w:r>
        <w:rPr>
          <w:rFonts w:ascii="Times New Roman" w:hAnsi="Times New Roman"/>
          <w:sz w:val="20"/>
        </w:rPr>
        <w:t xml:space="preserve">On the morning of June 2, 2026, the DXL Board met by videoconference, with representatives from Guggenheim Securities, Greenberg Traurig and Joele Frank present. DXL senior management updated the DXL Board on its June 1, 2026 meeting with FBB senior management. Representatives of Guggenheim Securities updated the DXL Board on its recent discussions with Rothschild. The DXL Board discussed the May 2026 DXL-Provided Financial Projections and the May 2026 FBB-Provided Financial Projections, the May 2026 Supplemental Financial Analyses, the increasingly challenging consumer environment since the execution of the merger agreement, and FBB’s indebtedness. The DXL Board discussed and concluded that, even accepting as correct and reliable (which the DXL Board did not) the May 2026 FBB-Provided Financial Projections, the DXL Board still could not recommend the merger as it is no longer advisable or in the best interests of DXL and its stockholders. The DXL Board (i) determined that the merger and the transactions contemplated by the merger agreement are not in the best interests of DXL and its stockholders, (ii) determined to withdraw its prior recommendation to DXL’s stockholders in favor of the merger and (iii) determined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the same day, Zodiac Partners filed Amendment No. 2 to its Tender Offer Statement on Schedule TO with the SEC, amending and supplementing the Offer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Also on June 2, 2026, Cleary Gottlieb delivered a written response to DXL’s May 26, 2026 notice, asserting that DXL’s actions constituted a breach of the merger agreement and requesting that DXL retract the notice and refrain from effecting an adverse recommendation change. In its response, FBB contended, among other things, that the DXL Board’s determination did not satisfy the requirements for an adverse recommendation change under the merger agreement and that DXL had failed to negotiate in good faith pursuant to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Later that evening, the DXL Board met by videoconference, with representatives from Guggenheim Securities, Greenberg Traurig and Joele Frank present. The DXL Board discussed the letter sent by Cleary Gottlieb on behalf of FBB that same day. The DXL Board reaffirmed its determination to recommend that DXL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On June 3, 2026, DXL filed a Current Report on Form 8-K with the SEC providing an update regarding, among other things, the status of the merger and related matters. DXL publicly announced that the DXL Board had continued to evaluate the previously announced merger between DXL and FBB and was engaging with FBB in constructive discussions to determine the best path forward. DXL announced that, as part of its ongoing fiduciary duties to DXL’s stockholders, the DXL Board, with the assistance of external financial and legal advisors, had conducted a comprehensive ongoing evaluation of the merger. DXL further announced that, although the DXL Board continued to believe in the industrial logic of the combination, the DXL Board believed that the existing terms of the merger agreement were not in the best interests of DXL stockholders given the increasingly challenging consumer environment since the execution of the merger agreement in December 2025 and FBB’s indebtedness.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DXL, after evaluating the requested revisions by the SEC with the assistance of its legal and financial advisors, filed an amendment to its Schedule 14D-9 (Schedule 14D-9/A) with the SEC. </w:t>
      </w:r>
    </w:p>
    <w:p>
      <w:pPr>
        <w:pStyle w:val="TextBody"/>
        <w:bidi w:val="0"/>
        <w:spacing w:before="240" w:after="0"/>
        <w:jc w:val="left"/>
        <w:rPr>
          <w:rFonts w:ascii="Times New Roman" w:hAnsi="Times New Roman"/>
          <w:sz w:val="20"/>
        </w:rPr>
      </w:pPr>
      <w:r>
        <w:rPr>
          <w:rFonts w:ascii="Times New Roman" w:hAnsi="Times New Roman"/>
          <w:sz w:val="20"/>
        </w:rPr>
        <w:t xml:space="preserve">On June 8, 2026, Greenberg Traurig was informed by the staff of the Division of Corporation Finance of the SEC that it had no further comments on DXL’s Schedule 14D-9.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Zodiac Partners filed Amendment No. 3 to its Tender Offer Statement on Schedule TO with the SEC, which continued to relate to its offer to acquire all outstanding shares of DXL common stock at $0.82 per share in cash and described the terms and conditions of the Zodiac tender offer, including sources of funds and related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Zodiac Partners filed Amendment No. 4 to its Tender Offer Statement on Schedule TO with the SEC, which continued to relate to its offer to acquire all outstanding shares of DXL common stock, increased the offer price to $0.84 per share in cash and further amended and supplemented the terms and conditions of the Zodiac tender offer, including sources of funds and related arrangements, including through an Amended Offer to Purchase and related materials.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 Current Report on Form 8-K with the SEC providing an update regarding the revised unsolicited Zodiac tender offer. In the Form 8-K, the DXL Board stated that it was evaluating the revised Zodiac tender offer with the assistance of its financial and legal advisors and advised DXL stockholders to take no action at that time pending review by the DXL Board. </w:t>
      </w:r>
    </w:p>
    <w:p>
      <w:pPr>
        <w:pStyle w:val="TextBody"/>
        <w:bidi w:val="0"/>
        <w:spacing w:before="240" w:after="0"/>
        <w:jc w:val="left"/>
        <w:rPr>
          <w:rFonts w:ascii="Times New Roman" w:hAnsi="Times New Roman"/>
          <w:sz w:val="20"/>
        </w:rPr>
      </w:pPr>
      <w:r>
        <w:rPr>
          <w:rFonts w:ascii="Times New Roman" w:hAnsi="Times New Roman"/>
          <w:sz w:val="20"/>
        </w:rPr>
        <w:t xml:space="preserve">On June 23, 2026, DXL filed Amendment No. 2 to its Schedule 14D-9 with the SEC. The amendment supplemented and updated DXL’s prior disclosures in response to continuing developments relating to the Zodiac tender offer, the reasons for the DXL Board’s position, and other related disclosure. </w:t>
      </w:r>
    </w:p>
    <w:p>
      <w:pPr>
        <w:pStyle w:val="TextBody"/>
        <w:bidi w:val="0"/>
        <w:spacing w:before="240" w:after="0"/>
        <w:jc w:val="left"/>
        <w:rPr>
          <w:rFonts w:ascii="Times New Roman" w:hAnsi="Times New Roman"/>
          <w:sz w:val="20"/>
        </w:rPr>
      </w:pPr>
      <w:r>
        <w:rPr>
          <w:rFonts w:ascii="Times New Roman" w:hAnsi="Times New Roman"/>
          <w:sz w:val="20"/>
        </w:rPr>
        <w:t xml:space="preserve">On June 29, 2026, representatives of Cleary Gottlieb, on behalf of FBB, delivered a letter to DXL asserting that DXL’s delays in preparing and filing the updated proxy statement were inconsistent with DXL’s obligations under the merger agreement, and that DXL’s actions had caused a significant risk that the merger could not be consummated by the termination date in the merger agreement. FBB further asserted that any failure to hold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vote by the termination date would have been caused solely by DXL’s ongoing delay, for which FBB would hold DXL responsible under the merger agreement, and requested that DXL take immediate steps to accelerate the preparation and filing of the proxy statement. FBB also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representatives of Greenberg Traurig, at the direction of the DXL Board, delivered a written response to FBB in response to Cleary Gottlieb’s June 2, 2026 letter. In its response, DXL disputed FBB’s assertions that DXL had breached the merger agreement in connection with the DXL Board’s adverse recommendation change and stated that DXL had complied with its obligations under the merger agreement and that the DXL Board had acted in good faith, after consultation with its financial and legal advisors, in determining that a failure to change its recommendation would be reasonably expected to violate the fiduciary duties of DXL’s directors. DXL further stated that FBB had not proposed any changes to the terms of the merger agreement for the DXL Board to consider following delivery of the notice, which was required by the merger agreement for DXL to negotiate in good faith. DXL also stated that, although FBB had not proposed any changes to the terms of the merger agreement, DXL had nevertheless engaged in discussions with FBB and its advisors regarding the DXL Board’s concerns. DXL also reiterated its view that the merger was no longer in the best interests of DXL’s stockholders and reserved all rights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July 1, 2026, DXL entered into a Commitment Letter (the “Bank of America Commitment Letter”) with Bank of America, N.A. (“Bank of America”), pursuant to which Bank of America committed to provide the entire principal amount of the Combined ABL Facility, subject to the terms and conditions set forth therein. On July 1, DXL also entered into a Fee Letter with Bank of America, pursuant to which DXL agreed to pay certain fees to Bank of America in connection with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DXL Board met by videoconference, with representatives from Guggenheim Securities and Greenberg Traurig present. The DXL Board discussed the status of the revised Zodiac tender offer, including the timeline for DXL’s response and the legal requirements relating to the Schedule 14D-9. A representative of Greenberg Traurig discussed the fiduciary duties of the DXL Board in evaluating the revised Zodiac tender offer, as well as DXL’s continuing obligations under the merger agreement. The DXL Board also revisited and discussed the financial analyses previously prepared by Guggenheim Securities, each of which were also discussed by the DXL Board at its May 25, 2026 and May 26, 2026 meetings. Following such discussion, the DXL Board determined that the revised Zodiac tender offer was not in the best interests of DXL and its stockholders and recommended that stockholders reject the revised Zodiac tender offer and not tender their shares of DXL common stock pursuant to the revised Zodiac tender offer. The DXL Board further discussed the proxy statement and other merger-related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 Current Report on Form 8-K with the SEC announcing that the DXL Board, following a review with its financial and legal advisors, had unanimously determined that the revised Zodiac tender offer to acquire all outstanding shares of DXL common stock for $0.84 per share in cash was not advisable and not in the best interests of DXL and its stockholders. The DXL Board also unanimously recommended that DXL stockholders reject the revised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DXL filed Amendment No. 3 to its Schedule 14D-9 with the SEC. The amendment updated DXL’s disclosure regarding the revised Zodiac tender offer and reflected the DXL Board’s determination, following consultation with its financial and legal advisors, that the revised Zodiac tender offer was not advisable and not in the best interests of DXL and its stockholders. The amendment also included additional disclosure regarding the background of the revised Zodiac tender offer and the DXL Board’s reasons for recommending that DXL stockholders reject the revised Zodiac tender offer and not tender their shares.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representatives of Greenberg Traurig, at the direction of the DXL Board, delivered a written response to FBB in response to Cleary Gottlieb’s June 29, 2026 letter. DXL disputed FBB’s assertions that DXL’s actions in connection with the preparation and filing of the proxy statement were inconsistent with DXL’s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under the merger agreement and asserted that DXL had complied with its obligations under the merger agreement. DXL also asserted that FBB’s account of the proxy statement preparation process omitted material facts, including the substantial revisions required following the DXL Board’s adverse recommendation change and delays in obtaining information, financial disclosures and other materials from FBB necessary to finalize the proxy statement. DXL further asserted that any delays in finalizing and filing the proxy statement were attributable to information and issues relating to FBB, rather than DXL, and that DXL had acted reasonably and promptly throughout the proxy statement preparation process. DXL objected to any suggestion that it had breached the merger agreement and reserved all rights and defenses available to it under the merger agreement. </w:t>
      </w:r>
    </w:p>
    <w:p>
      <w:pPr>
        <w:pStyle w:val="TextBody"/>
        <w:bidi w:val="0"/>
        <w:spacing w:before="360" w:after="0"/>
        <w:jc w:val="left"/>
        <w:rPr>
          <w:rFonts w:ascii="Times New Roman" w:hAnsi="Times New Roman"/>
          <w:b/>
          <w:sz w:val="20"/>
        </w:rPr>
      </w:pPr>
      <w:bookmarkStart w:id="18" w:name="tx76201_16"/>
      <w:bookmarkEnd w:id="18"/>
      <w:r>
        <w:rPr>
          <w:rFonts w:ascii="Times New Roman" w:hAnsi="Times New Roman"/>
          <w:b/>
          <w:sz w:val="20"/>
        </w:rPr>
        <w:t xml:space="preserve">DXL’s Reasons for Recommending Against the Issuance Proposal; Updated Recommendation of the DXL Board </w:t>
      </w:r>
    </w:p>
    <w:p>
      <w:pPr>
        <w:pStyle w:val="TextBody"/>
        <w:bidi w:val="0"/>
        <w:spacing w:before="120" w:after="0"/>
        <w:jc w:val="left"/>
        <w:rPr>
          <w:rFonts w:ascii="Times New Roman" w:hAnsi="Times New Roman"/>
          <w:sz w:val="20"/>
        </w:rPr>
      </w:pPr>
      <w:r>
        <w:rPr>
          <w:rFonts w:ascii="Times New Roman" w:hAnsi="Times New Roman"/>
          <w:sz w:val="20"/>
        </w:rPr>
        <w:t xml:space="preserve">The DXL Board, at a special meeting held on December 11, 2025, unanimously (i) determined that the merger agreement and the transactions contemplated thereby, including the merger and the issuance of shares of DXL common stock to stockholders of FBB, were fair to and in the best interests of DXL and its stockholders, (ii) approved and adopted the merger agreement, and (iii) authorized and approved the execution, delivery and performance of the merger agreement and the consummation of the transactions contemplated thereby, including the merger and the issuance of shares of DXL common stock to stockholders of FBB. </w:t>
      </w:r>
    </w:p>
    <w:p>
      <w:pPr>
        <w:pStyle w:val="TextBody"/>
        <w:bidi w:val="0"/>
        <w:spacing w:before="240" w:after="0"/>
        <w:jc w:val="left"/>
        <w:rPr>
          <w:rFonts w:ascii="Times New Roman" w:hAnsi="Times New Roman"/>
          <w:sz w:val="20"/>
        </w:rPr>
      </w:pPr>
      <w:r>
        <w:rPr>
          <w:rFonts w:ascii="Times New Roman" w:hAnsi="Times New Roman"/>
          <w:sz w:val="20"/>
        </w:rPr>
        <w:t xml:space="preserve">However, after careful consideration, including continued evaluation of the merger, including in light of developments since the execution of the merger agreement, with the assistance of external financial and legal advisors, the DXL Board has withdrawn its prior recommendation in favor of the merger and the issuance proposal. The DXL Board now believes that the merger and transactions contemplated by the merger agreement (including the proposed stock issuance) are not in the best interests of DXL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Accordingly, the DXL Board unanimously recommends that DXL stockholders vote “AGAINST” the issuance proposal, “FOR” the reverse stock split proposal, “FOR” the 2016 plan proposal, and “FOR” the adjournment proposal. </w:t>
      </w:r>
    </w:p>
    <w:p>
      <w:pPr>
        <w:pStyle w:val="TextBody"/>
        <w:bidi w:val="0"/>
        <w:spacing w:before="120" w:after="0"/>
        <w:jc w:val="left"/>
        <w:rPr>
          <w:rFonts w:ascii="Times New Roman" w:hAnsi="Times New Roman"/>
          <w:sz w:val="20"/>
        </w:rPr>
      </w:pPr>
      <w:r>
        <w:rPr>
          <w:rFonts w:ascii="Times New Roman" w:hAnsi="Times New Roman"/>
          <w:sz w:val="20"/>
        </w:rPr>
        <w:t>As described above in “—</w:t>
      </w:r>
      <w:r>
        <w:rPr>
          <w:rFonts w:ascii="Times New Roman" w:hAnsi="Times New Roman"/>
          <w:i/>
          <w:sz w:val="20"/>
        </w:rPr>
        <w:t>Background of the Merger</w:t>
      </w:r>
      <w:r>
        <w:rPr>
          <w:rFonts w:ascii="Times New Roman" w:hAnsi="Times New Roman"/>
          <w:sz w:val="20"/>
        </w:rPr>
        <w:t xml:space="preserve">,” the DXL Transaction Committee was reconstituted on January 17, 2025 to include all members of the DXL Board, and accordingly all references to the DXL Transaction Committee in the Background of the Merger section refer to the full DXL Board from that date forward. In reaching its decision in December 2025 to approve the merger agreement, the merger and the other transactions contemplated by the merger agreement, and to originally recommend that DXL stockholders approve the issuance proposal, the DXL Board evaluated the merger agreement, the merger and the other transactions contemplated by the merger agreement in consultation with DXL’s management, as well as with DXL’s financial and legal advisors, and considered a number of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DXL’s and FBB’s respective business, operations, historical and projected financial results, strategic outlooks, liquidity, funding needs, access to capital and potential prospects and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strategic and financial rationale for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technological, infrastructure, risk and compliance considerations associated with combining the businesses, operations and assets of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structure of the combined company following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view with respect to other strategic alternatives potentially available to DXL, including continuing as a standalone company or pursuing alternative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operational, financial and integration-related considerations associated with combining the businesses, including potential commercial synergies;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its review and discussions concerning the due diligence examination of the operations, financial condition, earnings, risk management and prospects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and opportunities FBB was expected to bring, if the merger were completed, to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transaction would be, if completed, generally tax-free for United States federal income tax purposes to DXL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consideration payable by DXL in the merger consists of DXL’s common stock, enabling DXL to acquire FBB without incurring the amount of indebtedness that would be required to fund an all-cash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DXL’s stockholders as of immediately prior to the completion of the merger would be expected to own, if the merger were completed, 45% of the issued and outstanding shares of common stock of the combined company, on a fully diluted basis, immediately following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financial presentation and the opinion, each dated as of December 10, 2025, of Guggenheim Securities to the DXL Board as to the fairness, from a financial point of view and as of the date of the opinion, of the merger consideration, which opinion was based on and subject to the matters considered, the procedures followed, the assumptions made and various limitations of and qualifications to the review undertaken (the “December 2025 Opinion”), as described in the section entitled “</w:t>
            </w:r>
            <w:r>
              <w:rPr>
                <w:rFonts w:ascii="Times New Roman" w:hAnsi="Times New Roman"/>
                <w:i/>
                <w:sz w:val="20"/>
              </w:rPr>
              <w:t>The Merger—December 2025 Opinion of Guggenheim Securities, Financial Advisor to DXL.”</w:t>
            </w:r>
            <w:r>
              <w:rPr>
                <w:rFonts w:ascii="Times New Roman" w:hAnsi="Times New Roman"/>
                <w:sz w:val="20"/>
              </w:rPr>
              <w:t xml:space="preserve"> </w:t>
            </w: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merger agreement, which DXL reviewed with its legal advisor, including the representations, warranties, covenants, deal protection and termination provisions contained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analyses presented by DXL’s legal advisors as to the structure of the merger, the merger agreement, the fiduciary and legal obligations applicable to directors when considering a sale or merger of a company, and the process that DXL (including the DXL Board) employed in considering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the merger on DXL’s employees, including the prospects for continued employment with the combined company if the merger were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reaching its updated determination in June 2026 that the existing terms of the merger agreement are not in the best interests of DXL stockholders, the DXL Board continued to evaluate the merger agreement, the merger and the other transactions contemplated by the merger agreement in consultation with DXL’s management, as well as with DXL’s financial and legal advisors, and reassessed the foregoing factors in light of developments since the execution of the merger agreement, including developments relating to market conditions, DXL’s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and updated information regarding FBB, and considered a number of additional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Board’s ongoing evaluation of the merger, including in light of developments since the execution of the merger agreement, with the assistance of external financial and legal advisors, including multiple meetings and discussions regarding the evolving risk profile of the transaction, the assumptions underlying the previously anticipated benefits of the merger, the dilution in stockholder equity net book value, and the continued advisability of the transaction on its existing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increasingly challenging consumer environment since the execution of the merger agreement in December 2025, including softer discretionary spending trends, increased promotional activity across the retail sector, continued inflationary pressures and reduced visibility into near-term demand, each of which, in the view of the DXL Board, increases execution risk and uncertainty associated with achieving projected operating performance and anticipated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indebtedness and the related concerns regarding leverage, execution risk and the best path forward for DXL and its stockholders, including the potential constraints that a more highly leveraged combined company could face with respect to financial flexibility, capital allocation, reinvestment in the business, and the ability to withstand adverse economic conditions, as well as the increased importance of successful integration and execution in order to realize any projected benefits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DXL Board’s view that, based on FBB’s level of indebtedness (</w:t>
            </w:r>
            <w:r>
              <w:rPr>
                <w:rFonts w:ascii="Times New Roman" w:hAnsi="Times New Roman"/>
                <w:i/>
                <w:sz w:val="20"/>
              </w:rPr>
              <w:t>pro forma</w:t>
            </w:r>
            <w:r>
              <w:rPr>
                <w:rFonts w:ascii="Times New Roman" w:hAnsi="Times New Roman"/>
                <w:sz w:val="20"/>
              </w:rPr>
              <w:t xml:space="preserve"> for the $92 million debt/equitization that FBB is obligated to effect under the terms and conditions of the merger agreement), FBB may have negative equity value and, accordingly, the merger under its existing terms would be significantly economically dilutive to DXL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May 2026 Supplemental Financial Analyses</w:t>
            </w:r>
            <w:r>
              <w:rPr>
                <w:rFonts w:ascii="Times New Roman" w:hAnsi="Times New Roman"/>
                <w:b/>
                <w:sz w:val="20"/>
              </w:rPr>
              <w:t>, which do not constitute an opinion, view, report or appraisal as to the fairness, from a financial point of view, of the merger consideration or any other consideration in connection with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DXL to continue to consider alternatives and determine the path forward that best positions DXL and its stockholders for future success, including the DXL Board’s assessment of DXL’s standalone business prospects, strategic flexibility, and the potential to evaluate and pursue other value-enhancing opportunities over time, subject to the terms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In the course of this ongoing evaluation, the DXL Board also revisited the assumptions underlying the anticipated strategic, financial and operational benefits of the merger, including expected synergies, growth opportunities and integration-related efficiencies, and considered the extent to which such assumptions remained achievable in light of current conditions and updated information. The DXL Board determined that, taken together, the risks and uncertainties associated with the merger, including those described above and in the section entitled “</w:t>
      </w:r>
      <w:r>
        <w:rPr>
          <w:rFonts w:ascii="Times New Roman" w:hAnsi="Times New Roman"/>
          <w:i/>
          <w:sz w:val="20"/>
        </w:rPr>
        <w:t>Risk Factors</w:t>
      </w:r>
      <w:r>
        <w:rPr>
          <w:rFonts w:ascii="Times New Roman" w:hAnsi="Times New Roman"/>
          <w:sz w:val="20"/>
        </w:rPr>
        <w:t xml:space="preserve">,” outweighed the potential benefits of the transaction on the existing terms. Accordingly, after considering the factors described above, as well as other factors described elsewhere in this proxy statement, the DXL Board determined that the merger, on the terms currently contemplated, is not in the best interests of DXL and its stockholders and recommends that stockholders vote “AGAINST” the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Board also considered the risks and uncertainties associated with the merger and concluded that, in light of developments since the execution of the merger agreement, those risks now outweigh the benefits of pursuing the merger on its current terms. These risks and uncertainties include,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existing terms of the merger agreement do not adequately address the deteriorating consumer environment and FBB’s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execution and integration challenges, leverage and market conditions could adversely affect DXL and, if the merger is consummated, the combined company and DXL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advice from Guggenheim Securities to the DXL Board that based upon the updated information provided to Guggenheim Securities and current circumstances, the DXL Board should no longer rely on the December 2025 Opinion expressed in Guggenheim Securities’ December 10, 2025 letter to the DXL Board, or on the analyses Guggenheim Securities reviewed with the DXL Board at the December 10, 2025 DXL Board meeting in connection with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diversion of management attention and resources and uncertainty affecting employees, customers and suppliers during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transaction will not be completed, despite the expenditure of time and resources and notwithstanding deal protection provisions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anticipated benefits of the transaction would not be realized when expected, or at all, including as a result of the impact of, or difficulties arising from, the integration of the two companies or as a result of the strength of the economy, general market conditions and competitive factors in the areas where DXL and FBB operate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losing key employees during the pendency of the merger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restrictions on the conduct of DXL’s business during the period between execution of the merger agreement and the consummation of the merger, which could potentially delay or prevent DXL from undertaking business opportunities that might arise or certain other actions it might otherwise take with respect to its operations absent the pendency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merger on DXL’s overall business, including its relationships with customers, employees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DXL stockholders would not be entitled to appraisal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of encountering difficulties in achieving anticipated cost savings and operating synergies in the amounts currently estimated or within the time frame currently contemplated;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anticipated merger-related costs, which could be higher than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merger agreement contains certain restrictions on the ability of DXL to solicit proposals for alternative transactions or engage in discussions regarding such proposals, including the requirement for DXL to pay FBB a termination fee of $2.5 million and reimburse FBB’s expenses up to $950,000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legal claims challenging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may not be completed despite the combined efforts of DXL and FBB or that completion may be unduly delayed, including as a result of delays in obtaining the requisite approvals;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the other risks described under the sections entitled “</w:t>
            </w:r>
            <w:r>
              <w:rPr>
                <w:rFonts w:ascii="Times New Roman" w:hAnsi="Times New Roman"/>
                <w:i/>
                <w:sz w:val="20"/>
              </w:rPr>
              <w:t>Cautionary Statement Regarding 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of the information, risks and factors considered by the DXL Board is not intended to be exhaustive but includes the material factors and risks considered by the DXL Board. In reaching its decision to approve the merger agreement and the transactions contemplated thereby, and following its ongoing evaluation and determination to withdraw its prior recommendation and recommend that stockholders vote against the issuance proposal, the DXL Board did not quantify or assign any relative weights to the factors considered, and individual directors may have given different weights to different factors. The DXL Board considered all these factors as a whole in its continued evaluation of the merger agreement and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set forth above, the DXL Board has determined that the merger and the transactions contemplated by the merger agreement, including the issuance proposal, are not in the best interests of DXL and its stockholders and has withdrawn its prior recommendation in favor of the merger and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considering the recommendation of the DXL Board, you should be aware that certain directors and executive officers of DXL may have interests in the merger that are different from, or in addition to, interests of DXL stockholders generally and may create potential conflicts of interest. The DXL Board was aware of these interests and considered them when evaluating and negotiating the merger agreement and the transactions contemplated thereby, and in making its recommendation to DXL stockholders. See “—</w:t>
      </w:r>
      <w:r>
        <w:rPr>
          <w:rFonts w:ascii="Times New Roman" w:hAnsi="Times New Roman"/>
          <w:i/>
          <w:sz w:val="20"/>
        </w:rPr>
        <w:t>Interests of DXL’s Directors and Executive Officers in the Merger</w:t>
      </w:r>
      <w:r>
        <w:rPr>
          <w:rFonts w:ascii="Times New Roman" w:hAnsi="Times New Roman"/>
          <w:sz w:val="20"/>
        </w:rPr>
        <w:t xml:space="preserve">” below. </w:t>
      </w:r>
    </w:p>
    <w:p>
      <w:pPr>
        <w:pStyle w:val="TextBody"/>
        <w:bidi w:val="0"/>
        <w:spacing w:before="360" w:after="0"/>
        <w:jc w:val="left"/>
        <w:rPr>
          <w:rFonts w:ascii="Times New Roman" w:hAnsi="Times New Roman"/>
          <w:b/>
          <w:sz w:val="20"/>
        </w:rPr>
      </w:pPr>
      <w:r>
        <w:rPr>
          <w:rFonts w:ascii="Times New Roman" w:hAnsi="Times New Roman"/>
          <w:b/>
          <w:sz w:val="20"/>
        </w:rPr>
        <w:t xml:space="preserve">FOR THE REASONS SET FORTH ABOVE, THE DXL BOARD UNANIMOUSLY RECOMMENDS THAT THE DXL STOCKHOLDERS VOTE (I) “AGAINST” THE ISSUANCE PROPOSAL, (II) “FOR” THE REVERSE STOCK SPLIT PROPOSAL, (III) “FOR” THE 2016 PLAN PROPOSAL AND (IV) “FOR” THE ADJOURNMENT PROPOSAL TO BE CONSIDERED AT THE SPECIAL MEETING. </w:t>
      </w:r>
    </w:p>
    <w:p>
      <w:pPr>
        <w:pStyle w:val="TextBody"/>
        <w:bidi w:val="0"/>
        <w:spacing w:before="360" w:after="0"/>
        <w:jc w:val="left"/>
        <w:rPr>
          <w:rFonts w:ascii="Times New Roman" w:hAnsi="Times New Roman"/>
          <w:b/>
          <w:sz w:val="20"/>
        </w:rPr>
      </w:pPr>
      <w:bookmarkStart w:id="19" w:name="tx76201_17"/>
      <w:bookmarkEnd w:id="19"/>
      <w:r>
        <w:rPr>
          <w:rFonts w:ascii="Times New Roman" w:hAnsi="Times New Roman"/>
          <w:b/>
          <w:sz w:val="20"/>
        </w:rPr>
        <w:t xml:space="preserve">December 2025 Opinion of Guggenheim Securities, Financial Advisor to DXL </w:t>
      </w:r>
    </w:p>
    <w:p>
      <w:pPr>
        <w:pStyle w:val="TextBody"/>
        <w:bidi w:val="0"/>
        <w:spacing w:before="120" w:after="0"/>
        <w:jc w:val="left"/>
        <w:rPr>
          <w:rFonts w:ascii="Times New Roman" w:hAnsi="Times New Roman"/>
          <w:sz w:val="20"/>
        </w:rPr>
      </w:pPr>
      <w:r>
        <w:rPr>
          <w:rFonts w:ascii="Times New Roman" w:hAnsi="Times New Roman"/>
          <w:b/>
          <w:sz w:val="20"/>
        </w:rPr>
        <w:t>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w:t>
      </w:r>
      <w:r>
        <w:rPr>
          <w:rFonts w:ascii="Times New Roman" w:hAnsi="Times New Roman"/>
          <w:sz w:val="20"/>
        </w:rPr>
        <w:t xml:space="preserve"> </w:t>
      </w:r>
      <w:r>
        <w:rPr>
          <w:rFonts w:ascii="Times New Roman" w:hAnsi="Times New Roman"/>
          <w:b/>
          <w:i/>
          <w:sz w:val="20"/>
        </w:rPr>
        <w:t>Guggenheim Securities, Financial Advisor to DXL</w:t>
      </w:r>
      <w:r>
        <w:rPr>
          <w:rFonts w:ascii="Times New Roman" w:hAnsi="Times New Roman"/>
          <w:sz w:val="20"/>
        </w:rPr>
        <w:t>”</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the May 2026 Supplemental Financial Analyses</w:t>
      </w:r>
      <w:r>
        <w:rPr>
          <w:rFonts w:ascii="Times New Roman" w:hAnsi="Times New Roman"/>
          <w:b/>
          <w:i/>
          <w:sz w:val="20"/>
        </w:rPr>
        <w:t>.</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retained Guggenheim Securities in October 2024 as DXL’s financial advisor in connection with DXL’s assessment of potential strategic and financial alternatives and exploration and consideration of various potential extraordinary corporate transactions, including the merger. In selecting Guggenheim Securities as its financial advisor, the DXL Board considered that, among other things, Guggenheim Securities has had a long-standing investment banking relationship with DXL and is an internationally recognized investment banking, financial advisory and securities firm whose senior professionals have substantial experience advising companies in, among other industries, the retail and apparel industry. Guggenheim Securities, as part of its investment banking, financial advisory and capital markets businesses, is regularly engaged in the valuation and financial assessment of businesses and securities in connection with mergers and acquisitions, recapitalizations, spin-offs/split-offs, restructurings, securities offerings in both the private and public capital markets and valuations for corporate and other purposes. </w:t>
      </w:r>
    </w:p>
    <w:p>
      <w:pPr>
        <w:pStyle w:val="TextBody"/>
        <w:bidi w:val="0"/>
        <w:spacing w:before="240" w:after="0"/>
        <w:jc w:val="left"/>
        <w:rPr>
          <w:rFonts w:ascii="Times New Roman" w:hAnsi="Times New Roman"/>
          <w:sz w:val="20"/>
        </w:rPr>
      </w:pPr>
      <w:r>
        <w:rPr>
          <w:rFonts w:ascii="Times New Roman" w:hAnsi="Times New Roman"/>
          <w:sz w:val="20"/>
        </w:rPr>
        <w:t xml:space="preserve">At the December 10, 2025 meeting of the DXL Board, Guggenheim Securities rendered an oral opinion, which was confirmed by delivery of the December 2025 Opinion, to the DXL Board to the effect that, as of December 10, 2025 and based on and subject to the matters considered, the procedures followed, the assumptions made and various limitations of and qualifications to the review undertaken, the merger consideration was fair, from a financial point of view, to the stockholders of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This description of the December 2025 Opinion is qualified in its entirety by the full text of the December 2025 Opinion, which was rendered only on and as of December 10, 2025, and has not been and will not be updated, is attached as Annex B to this proxy statement and which you should read carefully and in its entirety, together with the May 2026 Supplemental Financial Analyses, as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The December 2025 Opinion sets forth the matters considered, the procedures followed, the assumptions made and various limitations of and qualifications to the review undertaken by Guggenheim Securities. The December 2025 Opinion, which was authorized for issuance by the Fairness Opinion and Valuation Committee of Guggenheim Securities, is necessarily based on economic, business, capital markets and other conditions, and the information made available to Guggenheim Securities as of December 10, 2025, the date of such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December 2025 Opinion,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In reading the discussion of the December 2025 Opinion set forth below, you should be aware that such opinion (and, as applicable, any materials provided in connection therewith or the summary of Guggenheim Securities’ underlying financial analyses elsewhere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provided to the DXL Board (in its capacity as such) for its information and assistance in connection with its evaluation of the merger consideration in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constitute a recommendation to the DXL Board with respect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advice or a recommendation to any DXL stockholder as to how any DXL stockholder should vote or act in connection with the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address DXL’s underlying business or financial decision to pursue or effect the merger, the relative merits of the merger as compared to any alternative business or financial strategies that might exist for DXL or the effects of any other transaction in which DXL might engage;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addressed only the fairness, from a financial point of view and as of the date of such opinion, of the merger consideration to the extent expressly specified in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(i) any other term, aspect or implication of (x) the merger (including, without limitation, the form or structure of the merger) or the merger agreement or (y) any other agreement, transaction document or instrument contemplated by the merger agreement or to be entered into or amended in connection with the merger or (ii) the fairness, financial or otherwise, of the merger to, or of any consideration to be paid to or received by, the holders of any class of securities (other than as expressly specified in such opinion), creditors or other constituencies of DXL or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expressed no view or opinion as to the fairness, financial or otherwise, of the amount or nature of any compensation payable to or to be received by any of DXL’s or FBB’s directors, officers or employees, or any class of such persons, in connection with the merger relative to the merger consideration or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merger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DXL and FBB and their respective businesses and future prospects (including (i) certain financial projections for DXL on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DXL and (iv) certain estimates as to potentially realizable benefits under Section 163(j) of the Code available and expected to be utilized by FBB (together, (i) through (iv), for purposes of this section and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 xml:space="preserve">Prepared by Guggenheim Securities, Financial Advisor to DXL,” </w:t>
            </w:r>
            <w:r>
              <w:rPr>
                <w:rFonts w:ascii="Times New Roman" w:hAnsi="Times New Roman"/>
                <w:sz w:val="20"/>
              </w:rPr>
              <w:t xml:space="preserve">the “December 2025 DXL-Provided Financial Projections”) and certain other estimates and other forward-looking information), all as prepared by, discussed with and approved for Guggenheim Securities’ use by DXL’s senior management (collectively with the December 2025 Synergy Estimates (as defined below), for purposes of this section, the “December 2025 DXL-Provided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non-public business and financial information regarding FBB and its business and future prospects (including certain financial projections for FBB on a standalone basis for the calendar years ending December 31, 2025 through December 31, 2029 (for purposes of this section and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 xml:space="preserve">Prepared by Guggenheim Securities, Financial Advisor to DXL,” </w:t>
            </w:r>
            <w:r>
              <w:rPr>
                <w:rFonts w:ascii="Times New Roman" w:hAnsi="Times New Roman"/>
                <w:sz w:val="20"/>
              </w:rPr>
              <w:t>the “December 2025 FBB-Provided Financial Projections,” and together with the December 2025 DXL-Provided Financial Projections, the “December 2025 Financial Projections”) and certain other estimates and other forward-looking information), all as prepared by and discussed with FBB’s senior management and reviewed by, discussed with and approved for Guggenheim Securities’ use by DXL’s senior management (collectively, for purposes of this section</w:t>
            </w:r>
            <w:r>
              <w:rPr>
                <w:rFonts w:ascii="Times New Roman" w:hAnsi="Times New Roman"/>
                <w:i/>
                <w:sz w:val="20"/>
              </w:rPr>
              <w:t>,</w:t>
            </w:r>
            <w:r>
              <w:rPr>
                <w:rFonts w:ascii="Times New Roman" w:hAnsi="Times New Roman"/>
                <w:sz w:val="20"/>
              </w:rPr>
              <w:t xml:space="preserve"> the “December 2025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Reviewed certain estimated cost savings, operating synergies and other combination benefits expected to result from the merger and estimated costs to achieve the same (collectively, for purposes of this section and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the “December 2025 Synergy Estimates” or the “December 2025 Synergies”), all as prepared by and discussed with DXL’s and FBB’s respective senior management and approved for Guggenheim Securities’ use by DXL’s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strategic and financial rationale for the merger as well as their then-current views regarding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DXL, FBB and the December 2025 Synergies based on the December 2025 DXL-Provided Financial Projections and the December 2025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pro forma financial results, financial condition and capitalization of DXL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Guggenheim Securities deemed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information used in arriving at the December 2025 Opinion,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by or discussed with DXL or FBB (including, without limitation, the December 2025 DXL-Provided Information and the December 2025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December 2025 DXL-Provided Information or the December 2025 FBB-Provided Information), (ii) expressed no view or opinion regarding the reasonableness or achievability of the December 2025 Financial Projections, the December 2025 Synergy Estimates, any other estimates or any other forward-looking information provided by DXL or FBB or the assumptions upon which any of the foregoing were based and (iii) relied upon the assurances of DXL’s senior management that they were (in the case of the December 2025 DXL-Provided Information) and assumed that FBB’s senior management were (in the case of the December 2025 FBB-Provided Information) unaware of any facts or circumstances that had made the December 2025 DXL-Provided Information or the December 2025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December 2025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rendering its opinion, (ii) was advised by DXL’s senior management, and assumed, that the December 2025 Synergy Estimates had been (y) reasonably prepared on bases reflecting the then-best currently available estimates and judgments of DXL’s and FBB’s respective senior management as to the expected amounts and realization of the December 2025 Synergies and (z) reviewed by the DXL Board with the understanding that such information would be used and relied upon by Guggenheim Securities in connection with rendering its opinion, (iii) assumed that the December 2025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also noted certain other considerations with respect to its engagement and the rendering of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course of Guggenheim Securities’ engagement, Guggenheim Securities was asked by the DXL Board to solicit indications of interest from various potential third-party transaction counterparties regarding a potential extraordinary corporate transaction with or involving DXL, and Guggenheim Securities considered the results of such solicitation process in rendering the December 2025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did not perform or obtain any independent appraisal of the assets or liabilities (including any contingent, derivative or off-balance sheet assets and liabilities) of DXL, FBB or any other entity or the solvency or fair value of DXL, FBB or any other entity, nor was Guggenheim Securities furnished with any such appraisals.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professionals are not legal, regulatory, tax, consulting, accounting, appraisal or actuarial experts and the December 2025 Opinion should not be construed as constituting advice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respect to such matters; accordingly, Guggenheim Securities relied on the assessments of DXL’s senior management, FBB’s senior management and DXL’s other professional advisors with respect to such matters. Guggenheim Securities assumed that the merger will qualify, for U.S. federal income tax purposes, as a “reorganization” within the meaning of Section 368(a) of the Code. Guggenheim Securities did not express any view or render any opinion regarding the tax consequences of the merger to DXL, FBB or their respective securityholders.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further assumed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respects meaningful to its analyses, (i) the final executed form of the merger agreement would not differ from the draft that Guggenheim Securities reviewed, (ii) DXL, FBB and merger subsidiary will comply with all terms and provisions of the merger agreement and (iii) the representations and warranties of DXL, FBB and merger subsidiary contained in the merger agreement were true and correct and all conditions to the obligations of each party to the merger agreement to consummate the merger would be satisfied without any waiver, amendment or modification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be consummated in a timely manner in accordance with the terms of the merger agreement and in compliance with all applicable legal and other requirements, without any delays, limitations, restrictions, conditions, waivers, amendments or modifications (regulatory, tax-related or otherwise) that would have an effect on DXL, FBB or the merger (including its contemplated benefits) in any way meaningful to Guggenheim Securities’ analyses and the December 2025 Opinion;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Concurrently with, but immediately prior to, the merger, those certain commitment and subscription agreements by and between FBB and the private placement investors will be consummated on the terms and subject to the conditions set forth in such commitment and subscription agreements, such that the aggregate amount of indebtedness of FBB upon consummation of the merger shall be as reflected in the December 2025 DXL-Provided Information.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in Connection with the December 2025 Opinion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of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w:t>
      </w:r>
      <w:r>
        <w:rPr>
          <w:rFonts w:ascii="Times New Roman" w:hAnsi="Times New Roman"/>
          <w:sz w:val="20"/>
        </w:rPr>
        <w:t xml:space="preserve">” presents a summary of the principal financial analyses performed by Guggenheim Securities and presented to the DXL Board in connection with Guggenheim Securities’ rendering of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analyses summarized below include summary data and information presented in tabular format. In order to understand fully such financial analyses, the summary data and tables must be read together with the full text of the summary. Considering the summary data and tables alone could create a misleading or incomplete view of Guggenheim Securities’ financial analyses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The preparation of a fairness opinion is a complex process and involves various professional judgments and determinations as to the most appropriate and relevant financial analyses and the application of those methods to the particular circumstances involved. A fairness opinion therefore is not readily susceptible to partial analysis or summary description, and taking portions of the financial analyses set forth below, without considering such analyses as a whole, would in Guggenheim Securities’ view create an incomplete and misleading picture of the processes underlying the financial analyses considered in rendering the December 2025 Opinion, which was rendered only on and as of December 10, 2025 and has not been and will not be updated.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the December 2025 Opinion,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its financial analyses on various assumptions, including assumptions concerning general economic, business and capital markets conditions and industry-specific and company-specific factors, all of which are beyond the control of DXL, FBB and Guggenheim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did not form a view or opinion as to whether any individual financial analysis or factor, whether positive or negative, considered in isolation, supported or failed to support its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considered the results of all its financial analyses and did not attribute any particular weight to any one financial analysis or factor;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ultimately arrived at the December 2025 Opinion based on the results of all its financial analyses assessed as a whole and believes that the totality of the factors considered and the various financial analyses performed by Guggenheim Securities in connection with the December 2025 Opinion operated collectively to support its determination as to the fairness, from a financial point of view and as of the date of such opinion, of the merger consideration, to the extent expressly specified in such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financial analyses performed by Guggenheim Securities in connection with rendering the December 2025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Such financial analyses, particularly those based on estimates and projections, are not necessarily indicative of actual values or actual future results, which may be significantly more or less favorable than suggested by these analyses, including as set forth in the financial analyses described in the section entitled “—</w:t>
            </w:r>
            <w:r>
              <w:rPr>
                <w:rFonts w:ascii="Times New Roman" w:hAnsi="Times New Roman"/>
                <w:i/>
                <w:sz w:val="20"/>
              </w:rPr>
              <w:t>May 2026 Supplemental Financial Analyses</w:t>
            </w:r>
            <w:r>
              <w:rPr>
                <w:rFonts w:ascii="Times New Roman" w:hAnsi="Times New Roman"/>
                <w:sz w:val="20"/>
              </w:rPr>
              <w:t xml:space="preserve"> </w:t>
            </w:r>
            <w:r>
              <w:rPr>
                <w:rFonts w:ascii="Times New Roman" w:hAnsi="Times New Roman"/>
                <w:i/>
                <w:sz w:val="20"/>
              </w:rPr>
              <w:t>Prepared by Guggenheim Securities, Financial Advisor to DXL.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selected publicly traded companies used in the selected publicly traded companies analysis described below is identical or directly comparable to DXL or FBB. However, such companies were selected by Guggenheim Securities, among other reasons, because they represented publicly traded companies which may be considered broadly similar, for purposes of Guggenheim Securities’ financial analyses, to DXL or FBB based on Guggenheim Securities’ familiarity with the retail and apparel sector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event, selected publicly traded companies analysis is not mathematical. Rather, such analysis involves complex considerations and professional judgments concerning the differences in business, operating, financial and capital markets-related characteristics and other factors regarding the selected publicly traded companies to which DXL and FBB were compared.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financial analyses do not purport to be appraisals or to reflect the prices at which any securities may trade at the present time or at any time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Unless otherwise noted below, (i) all of Guggenheim Securities’ financial analyses regarding FBB reflect the $92 million debt/equitization that FBB is obligated to effect under the terms and conditions of the merger agreement and (ii) all stock price data is as of December 9, 2025.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Certain Definitions in Connection with the December 2025 Opinion and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Throughout this “</w:t>
      </w:r>
      <w:r>
        <w:rPr>
          <w:rFonts w:ascii="Times New Roman" w:hAnsi="Times New Roman"/>
          <w:i/>
          <w:sz w:val="20"/>
        </w:rPr>
        <w:t>Summary of Financial Analyses</w:t>
      </w:r>
      <w:r>
        <w:rPr>
          <w:rFonts w:ascii="Times New Roman" w:hAnsi="Times New Roman"/>
          <w:sz w:val="20"/>
        </w:rPr>
        <w:t xml:space="preserve"> </w:t>
      </w:r>
      <w:r>
        <w:rPr>
          <w:rFonts w:ascii="Times New Roman" w:hAnsi="Times New Roman"/>
          <w:i/>
          <w:sz w:val="20"/>
        </w:rPr>
        <w:t>in Connection with the December 2025 Opinion” and the section entitled “—May 2026 Supplemental Financial Analyses Prepared by Guggenheim Securities, Financial Advisor to DXL,</w:t>
      </w:r>
      <w:r>
        <w:rPr>
          <w:rFonts w:ascii="Times New Roman" w:hAnsi="Times New Roman"/>
          <w:sz w:val="20"/>
        </w:rPr>
        <w:t xml:space="preserve">” the following defined terms are used in connection with Guggenheim Securities’ various financial analyses: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DCF: means discounted cash flow.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means the relevant company’s operating earnings (after deduction of stock-based compensation) before interest, taxes, depreciation and amortization.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multiple: represents the relevant company’s Enterprise Value (as defined below) divided by its historical or projected EBITDA.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Enterprise Value or EV: represents the relevant company’s Equity Value (as defined below) plus (i) the principal or face amount of total debt and certain other debt-like items and (ii) the principal or face amount of any non-controlling/minority interests less (iii) excess cash, cash equivalents, and short- and long-term marketable investments and certain other cash-like items.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Equity Value: represents the relevant company’s (i) gross equity value as calculated (a) based on outstanding common shares, restricted stock units and performance stock units (in each of the foregoing cases, as applicable) plus shares issuable upon the conversion or exercise of all in-the-money convertible securities, stock options and/or stock warrants times (b) the relevant company’s stock price less (ii) the cash proceeds from the assumed exercise of all in-the-money stock options and stock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means the relevant company’s after-tax unlevered operating cash flow minus capital expenditures and changes in working capital.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19"/>
        <w:gridCol w:w="325"/>
        <w:gridCol w:w="183"/>
        <w:gridCol w:w="579"/>
        <w:gridCol w:w="78"/>
        <w:gridCol w:w="358"/>
        <w:gridCol w:w="183"/>
        <w:gridCol w:w="583"/>
        <w:gridCol w:w="64"/>
      </w:tblGrid>
      <w:tr>
        <w:trPr/>
        <w:tc>
          <w:tcPr>
            <w:tcW w:w="621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21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64"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DXL on</w:t>
            </w:r>
            <w:r>
              <w:rPr/>
              <w:br/>
            </w:r>
            <w:r>
              <w:rPr>
                <w:b/>
              </w:rP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25"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1.79</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Net Operating Loss Tax Benefit</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1.58</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1.88</w:t>
            </w:r>
          </w:p>
        </w:tc>
        <w:tc>
          <w:tcPr>
            <w:tcW w:w="64" w:type="dxa"/>
            <w:tcBorders/>
            <w:vAlign w:val="bottom"/>
          </w:tcPr>
          <w:p>
            <w:pPr>
              <w:pStyle w:val="TableContents"/>
              <w:bidi w:val="0"/>
              <w:spacing w:before="0" w:after="283"/>
              <w:jc w:val="left"/>
              <w:rPr/>
            </w:pPr>
            <w:r>
              <w:rPr/>
              <w:t> </w:t>
            </w:r>
          </w:p>
        </w:tc>
      </w:tr>
      <w:tr>
        <w:trPr>
          <w:trHeight w:val="240" w:hRule="atLeast"/>
        </w:trPr>
        <w:tc>
          <w:tcPr>
            <w:tcW w:w="6219" w:type="dxa"/>
            <w:tcBorders/>
            <w:vAlign w:val="center"/>
          </w:tcPr>
          <w:p>
            <w:pPr>
              <w:pStyle w:val="TableContents"/>
              <w:bidi w:val="0"/>
              <w:spacing w:before="0" w:after="283"/>
              <w:jc w:val="left"/>
              <w:rPr>
                <w:sz w:val="4"/>
                <w:szCs w:val="4"/>
              </w:rPr>
            </w:pPr>
            <w:r>
              <w:rPr>
                <w:sz w:val="4"/>
                <w:szCs w:val="4"/>
              </w:rPr>
            </w:r>
          </w:p>
        </w:tc>
        <w:tc>
          <w:tcPr>
            <w:tcW w:w="1165" w:type="dxa"/>
            <w:gridSpan w:val="4"/>
            <w:tcBorders/>
            <w:vAlign w:val="center"/>
          </w:tcPr>
          <w:p>
            <w:pPr>
              <w:pStyle w:val="TableContents"/>
              <w:bidi w:val="0"/>
              <w:spacing w:before="0" w:after="283"/>
              <w:jc w:val="left"/>
              <w:rPr>
                <w:sz w:val="4"/>
                <w:szCs w:val="4"/>
              </w:rPr>
            </w:pPr>
            <w:r>
              <w:rPr>
                <w:sz w:val="4"/>
                <w:szCs w:val="4"/>
              </w:rPr>
            </w:r>
          </w:p>
        </w:tc>
        <w:tc>
          <w:tcPr>
            <w:tcW w:w="1188" w:type="dxa"/>
            <w:gridSpan w:val="4"/>
            <w:tcBorders/>
            <w:vAlign w:val="center"/>
          </w:tcPr>
          <w:p>
            <w:pPr>
              <w:pStyle w:val="TableContents"/>
              <w:bidi w:val="0"/>
              <w:spacing w:before="0" w:after="283"/>
              <w:jc w:val="left"/>
              <w:rPr>
                <w:sz w:val="4"/>
                <w:szCs w:val="4"/>
              </w:rPr>
            </w:pPr>
            <w:r>
              <w:rPr>
                <w:sz w:val="4"/>
                <w:szCs w:val="4"/>
              </w:rPr>
            </w:r>
          </w:p>
        </w:tc>
      </w:tr>
      <w:tr>
        <w:trPr/>
        <w:tc>
          <w:tcPr>
            <w:tcW w:w="621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25" w:type="dxa"/>
            <w:tcBorders/>
            <w:vAlign w:val="bottom"/>
          </w:tcPr>
          <w:p>
            <w:pPr>
              <w:pStyle w:val="TableContents"/>
              <w:bidi w:val="0"/>
              <w:spacing w:before="0" w:after="283"/>
              <w:jc w:val="left"/>
              <w:rPr/>
            </w:pPr>
            <w:r>
              <w:rPr/>
              <w:t>  </w:t>
            </w:r>
          </w:p>
        </w:tc>
        <w:tc>
          <w:tcPr>
            <w:tcW w:w="762" w:type="dxa"/>
            <w:gridSpan w:val="2"/>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766"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219"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2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1.10</w:t>
            </w:r>
          </w:p>
        </w:tc>
        <w:tc>
          <w:tcPr>
            <w:tcW w:w="78"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2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DXL Management Projections</w:t>
            </w:r>
          </w:p>
        </w:tc>
        <w:tc>
          <w:tcPr>
            <w:tcW w:w="32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0.79</w:t>
            </w:r>
          </w:p>
        </w:tc>
        <w:tc>
          <w:tcPr>
            <w:tcW w:w="78"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December 2025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15.0% – 17.0%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discounted cash flow analyses resulted in an overall reference range of (i) $1.50 – $1.79 per share for purposes of evaluating DXL common stock on a standalone intrinsic-value basis and (ii) $1.58 – $1.88 per share for purposes of evaluating DXL common stock on an intrinsic-value basis including the net present value of expected net operating loss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rendering the December 2025 Opinion, Guggenheim Securities performed various financial analyses which are summarized in the table below and described in more detail elsewhere herein, including discounted cash flow 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77"/>
        <w:gridCol w:w="267"/>
        <w:gridCol w:w="61"/>
        <w:gridCol w:w="728"/>
        <w:gridCol w:w="159"/>
        <w:gridCol w:w="270"/>
        <w:gridCol w:w="148"/>
        <w:gridCol w:w="597"/>
        <w:gridCol w:w="65"/>
      </w:tblGrid>
      <w:tr>
        <w:trPr/>
        <w:tc>
          <w:tcPr>
            <w:tcW w:w="6277" w:type="dxa"/>
            <w:tcBorders/>
            <w:vAlign w:val="center"/>
          </w:tcPr>
          <w:p>
            <w:pPr>
              <w:pStyle w:val="TableContents"/>
              <w:bidi w:val="0"/>
              <w:spacing w:before="0" w:after="283"/>
              <w:jc w:val="left"/>
              <w:rPr>
                <w:sz w:val="4"/>
                <w:szCs w:val="4"/>
              </w:rPr>
            </w:pPr>
            <w:r>
              <w:rPr>
                <w:sz w:val="4"/>
                <w:szCs w:val="4"/>
              </w:rPr>
            </w:r>
          </w:p>
        </w:tc>
        <w:tc>
          <w:tcPr>
            <w:tcW w:w="26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65" w:type="dxa"/>
            <w:tcBorders/>
            <w:vAlign w:val="bottom"/>
          </w:tcPr>
          <w:p>
            <w:pPr>
              <w:pStyle w:val="TableContents"/>
              <w:bidi w:val="0"/>
              <w:spacing w:before="0" w:after="283"/>
              <w:jc w:val="left"/>
              <w:rPr/>
            </w:pPr>
            <w:r>
              <w:rPr/>
              <w:t> </w:t>
            </w:r>
          </w:p>
        </w:tc>
      </w:tr>
      <w:tr>
        <w:trPr/>
        <w:tc>
          <w:tcPr>
            <w:tcW w:w="6277"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96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r>
            <w:r>
              <w:rPr/>
              <w:br/>
            </w:r>
            <w:r>
              <w:rPr>
                <w:b/>
              </w:rPr>
              <w:t>for FBB on</w:t>
            </w:r>
            <w:r>
              <w:rPr/>
              <w:br/>
            </w:r>
            <w:r>
              <w:rPr>
                <w:b/>
              </w:rPr>
              <w:t>a Standalone</w:t>
            </w:r>
            <w:r>
              <w:rPr/>
              <w:br/>
            </w:r>
            <w:r>
              <w:rPr>
                <w:b/>
              </w:rPr>
              <w:t>Basis</w:t>
            </w:r>
            <w:r>
              <w:rPr/>
              <w:br/>
            </w:r>
            <w:r>
              <w:rPr>
                <w:i/>
              </w:rPr>
              <w:t>($ in millions)</w:t>
            </w:r>
          </w:p>
        </w:tc>
        <w:tc>
          <w:tcPr>
            <w:tcW w:w="65" w:type="dxa"/>
            <w:tcBorders/>
            <w:vAlign w:val="bottom"/>
          </w:tcPr>
          <w:p>
            <w:pPr>
              <w:pStyle w:val="TableContents"/>
              <w:bidi w:val="0"/>
              <w:spacing w:before="0" w:after="283"/>
              <w:jc w:val="left"/>
              <w:rPr/>
            </w:pPr>
            <w:r>
              <w:rPr/>
              <w:t> </w:t>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267" w:type="dxa"/>
            <w:tcBorders/>
            <w:vAlign w:val="bottom"/>
          </w:tcPr>
          <w:p>
            <w:pPr>
              <w:pStyle w:val="TableContents"/>
              <w:bidi w:val="0"/>
              <w:spacing w:before="0" w:after="283"/>
              <w:jc w:val="left"/>
              <w:rPr/>
            </w:pPr>
            <w:r>
              <w:rPr/>
              <w:t>  </w:t>
            </w:r>
          </w:p>
        </w:tc>
        <w:tc>
          <w:tcPr>
            <w:tcW w:w="7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$97.3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144.8</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$107.0</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597" w:type="dxa"/>
            <w:tcBorders/>
            <w:vAlign w:val="bottom"/>
          </w:tcPr>
          <w:p>
            <w:pPr>
              <w:pStyle w:val="TableContents"/>
              <w:bidi w:val="0"/>
              <w:spacing w:before="0" w:after="283"/>
              <w:jc w:val="right"/>
              <w:rPr/>
            </w:pPr>
            <w:r>
              <w:rPr/>
              <w:t>155.3</w:t>
            </w:r>
          </w:p>
        </w:tc>
        <w:tc>
          <w:tcPr>
            <w:tcW w:w="65" w:type="dxa"/>
            <w:tcBorders/>
            <w:vAlign w:val="bottom"/>
          </w:tcPr>
          <w:p>
            <w:pPr>
              <w:pStyle w:val="TableContents"/>
              <w:bidi w:val="0"/>
              <w:spacing w:before="0" w:after="283"/>
              <w:jc w:val="left"/>
              <w:rPr/>
            </w:pPr>
            <w:r>
              <w:rPr/>
              <w:t> </w:t>
            </w:r>
          </w:p>
        </w:tc>
      </w:tr>
      <w:tr>
        <w:trPr>
          <w:trHeight w:val="240" w:hRule="atLeast"/>
        </w:trPr>
        <w:tc>
          <w:tcPr>
            <w:tcW w:w="6277"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080" w:type="dxa"/>
            <w:gridSpan w:val="4"/>
            <w:tcBorders/>
            <w:vAlign w:val="center"/>
          </w:tcPr>
          <w:p>
            <w:pPr>
              <w:pStyle w:val="TableContents"/>
              <w:bidi w:val="0"/>
              <w:spacing w:before="0" w:after="283"/>
              <w:jc w:val="left"/>
              <w:rPr>
                <w:sz w:val="4"/>
                <w:szCs w:val="4"/>
              </w:rPr>
            </w:pPr>
            <w:r>
              <w:rPr>
                <w:sz w:val="4"/>
                <w:szCs w:val="4"/>
              </w:rPr>
            </w:r>
          </w:p>
        </w:tc>
      </w:tr>
      <w:tr>
        <w:trPr/>
        <w:tc>
          <w:tcPr>
            <w:tcW w:w="62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267" w:type="dxa"/>
            <w:tcBorders/>
            <w:vAlign w:val="bottom"/>
          </w:tcPr>
          <w:p>
            <w:pPr>
              <w:pStyle w:val="TableContents"/>
              <w:bidi w:val="0"/>
              <w:spacing w:before="0" w:after="283"/>
              <w:jc w:val="left"/>
              <w:rPr/>
            </w:pPr>
            <w:r>
              <w:rPr/>
              <w:t>  </w:t>
            </w:r>
          </w:p>
        </w:tc>
        <w:tc>
          <w:tcPr>
            <w:tcW w:w="789"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74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6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26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7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27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5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277"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26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28" w:type="dxa"/>
            <w:tcBorders/>
            <w:vAlign w:val="bottom"/>
          </w:tcPr>
          <w:p>
            <w:pPr>
              <w:pStyle w:val="TableContents"/>
              <w:bidi w:val="0"/>
              <w:spacing w:before="0" w:after="283"/>
              <w:jc w:val="right"/>
              <w:rPr/>
            </w:pPr>
            <w:r>
              <w:rPr/>
              <w:t>($48.3</w:t>
            </w:r>
          </w:p>
        </w:tc>
        <w:tc>
          <w:tcPr>
            <w:tcW w:w="159"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right"/>
              <w:rPr/>
            </w:pPr>
            <w:r>
              <w:rPr/>
              <w:t>$33.1</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December 2025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December 2025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14.5% – 16.5%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$97.3 million – $144.8 million for purposes of evaluating FBB’s common stock on a standalone intrinsic-value basis and (ii) $107.0 million – $155.3 million for purposes of evaluating FBB’s common stock on an intrinsic-value basis including the net present value of expected §163(j) tax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merger consideration in connection with rendering the December 2025 Opinion,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December 2025 DXL DCF Analysis</w:t>
      </w:r>
      <w:r>
        <w:rPr>
          <w:rFonts w:ascii="Times New Roman" w:hAnsi="Times New Roman"/>
          <w:sz w:val="20"/>
        </w:rPr>
        <w:t>” and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following table summarizes the implied ownership percentages derived using the foregoing financial methodology. With respect to any indicated reference range of implied ownership percentages, the range was 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December 2025 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December 2025 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705"/>
        <w:gridCol w:w="121"/>
        <w:gridCol w:w="654"/>
        <w:gridCol w:w="257"/>
        <w:gridCol w:w="835"/>
      </w:tblGrid>
      <w:tr>
        <w:trPr/>
        <w:tc>
          <w:tcPr>
            <w:tcW w:w="67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121" w:type="dxa"/>
            <w:tcBorders/>
            <w:shd w:fill="CCEEFF" w:val="clear"/>
            <w:vAlign w:val="bottom"/>
          </w:tcPr>
          <w:p>
            <w:pPr>
              <w:pStyle w:val="TableContents"/>
              <w:bidi w:val="0"/>
              <w:spacing w:before="0" w:after="283"/>
              <w:jc w:val="left"/>
              <w:rPr/>
            </w:pPr>
            <w:r>
              <w:rPr/>
              <w:t>  </w:t>
            </w:r>
          </w:p>
        </w:tc>
        <w:tc>
          <w:tcPr>
            <w:tcW w:w="1746"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1867" w:type="dxa"/>
            <w:gridSpan w:val="4"/>
            <w:tcBorders/>
            <w:vAlign w:val="center"/>
          </w:tcPr>
          <w:p>
            <w:pPr>
              <w:pStyle w:val="TableContents"/>
              <w:bidi w:val="0"/>
              <w:spacing w:before="0" w:after="283"/>
              <w:jc w:val="left"/>
              <w:rPr>
                <w:sz w:val="4"/>
                <w:szCs w:val="4"/>
              </w:rPr>
            </w:pPr>
            <w:r>
              <w:rPr>
                <w:sz w:val="4"/>
                <w:szCs w:val="4"/>
              </w:rPr>
            </w:r>
          </w:p>
        </w:tc>
      </w:tr>
      <w:tr>
        <w:trPr/>
        <w:tc>
          <w:tcPr>
            <w:tcW w:w="6705"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746" w:type="dxa"/>
            <w:gridSpan w:val="3"/>
            <w:tcBorders>
              <w:bottom w:val="single" w:sz="8" w:space="0" w:color="000000"/>
            </w:tcBorders>
            <w:tcMar>
              <w:bottom w:w="28" w:type="dxa"/>
            </w:tcMar>
            <w:vAlign w:val="bottom"/>
          </w:tcPr>
          <w:p>
            <w:pPr>
              <w:pStyle w:val="TableContents"/>
              <w:bidi w:val="0"/>
              <w:spacing w:before="0" w:after="283"/>
              <w:jc w:val="center"/>
              <w:rPr>
                <w:b/>
              </w:rPr>
            </w:pPr>
            <w:r>
              <w:rPr>
                <w:b/>
              </w:rPr>
              <w:t>Implied DXL</w:t>
              <w:br/>
              <w:t>Ownership</w:t>
              <w:br/>
              <w:t>Percentage</w:t>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121" w:type="dxa"/>
            <w:tcBorders/>
            <w:vAlign w:val="bottom"/>
          </w:tcPr>
          <w:p>
            <w:pPr>
              <w:pStyle w:val="TableContents"/>
              <w:bidi w:val="0"/>
              <w:spacing w:before="0" w:after="283"/>
              <w:jc w:val="left"/>
              <w:rPr/>
            </w:pPr>
            <w:r>
              <w:rPr/>
              <w:t>  </w:t>
            </w:r>
          </w:p>
        </w:tc>
        <w:tc>
          <w:tcPr>
            <w:tcW w:w="654" w:type="dxa"/>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57" w:type="dxa"/>
            <w:tcBorders/>
            <w:vAlign w:val="bottom"/>
          </w:tcPr>
          <w:p>
            <w:pPr>
              <w:pStyle w:val="TableContents"/>
              <w:bidi w:val="0"/>
              <w:spacing w:before="0" w:after="283"/>
              <w:jc w:val="left"/>
              <w:rPr/>
            </w:pPr>
            <w:r>
              <w:rPr/>
              <w:t>  </w:t>
            </w:r>
          </w:p>
        </w:tc>
        <w:tc>
          <w:tcPr>
            <w:tcW w:w="835" w:type="dxa"/>
            <w:tcBorders>
              <w:bottom w:val="single" w:sz="8" w:space="0" w:color="000000"/>
            </w:tcBorders>
            <w:tcMar>
              <w:bottom w:w="28" w:type="dxa"/>
            </w:tcMar>
            <w:vAlign w:val="bottom"/>
          </w:tcPr>
          <w:p>
            <w:pPr>
              <w:pStyle w:val="TableContents"/>
              <w:bidi w:val="0"/>
              <w:spacing w:before="0" w:after="283"/>
              <w:jc w:val="center"/>
              <w:rPr>
                <w:b/>
              </w:rPr>
            </w:pPr>
            <w:r>
              <w:rPr>
                <w:b/>
              </w:rPr>
              <w:t>High</w:t>
            </w:r>
          </w:p>
        </w:tc>
      </w:tr>
      <w:tr>
        <w:trPr/>
        <w:tc>
          <w:tcPr>
            <w:tcW w:w="67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37%</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51%</w:t>
            </w:r>
          </w:p>
        </w:tc>
      </w:tr>
      <w:tr>
        <w:trPr>
          <w:trHeight w:val="240" w:hRule="atLeast"/>
        </w:trPr>
        <w:tc>
          <w:tcPr>
            <w:tcW w:w="6705" w:type="dxa"/>
            <w:tcBorders/>
            <w:vAlign w:val="center"/>
          </w:tcPr>
          <w:p>
            <w:pPr>
              <w:pStyle w:val="TableContents"/>
              <w:bidi w:val="0"/>
              <w:spacing w:before="0" w:after="283"/>
              <w:jc w:val="left"/>
              <w:rPr>
                <w:sz w:val="4"/>
                <w:szCs w:val="4"/>
              </w:rPr>
            </w:pPr>
            <w:r>
              <w:rPr>
                <w:sz w:val="4"/>
                <w:szCs w:val="4"/>
              </w:rPr>
            </w:r>
          </w:p>
        </w:tc>
        <w:tc>
          <w:tcPr>
            <w:tcW w:w="775" w:type="dxa"/>
            <w:gridSpan w:val="2"/>
            <w:tcBorders/>
            <w:vAlign w:val="center"/>
          </w:tcPr>
          <w:p>
            <w:pPr>
              <w:pStyle w:val="TableContents"/>
              <w:bidi w:val="0"/>
              <w:spacing w:before="0" w:after="283"/>
              <w:jc w:val="left"/>
              <w:rPr>
                <w:sz w:val="4"/>
                <w:szCs w:val="4"/>
              </w:rPr>
            </w:pPr>
            <w:r>
              <w:rPr>
                <w:sz w:val="4"/>
                <w:szCs w:val="4"/>
              </w:rPr>
            </w:r>
          </w:p>
        </w:tc>
        <w:tc>
          <w:tcPr>
            <w:tcW w:w="1092" w:type="dxa"/>
            <w:gridSpan w:val="2"/>
            <w:tcBorders/>
            <w:vAlign w:val="center"/>
          </w:tcPr>
          <w:p>
            <w:pPr>
              <w:pStyle w:val="TableContents"/>
              <w:bidi w:val="0"/>
              <w:spacing w:before="0" w:after="283"/>
              <w:jc w:val="left"/>
              <w:rPr>
                <w:sz w:val="4"/>
                <w:szCs w:val="4"/>
              </w:rPr>
            </w:pPr>
            <w:r>
              <w:rPr>
                <w:sz w:val="4"/>
                <w:szCs w:val="4"/>
              </w:rPr>
            </w:r>
          </w:p>
        </w:tc>
      </w:tr>
      <w:tr>
        <w:trPr/>
        <w:tc>
          <w:tcPr>
            <w:tcW w:w="670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left"/>
              <w:rPr/>
            </w:pPr>
            <w:r>
              <w:rPr/>
              <w:t> </w:t>
            </w:r>
          </w:p>
        </w:tc>
      </w:tr>
      <w:tr>
        <w:trPr/>
        <w:tc>
          <w:tcPr>
            <w:tcW w:w="67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left"/>
              <w:rPr>
                <w:sz w:val="4"/>
                <w:szCs w:val="4"/>
              </w:rPr>
            </w:pPr>
            <w:r>
              <w:rPr>
                <w:sz w:val="4"/>
                <w:szCs w:val="4"/>
              </w:rPr>
            </w:r>
          </w:p>
        </w:tc>
      </w:tr>
      <w:tr>
        <w:trPr/>
        <w:tc>
          <w:tcPr>
            <w:tcW w:w="6705"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5.2x CY2026E EV / EBITDA)</w:t>
            </w:r>
          </w:p>
        </w:tc>
        <w:tc>
          <w:tcPr>
            <w:tcW w:w="121"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center"/>
              <w:rPr/>
            </w:pPr>
            <w:r>
              <w:rPr/>
              <w:t>66%</w:t>
            </w:r>
          </w:p>
        </w:tc>
        <w:tc>
          <w:tcPr>
            <w:tcW w:w="257"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center"/>
              <w:rPr/>
            </w:pPr>
            <w:r>
              <w:rPr/>
              <w:t>100%</w:t>
            </w:r>
          </w:p>
        </w:tc>
      </w:tr>
      <w:tr>
        <w:trPr/>
        <w:tc>
          <w:tcPr>
            <w:tcW w:w="6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DXL Management Projections (DXL and FBB at 3.1x – 5.2x CY2026E EV / EBITDA)</w:t>
            </w:r>
          </w:p>
        </w:tc>
        <w:tc>
          <w:tcPr>
            <w:tcW w:w="121"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center"/>
              <w:rPr/>
            </w:pPr>
            <w:r>
              <w:rPr/>
              <w:t>58%</w:t>
            </w:r>
          </w:p>
        </w:tc>
        <w:tc>
          <w:tcPr>
            <w:tcW w:w="257"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analysis resulted in an implied ownership percentage reference range of 37% – 51%, as compared to the merger-implied ownership percentage by DXL stockholders of 45%. </w:t>
      </w:r>
    </w:p>
    <w:p>
      <w:pPr>
        <w:pStyle w:val="TextBody"/>
        <w:bidi w:val="0"/>
        <w:spacing w:before="240" w:after="0"/>
        <w:jc w:val="left"/>
        <w:rPr>
          <w:rFonts w:ascii="Times New Roman" w:hAnsi="Times New Roman"/>
          <w:sz w:val="20"/>
        </w:rPr>
      </w:pPr>
      <w:r>
        <w:rPr>
          <w:rFonts w:ascii="Times New Roman" w:hAnsi="Times New Roman"/>
          <w:i/>
          <w:sz w:val="20"/>
        </w:rPr>
        <w:t>Contribution Analysis</w:t>
      </w:r>
      <w:r>
        <w:rPr>
          <w:rFonts w:ascii="Times New Roman" w:hAnsi="Times New Roman"/>
          <w:sz w:val="20"/>
        </w:rPr>
        <w:t xml:space="preserve">. Guggenheim Securities compared (i) certain of DXL’s and FBB’s respective Equity Value contribution percentages and (ii) the net diluted merger-implied ownership splits for DXL’s stockholders and FBB’s stockholders (in each case as implied by the exchange ratio). In order to facilitate the comparability of such Equity Value contribution percentages with the merger-related equity ownership splits, Guggenheim Securities leverage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FBB’s market-implied Enterprise Value based on FBB’s standalone net debt balance. The results of such contribution analysis, both with and without synergy estimates, are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22"/>
        <w:gridCol w:w="375"/>
        <w:gridCol w:w="65"/>
        <w:gridCol w:w="499"/>
        <w:gridCol w:w="320"/>
        <w:gridCol w:w="284"/>
        <w:gridCol w:w="119"/>
        <w:gridCol w:w="886"/>
        <w:gridCol w:w="280"/>
        <w:gridCol w:w="284"/>
        <w:gridCol w:w="60"/>
        <w:gridCol w:w="713"/>
        <w:gridCol w:w="65"/>
      </w:tblGrid>
      <w:tr>
        <w:trPr/>
        <w:tc>
          <w:tcPr>
            <w:tcW w:w="4622"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8507" w:type="dxa"/>
            <w:gridSpan w:val="12"/>
            <w:tcBorders/>
            <w:vAlign w:val="bottom"/>
          </w:tcPr>
          <w:p>
            <w:pPr>
              <w:pStyle w:val="TableContents"/>
              <w:bidi w:val="0"/>
              <w:spacing w:before="0" w:after="283"/>
              <w:jc w:val="center"/>
              <w:rPr>
                <w:b/>
                <w:sz w:val="20"/>
              </w:rPr>
            </w:pPr>
            <w:r>
              <w:rPr>
                <w:b/>
                <w:sz w:val="20"/>
              </w:rPr>
              <w:t>DXL and FBB Contribution Analysis</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Merger-Implied Equity Ownership Splits (DXL and FBB Stockholders, Respectively)</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b/>
              </w:rPr>
            </w:pPr>
            <w:r>
              <w:rPr>
                <w:b/>
              </w:rPr>
              <w:t>45.0</w:t>
            </w:r>
          </w:p>
        </w:tc>
        <w:tc>
          <w:tcPr>
            <w:tcW w:w="320" w:type="dxa"/>
            <w:tcBorders/>
            <w:shd w:fill="CCEEFF" w:val="clear"/>
            <w:vAlign w:val="bottom"/>
          </w:tcPr>
          <w:p>
            <w:pPr>
              <w:pStyle w:val="TableContents"/>
              <w:bidi w:val="0"/>
              <w:spacing w:before="0" w:after="283"/>
              <w:jc w:val="left"/>
              <w:rPr>
                <w:b/>
              </w:rPr>
            </w:pPr>
            <w:r>
              <w:rPr>
                <w:b/>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b/>
              </w:rPr>
            </w:pPr>
            <w:r>
              <w:rPr>
                <w:b/>
              </w:rPr>
              <w:t>55.0%</w:t>
            </w:r>
          </w:p>
        </w:tc>
        <w:tc>
          <w:tcPr>
            <w:tcW w:w="65" w:type="dxa"/>
            <w:tcBorders/>
            <w:shd w:fill="CCEEFF" w:val="clear"/>
            <w:vAlign w:val="bottom"/>
          </w:tcPr>
          <w:p>
            <w:pPr>
              <w:pStyle w:val="TableContents"/>
              <w:bidi w:val="0"/>
              <w:spacing w:before="0" w:after="283"/>
              <w:jc w:val="left"/>
              <w:rPr/>
            </w:pPr>
            <w:r>
              <w:rPr/>
              <w:t> </w:t>
            </w:r>
          </w:p>
        </w:tc>
      </w:tr>
      <w:tr>
        <w:trPr>
          <w:trHeight w:val="24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Equity Value Contribution</w:t>
            </w:r>
          </w:p>
        </w:tc>
        <w:tc>
          <w:tcPr>
            <w:tcW w:w="375" w:type="dxa"/>
            <w:tcBorders/>
            <w:vAlign w:val="bottom"/>
          </w:tcPr>
          <w:p>
            <w:pPr>
              <w:pStyle w:val="TableContents"/>
              <w:bidi w:val="0"/>
              <w:spacing w:before="0" w:after="283"/>
              <w:jc w:val="left"/>
              <w:rPr/>
            </w:pPr>
            <w:r>
              <w:rPr/>
              <w:t>  </w:t>
            </w:r>
          </w:p>
        </w:tc>
        <w:tc>
          <w:tcPr>
            <w:tcW w:w="5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DXL</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Synergies</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DCF Equity Value:</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56.3%</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23.5</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46.1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30.3%</w:t>
            </w:r>
          </w:p>
        </w:tc>
        <w:tc>
          <w:tcPr>
            <w:tcW w:w="65" w:type="dxa"/>
            <w:tcBorders/>
            <w:shd w:fill="CCEEFF" w:val="clear"/>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283"/>
              <w:jc w:val="left"/>
              <w:rPr/>
            </w:pPr>
            <w:r>
              <w:rPr/>
              <w:t>Market-Implied Equity Value (FBB at 3.1x CY2026E EV / EBITDA):</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88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1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N/A</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N/A </w:t>
            </w:r>
          </w:p>
        </w:tc>
        <w:tc>
          <w:tcPr>
            <w:tcW w:w="65" w:type="dxa"/>
            <w:tcBorders/>
            <w:shd w:fill="CCEEFF" w:val="clear"/>
            <w:vAlign w:val="bottom"/>
          </w:tcPr>
          <w:p>
            <w:pPr>
              <w:pStyle w:val="TableContents"/>
              <w:bidi w:val="0"/>
              <w:spacing w:before="0" w:after="283"/>
              <w:jc w:val="left"/>
              <w:rPr/>
            </w:pPr>
            <w:r>
              <w:rPr/>
              <w:t> </w:t>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N/A</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N/A</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N/A </w:t>
            </w:r>
          </w:p>
        </w:tc>
        <w:tc>
          <w:tcPr>
            <w:tcW w:w="65" w:type="dxa"/>
            <w:tcBorders/>
            <w:vAlign w:val="bottom"/>
          </w:tcPr>
          <w:p>
            <w:pPr>
              <w:pStyle w:val="TableContents"/>
              <w:bidi w:val="0"/>
              <w:spacing w:before="0" w:after="283"/>
              <w:jc w:val="left"/>
              <w:rPr/>
            </w:pPr>
            <w:r>
              <w:rPr/>
              <w:t> </w:t>
            </w:r>
          </w:p>
        </w:tc>
      </w:tr>
      <w:tr>
        <w:trPr>
          <w:trHeight w:val="120" w:hRule="atLeast"/>
        </w:trPr>
        <w:tc>
          <w:tcPr>
            <w:tcW w:w="4622" w:type="dxa"/>
            <w:tcBorders/>
            <w:vAlign w:val="center"/>
          </w:tcPr>
          <w:p>
            <w:pPr>
              <w:pStyle w:val="TableContents"/>
              <w:bidi w:val="0"/>
              <w:spacing w:before="0" w:after="283"/>
              <w:jc w:val="left"/>
              <w:rPr>
                <w:sz w:val="4"/>
                <w:szCs w:val="4"/>
              </w:rPr>
            </w:pPr>
            <w:r>
              <w:rPr>
                <w:sz w:val="4"/>
                <w:szCs w:val="4"/>
              </w:rPr>
            </w:r>
          </w:p>
        </w:tc>
        <w:tc>
          <w:tcPr>
            <w:tcW w:w="1259"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22" w:type="dxa"/>
            <w:gridSpan w:val="4"/>
            <w:tcBorders/>
            <w:vAlign w:val="center"/>
          </w:tcPr>
          <w:p>
            <w:pPr>
              <w:pStyle w:val="TableContents"/>
              <w:bidi w:val="0"/>
              <w:spacing w:before="0" w:after="283"/>
              <w:jc w:val="left"/>
              <w:rPr>
                <w:sz w:val="4"/>
                <w:szCs w:val="4"/>
              </w:rPr>
            </w:pPr>
            <w:r>
              <w:rPr>
                <w:sz w:val="4"/>
                <w:szCs w:val="4"/>
              </w:rPr>
            </w:r>
          </w:p>
        </w:tc>
      </w:tr>
      <w:tr>
        <w:trPr/>
        <w:tc>
          <w:tcPr>
            <w:tcW w:w="4622" w:type="dxa"/>
            <w:tcBorders/>
            <w:shd w:fill="CCEEFF" w:val="clear"/>
          </w:tcPr>
          <w:p>
            <w:pPr>
              <w:pStyle w:val="TableContents"/>
              <w:bidi w:val="0"/>
              <w:spacing w:before="0" w:after="283"/>
              <w:jc w:val="left"/>
              <w:rPr/>
            </w:pPr>
            <w:r>
              <w:rPr/>
              <w:t>Market-Implied Equity Value (FBB at 5.2x CY2026E EV / EBITDA):</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886"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22" w:type="dxa"/>
            <w:tcBorders/>
          </w:tcPr>
          <w:p>
            <w:pPr>
              <w:pStyle w:val="TableContents"/>
              <w:bidi w:val="0"/>
              <w:spacing w:before="0" w:after="0"/>
              <w:jc w:val="left"/>
              <w:rPr>
                <w:rFonts w:ascii="Times New Roman" w:hAnsi="Times New Roman"/>
                <w:sz w:val="20"/>
              </w:rPr>
            </w:pPr>
            <w:r>
              <w:rPr>
                <w:rFonts w:ascii="Times New Roman" w:hAnsi="Times New Roman"/>
                <w:sz w:val="20"/>
              </w:rPr>
              <w:t>No Synergies</w:t>
            </w:r>
          </w:p>
        </w:tc>
        <w:tc>
          <w:tcPr>
            <w:tcW w:w="3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right"/>
              <w:rPr/>
            </w:pPr>
            <w:r>
              <w:rPr/>
              <w:t>65.9</w:t>
            </w:r>
          </w:p>
        </w:tc>
        <w:tc>
          <w:tcPr>
            <w:tcW w:w="32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34.1%</w:t>
            </w:r>
          </w:p>
        </w:tc>
        <w:tc>
          <w:tcPr>
            <w:tcW w:w="65" w:type="dxa"/>
            <w:tcBorders/>
            <w:vAlign w:val="bottom"/>
          </w:tcPr>
          <w:p>
            <w:pPr>
              <w:pStyle w:val="TableContents"/>
              <w:bidi w:val="0"/>
              <w:spacing w:before="0" w:after="283"/>
              <w:jc w:val="left"/>
              <w:rPr/>
            </w:pPr>
            <w:r>
              <w:rPr/>
              <w:t> </w:t>
            </w:r>
          </w:p>
        </w:tc>
      </w:tr>
      <w:tr>
        <w:trPr/>
        <w:tc>
          <w:tcPr>
            <w:tcW w:w="46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Including Synergies</w:t>
            </w:r>
          </w:p>
        </w:tc>
        <w:tc>
          <w:tcPr>
            <w:tcW w:w="3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right"/>
              <w:rPr/>
            </w:pPr>
            <w:r>
              <w:rPr/>
              <w:t>31.0</w:t>
            </w:r>
          </w:p>
        </w:tc>
        <w:tc>
          <w:tcPr>
            <w:tcW w:w="32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53.0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16.0%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December 2025 DXL-Provided Financial Projections for DXL and FBB and the December 2025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15.00% – 17.00%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weighted average cost of capital) and (ii) 13.25% – 15.25%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89"/>
        <w:gridCol w:w="437"/>
        <w:gridCol w:w="183"/>
        <w:gridCol w:w="586"/>
        <w:gridCol w:w="78"/>
        <w:gridCol w:w="468"/>
        <w:gridCol w:w="183"/>
        <w:gridCol w:w="591"/>
        <w:gridCol w:w="60"/>
        <w:gridCol w:w="437"/>
        <w:gridCol w:w="141"/>
        <w:gridCol w:w="934"/>
        <w:gridCol w:w="285"/>
      </w:tblGrid>
      <w:tr>
        <w:trPr/>
        <w:tc>
          <w:tcPr>
            <w:tcW w:w="4189"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8287" w:type="dxa"/>
            <w:gridSpan w:val="12"/>
            <w:tcBorders/>
            <w:vAlign w:val="bottom"/>
          </w:tcPr>
          <w:p>
            <w:pPr>
              <w:pStyle w:val="TableContents"/>
              <w:bidi w:val="0"/>
              <w:spacing w:before="0" w:after="283"/>
              <w:jc w:val="center"/>
              <w:rPr>
                <w:b/>
                <w:sz w:val="20"/>
              </w:rPr>
            </w:pPr>
            <w:r>
              <w:rPr>
                <w:b/>
                <w:sz w:val="20"/>
              </w:rPr>
              <w:t>DXL DCF Accretion/(Dilution) Analysis</w:t>
            </w:r>
          </w:p>
        </w:tc>
        <w:tc>
          <w:tcPr>
            <w:tcW w:w="285" w:type="dxa"/>
            <w:tcBorders/>
            <w:vAlign w:val="bottom"/>
          </w:tcPr>
          <w:p>
            <w:pPr>
              <w:pStyle w:val="TableContents"/>
              <w:bidi w:val="0"/>
              <w:spacing w:before="0" w:after="283"/>
              <w:jc w:val="left"/>
              <w:rPr/>
            </w:pPr>
            <w:r>
              <w:rPr/>
              <w:t> </w:t>
            </w:r>
          </w:p>
        </w:tc>
      </w:tr>
      <w:tr>
        <w:trPr/>
        <w:tc>
          <w:tcPr>
            <w:tcW w:w="4189"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089"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pPr>
            <w:r>
              <w:rPr>
                <w:b/>
              </w:rPr>
              <w:t>% DCF</w:t>
              <w:br/>
              <w:t>Accretion/</w:t>
            </w:r>
            <w:r>
              <w:rPr/>
              <w:br/>
            </w:r>
            <w:r>
              <w:rPr>
                <w:b/>
              </w:rPr>
              <w:t>(Dilution)</w:t>
            </w:r>
          </w:p>
        </w:tc>
        <w:tc>
          <w:tcPr>
            <w:tcW w:w="285" w:type="dxa"/>
            <w:tcBorders/>
            <w:vAlign w:val="bottom"/>
          </w:tcPr>
          <w:p>
            <w:pPr>
              <w:pStyle w:val="TableContents"/>
              <w:bidi w:val="0"/>
              <w:spacing w:before="0" w:after="283"/>
              <w:jc w:val="left"/>
              <w:rPr/>
            </w:pPr>
            <w:r>
              <w:rPr/>
              <w:t> </w:t>
            </w:r>
          </w:p>
        </w:tc>
      </w:tr>
      <w:tr>
        <w:trPr/>
        <w:tc>
          <w:tcPr>
            <w:tcW w:w="4189" w:type="dxa"/>
            <w:tcBorders>
              <w:bottom w:val="single" w:sz="8" w:space="0" w:color="000000"/>
            </w:tcBorders>
            <w:tcMar>
              <w:bottom w:w="28" w:type="dxa"/>
            </w:tcMar>
            <w:vAlign w:val="bottom"/>
          </w:tcPr>
          <w:p>
            <w:pPr>
              <w:pStyle w:val="TableContents"/>
              <w:bidi w:val="0"/>
              <w:spacing w:before="0" w:after="20"/>
              <w:jc w:val="left"/>
              <w:rPr/>
            </w:pPr>
            <w:r>
              <w:rPr/>
              <w:t> </w:t>
            </w:r>
          </w:p>
        </w:tc>
        <w:tc>
          <w:tcPr>
            <w:tcW w:w="437" w:type="dxa"/>
            <w:tcBorders/>
            <w:vAlign w:val="bottom"/>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Midpoint</w:t>
            </w:r>
          </w:p>
        </w:tc>
        <w:tc>
          <w:tcPr>
            <w:tcW w:w="285" w:type="dxa"/>
            <w:tcBorders/>
            <w:vAlign w:val="bottom"/>
          </w:tcPr>
          <w:p>
            <w:pPr>
              <w:pStyle w:val="TableContents"/>
              <w:bidi w:val="0"/>
              <w:spacing w:before="0" w:after="283"/>
              <w:jc w:val="left"/>
              <w:rPr/>
            </w:pPr>
            <w:r>
              <w:rPr/>
              <w:t> </w:t>
            </w:r>
          </w:p>
        </w:tc>
      </w:tr>
      <w:tr>
        <w:trPr/>
        <w:tc>
          <w:tcPr>
            <w:tcW w:w="4189"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437"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6" w:type="dxa"/>
            <w:tcBorders/>
            <w:shd w:fill="CCEEFF" w:val="clear"/>
            <w:vAlign w:val="bottom"/>
          </w:tcPr>
          <w:p>
            <w:pPr>
              <w:pStyle w:val="TableContents"/>
              <w:bidi w:val="0"/>
              <w:spacing w:before="0" w:after="283"/>
              <w:jc w:val="right"/>
              <w:rPr/>
            </w:pPr>
            <w:r>
              <w:rPr/>
              <w:t>1.58</w:t>
            </w:r>
          </w:p>
        </w:tc>
        <w:tc>
          <w:tcPr>
            <w:tcW w:w="78"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1.88</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189"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302" w:type="dxa"/>
            <w:gridSpan w:val="4"/>
            <w:tcBorders/>
            <w:vAlign w:val="center"/>
          </w:tcPr>
          <w:p>
            <w:pPr>
              <w:pStyle w:val="TableContents"/>
              <w:bidi w:val="0"/>
              <w:spacing w:before="0" w:after="283"/>
              <w:jc w:val="left"/>
              <w:rPr>
                <w:sz w:val="4"/>
                <w:szCs w:val="4"/>
              </w:rPr>
            </w:pPr>
            <w:r>
              <w:rPr>
                <w:sz w:val="4"/>
                <w:szCs w:val="4"/>
              </w:rPr>
            </w:r>
          </w:p>
        </w:tc>
        <w:tc>
          <w:tcPr>
            <w:tcW w:w="1797" w:type="dxa"/>
            <w:gridSpan w:val="4"/>
            <w:tcBorders/>
            <w:vAlign w:val="center"/>
          </w:tcPr>
          <w:p>
            <w:pPr>
              <w:pStyle w:val="TableContents"/>
              <w:bidi w:val="0"/>
              <w:spacing w:before="0" w:after="283"/>
              <w:jc w:val="left"/>
              <w:rPr>
                <w:sz w:val="4"/>
                <w:szCs w:val="4"/>
              </w:rPr>
            </w:pPr>
            <w:r>
              <w:rPr>
                <w:sz w:val="4"/>
                <w:szCs w:val="4"/>
              </w:rPr>
            </w:r>
          </w:p>
        </w:tc>
      </w:tr>
      <w:tr>
        <w:trPr/>
        <w:tc>
          <w:tcPr>
            <w:tcW w:w="4189" w:type="dxa"/>
            <w:tcBorders/>
          </w:tcPr>
          <w:p>
            <w:pPr>
              <w:pStyle w:val="TableContents"/>
              <w:bidi w:val="0"/>
              <w:spacing w:before="0" w:after="283"/>
              <w:jc w:val="left"/>
              <w:rPr/>
            </w:pPr>
            <w:r>
              <w:rPr>
                <w:i/>
              </w:rPr>
              <w:t>Pro Forma</w:t>
            </w:r>
            <w:r>
              <w:rPr/>
              <w:t xml:space="preserve"> Combined Company DCF Valuation with $30 million of Synergies</w:t>
            </w:r>
          </w:p>
        </w:tc>
        <w:tc>
          <w:tcPr>
            <w:tcW w:w="437"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6" w:type="dxa"/>
            <w:tcBorders/>
            <w:vAlign w:val="bottom"/>
          </w:tcPr>
          <w:p>
            <w:pPr>
              <w:pStyle w:val="TableContents"/>
              <w:bidi w:val="0"/>
              <w:spacing w:before="0" w:after="283"/>
              <w:jc w:val="right"/>
              <w:rPr/>
            </w:pPr>
            <w:r>
              <w:rPr/>
              <w:t>2.84</w:t>
            </w:r>
          </w:p>
        </w:tc>
        <w:tc>
          <w:tcPr>
            <w:tcW w:w="78"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+87</w:t>
            </w:r>
          </w:p>
        </w:tc>
        <w:tc>
          <w:tcPr>
            <w:tcW w:w="28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$1.58 – $1.88 per share for purposes of evaluating DXL common stock on a </w:t>
      </w:r>
      <w:r>
        <w:rPr>
          <w:rFonts w:ascii="Times New Roman" w:hAnsi="Times New Roman"/>
          <w:i/>
          <w:sz w:val="20"/>
        </w:rPr>
        <w:t xml:space="preserve">status quo </w:t>
      </w:r>
      <w:r>
        <w:rPr>
          <w:rFonts w:ascii="Times New Roman" w:hAnsi="Times New Roman"/>
          <w:sz w:val="20"/>
        </w:rPr>
        <w:t xml:space="preserve">standalone intrinsic value basis and (ii)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December 2025 Opinion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opinion.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9"/>
        <w:gridCol w:w="784"/>
        <w:gridCol w:w="132"/>
        <w:gridCol w:w="972"/>
        <w:gridCol w:w="62"/>
      </w:tblGrid>
      <w:tr>
        <w:trPr/>
        <w:tc>
          <w:tcPr>
            <w:tcW w:w="4989" w:type="dxa"/>
            <w:tcBorders/>
            <w:vAlign w:val="center"/>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6877"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2" w:type="dxa"/>
            <w:tcBorders/>
            <w:vAlign w:val="bottom"/>
          </w:tcPr>
          <w:p>
            <w:pPr>
              <w:pStyle w:val="TableContents"/>
              <w:bidi w:val="0"/>
              <w:spacing w:before="0" w:after="283"/>
              <w:jc w:val="left"/>
              <w:rPr/>
            </w:pPr>
            <w:r>
              <w:rPr/>
              <w:t> </w:t>
            </w:r>
          </w:p>
        </w:tc>
      </w:tr>
      <w:tr>
        <w:trPr/>
        <w:tc>
          <w:tcPr>
            <w:tcW w:w="498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Trading</w:t>
            </w:r>
            <w:r>
              <w:rPr/>
              <w:br/>
            </w:r>
            <w:r>
              <w:rPr>
                <w:b/>
              </w:rPr>
              <w:t>Enterprise</w:t>
            </w:r>
            <w:r>
              <w:rPr/>
              <w:br/>
            </w:r>
            <w:r>
              <w:rPr>
                <w:b/>
              </w:rPr>
              <w:t>Value /</w:t>
            </w:r>
            <w:r>
              <w:rPr/>
              <w:br/>
            </w:r>
            <w:r>
              <w:rPr>
                <w:b/>
              </w:rPr>
              <w:t>CY2026E</w:t>
            </w:r>
            <w:r>
              <w:rPr/>
              <w:br/>
            </w:r>
            <w:r>
              <w:rPr>
                <w:b/>
              </w:rPr>
              <w:t>EBITDA</w:t>
            </w:r>
          </w:p>
        </w:tc>
        <w:tc>
          <w:tcPr>
            <w:tcW w:w="62" w:type="dxa"/>
            <w:tcBorders/>
            <w:vAlign w:val="bottom"/>
          </w:tcPr>
          <w:p>
            <w:pPr>
              <w:pStyle w:val="TableContents"/>
              <w:bidi w:val="0"/>
              <w:spacing w:before="0" w:after="283"/>
              <w:jc w:val="left"/>
              <w:rPr/>
            </w:pPr>
            <w:r>
              <w:rPr/>
              <w:t> </w:t>
            </w:r>
          </w:p>
        </w:tc>
      </w:tr>
      <w:tr>
        <w:trPr/>
        <w:tc>
          <w:tcPr>
            <w:tcW w:w="4989" w:type="dxa"/>
            <w:tcBorders>
              <w:bottom w:val="single" w:sz="8" w:space="0" w:color="000000"/>
            </w:tcBorders>
            <w:shd w:fill="CCEEFF" w:val="clear"/>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3.1x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3.6x</w:t>
            </w:r>
          </w:p>
        </w:tc>
        <w:tc>
          <w:tcPr>
            <w:tcW w:w="62" w:type="dxa"/>
            <w:tcBorders/>
            <w:shd w:fill="CCEEFF" w:val="clear"/>
            <w:vAlign w:val="bottom"/>
          </w:tcPr>
          <w:p>
            <w:pPr>
              <w:pStyle w:val="TableContents"/>
              <w:bidi w:val="0"/>
              <w:spacing w:before="0" w:after="283"/>
              <w:jc w:val="left"/>
              <w:rPr/>
            </w:pPr>
            <w:r>
              <w:rPr/>
              <w:t> </w:t>
            </w:r>
          </w:p>
        </w:tc>
      </w:tr>
      <w:tr>
        <w:trPr/>
        <w:tc>
          <w:tcPr>
            <w:tcW w:w="4989"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4.8x</w:t>
            </w:r>
          </w:p>
        </w:tc>
        <w:tc>
          <w:tcPr>
            <w:tcW w:w="62" w:type="dxa"/>
            <w:tcBorders/>
            <w:vAlign w:val="bottom"/>
          </w:tcPr>
          <w:p>
            <w:pPr>
              <w:pStyle w:val="TableContents"/>
              <w:bidi w:val="0"/>
              <w:spacing w:before="0" w:after="283"/>
              <w:jc w:val="left"/>
              <w:rPr/>
            </w:pPr>
            <w:r>
              <w:rPr/>
              <w:t> </w:t>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5.2x</w:t>
            </w:r>
          </w:p>
        </w:tc>
        <w:tc>
          <w:tcPr>
            <w:tcW w:w="62" w:type="dxa"/>
            <w:tcBorders/>
            <w:shd w:fill="CCEEFF" w:val="clear"/>
            <w:vAlign w:val="bottom"/>
          </w:tcPr>
          <w:p>
            <w:pPr>
              <w:pStyle w:val="TableContents"/>
              <w:bidi w:val="0"/>
              <w:spacing w:before="0" w:after="283"/>
              <w:jc w:val="left"/>
              <w:rPr/>
            </w:pPr>
            <w:r>
              <w:rPr/>
              <w:t> </w:t>
            </w:r>
          </w:p>
        </w:tc>
      </w:tr>
      <w:tr>
        <w:trPr>
          <w:trHeight w:val="120" w:hRule="atLeast"/>
        </w:trPr>
        <w:tc>
          <w:tcPr>
            <w:tcW w:w="4989" w:type="dxa"/>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r>
      <w:tr>
        <w:trPr/>
        <w:tc>
          <w:tcPr>
            <w:tcW w:w="4989" w:type="dxa"/>
            <w:tcBorders>
              <w:bottom w:val="single" w:sz="8" w:space="0" w:color="000000"/>
            </w:tcBorders>
            <w:tcMar>
              <w:bottom w:w="28" w:type="dxa"/>
            </w:tcMar>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784"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784"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5.2x and applied such trading multiples to the December 2025 DXL-Provided Financial Projections for DXL.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$0.79 – $1.00 per share for purposes of evaluating DXL common stock on a standalone basis.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($48.3) million – $33.1 million for purposes of evaluating FBB’s common stock on a standalone basis.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December 9, 2024 through December 9, 2025 (the last trading day prior to the announcement of the merger), and Guggenheim Securities noted that DXL common stock generally had traded in a range of approximately $0.88 – $3.10 per share.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December 9, 2025 (the last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trading day prior to the announcement of the merger) and Guggenheim Securities noted that such Wall Street equity research analyst stock price targets for DXL common stock were $1.30 – $2.00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December 2025 Opinion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its financial analyses or providing the December 2025 Opinion. The type and amount of consideration payable in the merger were determined through negotiations between DXL and FBB and were approved by the DXL Board. The decision to enter into the merger agreement was solely that of the DXL Board. The December 2025 Opinion, which was rendered only on and as of December 10, 2025 and has not been and will not be updated, was just one of the many factors taken into consideration by the DXL Board. DXL stockholders should not rely on the December 2025 Opinion and it does not constitute advice or a recommendation to any DXL stockholder as to how any DXL stockholder should vote or act in connection with the merger or otherwise. Consequently, Guggenheim Securities’ financial analyses should not be viewed as determinative of the decision of the DXL Board with respect to the fairness, from a financial point of view, to DXL’s stockholders of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and (ii) a cash work fee of $250,000 that became payable in May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rendering of the December 2025 Opinion to provide financial advisory or investment banking services for which Guggenheim Securities received fees. Guggenheim Securities has not been previously engaged by FBB during the two years prior to the rendering of the December 2025 Opinion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other participants in the merger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other participants in the merger or their respective affiliates. Furthermore, Guggenheim Securities and its affiliates and related entities and its or their respective directors, officers, employees, consultants and agents may have investments in DXL, FBB, other participants in the merger or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other participants in the merger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0" w:name="tx76201_17a"/>
      <w:bookmarkEnd w:id="20"/>
      <w:r>
        <w:rPr>
          <w:rFonts w:ascii="Times New Roman" w:hAnsi="Times New Roman"/>
          <w:b/>
          <w:sz w:val="20"/>
        </w:rPr>
        <w:t xml:space="preserve">May 2026 Supplemental Financial Analyses Prepared by Guggenheim Securities, Financial Advisor to DXL </w:t>
      </w:r>
    </w:p>
    <w:p>
      <w:pPr>
        <w:pStyle w:val="TextBody"/>
        <w:bidi w:val="0"/>
        <w:spacing w:before="120" w:after="0"/>
        <w:jc w:val="left"/>
        <w:rPr>
          <w:rFonts w:ascii="Times New Roman" w:hAnsi="Times New Roman"/>
          <w:b/>
          <w:i/>
          <w:sz w:val="20"/>
        </w:rPr>
      </w:pPr>
      <w:r>
        <w:rPr>
          <w:rFonts w:ascii="Times New Roman" w:hAnsi="Times New Roman"/>
          <w:b/>
          <w:i/>
          <w:sz w:val="20"/>
        </w:rPr>
        <w:t xml:space="preserve">Overview of the May 2026 Supplemental Financial Analyses </w:t>
      </w:r>
    </w:p>
    <w:p>
      <w:pPr>
        <w:pStyle w:val="TextBody"/>
        <w:bidi w:val="0"/>
        <w:spacing w:before="120" w:after="0"/>
        <w:jc w:val="left"/>
        <w:rPr>
          <w:rFonts w:ascii="Times New Roman" w:hAnsi="Times New Roman"/>
          <w:b/>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Guggenheim Securities advised the DXL Board that, in light of the May 2026 DXL-Provided Financial Projections, the May 2026 Synergy Estimates 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 </w:t>
      </w:r>
    </w:p>
    <w:p>
      <w:pPr>
        <w:pStyle w:val="TextBody"/>
        <w:bidi w:val="0"/>
        <w:spacing w:before="240" w:after="0"/>
        <w:jc w:val="left"/>
        <w:rPr>
          <w:rFonts w:ascii="Times New Roman" w:hAnsi="Times New Roman"/>
          <w:b/>
          <w:sz w:val="20"/>
        </w:rPr>
      </w:pPr>
      <w:r>
        <w:rPr>
          <w:rFonts w:ascii="Times New Roman" w:hAnsi="Times New Roman"/>
          <w:b/>
          <w:sz w:val="20"/>
        </w:rPr>
        <w:t xml:space="preserve">The December 2025 Opinion was rendered only on and as of December 10, 2025 and has not been and will not be updated. DXL stockholders should not rely on the December 2025 Opinion and it does not constitute advice or a recommendation to any DXL stockholder as to how any DXL stockholder should vote or act in connection with the merger or otherwise. Similarly, the May 2026 Supplemental Financial Analyses do not constitute advice or a recommendation to any DXL stockholder as to how any DXL stockholder should vote or act in connection with the merger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The May 2026 Supplemental Financial Analyses were provided to the DXL Board (in its capacity as such) for its information and assistance in connection with its ongoing evaluation of the merger. The May 2026 Supplemental Financial Analyses do not constitute an opinion, view, report 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DXL Board’s ongoing evaluation of the merger, DXL’s senior management updated (i) the December 2025 DXL-Provided Financial Projections (comprised of (w) certain updated financial projections for DXL on a standalone basis for the fiscal years ending January 31, 2026 through January 31, 2035, (x) certain updated financial projections for FBB on a standalone basis for the calendar years ending December 31, 2025 through December 31, 2034, (y) certain updated estimates as to potentially realizable existing net operating loss carry-forwards expected to be utilized by DXL and (z) certain updated estimates as to potentially realizable benefits under Section 163(j) of the Code available and expected to be utilized by FBB) and (ii) the December 2025 Synergy Estimates, all as prepared by, discussed with and approved for Guggenheim Securities’ use by DXL’s senior management (each of the foregoing as so updated, the “May 2026 DXL-Provided Financial Projections” and the “May 2026 Synergy Estimates” or the “May 2026 Synergies”). In addition, FBB’s senior management updated the December 2025 FBB-Provided Financial Projections, as prepared by FBB’s senior management and discussed with DXL’s and FBB’s respective senior management (as so updated, the “May 2026 FBB-Provided Financial Projections”). Guggenheim Securities was directed by the DXL Board to rely upon the May 2026 DXL-Provided Financial Projections and the May 2026 Synergy Estimates in connection with the preparation of the May 2026 Supplemental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express any view or opinion as to (i) the prices at which the shares of common stock or other securities or financial instruments of or relating to DXL or FBB may trade or otherwise be transferable at any time, (ii) the potential effects of volatility in the credit, financial or equity markets on DXL or FBB, their respective securities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instruments or the merger or (iii) the impact of the merger on the solvency or viability of DXL, FBB or merger subsidiary or the ability of DXL, FBB or merger subsidiary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To facilitate the DXL Board’s ongoing evaluation of the merger following DXL senior management’s updates to the December 2025 DXL-Provided Financial Projections, representatives of Guggenheim Securities prepared and reviewed with the DXL Board certain financial analyses,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Discounted cash flow analyses with respect to DXL, FBB and the May 2026 Synergies based on the May 2026 DXL-Provided Financial Projections and the May 2026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selected public company trading analysis that compared the financial performance of DXL and FBB and certain trading multiples and the trading activity of DXL common stock with corresponding data for certain publicly traded companies that Guggenheim Securities deemed relevant in evaluating DXL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certain Wall Street equity research price targets for the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review of the historical prices, certain trading multiples and the trading activity of DXL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studies, analyses, inquiries and investigations as Guggenheim Securities deemed appropriate (the foregoing, collectively, the “May 2026 Supplemental Financial Analyses”).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DXL’s senior management their then-current strategic and financial rationale for the merger as well as their then-current views regarding DXL’s and FBB’s respective businesses, operations, recent and projected financial results, liquidity, funding needs, access to capital and future prospects and the commercial and competitive dynamics in the consumer sector;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then-current views regarding FBB’s business, operations, projected financial results and future prospects.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together with DXL’s senior management and Guggenheim Securities, discussed the limitations of the May 2026 Supplemental Financial Analyses, including,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DXL-Provided Financial Projections and the May 2026 Synergy Estimates were not prepared with a view toward public disclosure, were inherently subject to significant judgment and uncertainty and were necessarily based on numerous variables and assumptions that were beyond DXL’s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the May 2026 Supplemental Financial Analyses should be assessed as a whole rather than individually;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particularly those based on estimates and projections, were not necessarily indicative of actual values or actual future results, which may be significantly more or less favorable than suggested by such financial analyses;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2026 Supplemental Financial Analyses did not purport to be appraisals or reflect the prices at which the DXL common stock may trade at the present time or at any time in the future.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conducting the May 2026 Supplemental Financial Analyses, Guggenheim Securities noted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relied upon and assumed the accuracy, completeness and reasonableness of all industry, business, financial, legal, regulatory, tax, accounting, actuarial and other information provided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or discussed with DXL or FBB (including, without limitation, the May 2026 DXL-Provided Financial Projections, the May 2026 Synergy Estimates and the May 2026 FBB-Provided Financial Projections)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did not assume any responsibility, obligation or liability for the accuracy, completeness, reasonableness, achievability or independent verification of, and Guggenheim Securities did not independently verify, any such information (including, without limitation, the May 2026 DXL-Provided Financial Projections, the May 2026 Synergy Estimates and the May 2026 FBB-Provided Financial Projections), (ii) expressed no view or opinion regarding the reasonableness or achievability of the May 2026 DXL-Provided Financial Projections, the May 2026 Synergy Estimates or the May 2026 FBB-Provided Financial Projections, any other estimates or any other forward-looking information provided by DXL or FBB or the assumptions upon which any of the foregoing were based and (iii) relied upon the assurances of DXL’s senior management that they were (in the case of the May 2026 DXL-Provided Financial Projections and the May 2026 Synergy Estimates) and assumed that FBB’s senior management were (in the case of the May 2026 FBB-Provided Financial Projections) unaware of any facts or circumstances that had made such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(i) was advised by DXL’s senior management, and assumed, that the May 2026 DXL-Provided Financial Projections had been (y) reasonably prepared on bases reflecting the then-best currently available estimates and judgments of DXL’s senior management as to the expected future performance of DXL and FBB and (z) reviewed by the DXL Board with the understanding that such information would be used and relied upon by Guggenheim Securities in connection with performing the May 2026 Supplemental Financial Analyses, (ii) was advised by DXL’s senior management, and assumed, that the May 2026 Synergy Estimates had been (y) reasonably prepared on bases reflecting the then-best currently available estimates and judgments of DXL’s senior management as to the expected amounts and realization of the May 2026 Synergies and (z) reviewed by the DXL Board with the understanding that such information would be used and relied upon by Guggenheim Securities in connection with performing the May 2026 Supplemental Financial Analyses, (iii) assumed that the May 2026 FBB-Provided Financial Projections had been reasonably prepared on bases reflecting the then-best currently available estimates and judgments of FBB’s senior management as to the expected future performance of FBB on a standalone basis and (iv) assumed that any financial projections/forecasts, any other estimates and/or any other forward-looking information obtained by Guggenheim Securities from public sources, data suppliers and other third parties were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May 2026 Supplemental Financial Analyses, Guggenheim Securities did not perform or obtain any independent appraisal of the assets or liabilities (including any contingent, derivative or off-balance sheet assets and liabilities) of DXL, FBB or any other entity, or the solvency or fair value of DXL, FBB or any other entity. Guggenheim Securities’ professionals are not legal, regulatory, tax, consulting, accounting, appraisal or actuarial experts, and the May 2026 Supplemental Financial Analyses should not be construed as constituting advice with respect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noted below, all of Guggenheim Securities’ financial analyses regarding FBB reflect the $92 million debt/equitization that FBB is obligated to effect under the terms and conditions of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DXL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DXL Standalone Financial Analyses. </w:t>
      </w:r>
      <w:r>
        <w:rPr>
          <w:rFonts w:ascii="Times New Roman" w:hAnsi="Times New Roman"/>
          <w:sz w:val="20"/>
        </w:rPr>
        <w:t xml:space="preserve">In evaluating DXL in connection with conducting the May 2026 Supplemental Financial Analyses, Guggenheim Securities performed various financial analyses which are summarized in the table below and described in more detail elsewhere herein, including discounted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146"/>
        <w:gridCol w:w="362"/>
        <w:gridCol w:w="183"/>
        <w:gridCol w:w="579"/>
        <w:gridCol w:w="78"/>
        <w:gridCol w:w="394"/>
        <w:gridCol w:w="183"/>
        <w:gridCol w:w="583"/>
        <w:gridCol w:w="64"/>
      </w:tblGrid>
      <w:tr>
        <w:trPr/>
        <w:tc>
          <w:tcPr>
            <w:tcW w:w="614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8508" w:type="dxa"/>
            <w:gridSpan w:val="8"/>
            <w:tcBorders/>
            <w:vAlign w:val="bottom"/>
          </w:tcPr>
          <w:p>
            <w:pPr>
              <w:pStyle w:val="TableContents"/>
              <w:bidi w:val="0"/>
              <w:spacing w:before="0" w:after="283"/>
              <w:jc w:val="center"/>
              <w:rPr>
                <w:b/>
                <w:sz w:val="20"/>
              </w:rPr>
            </w:pPr>
            <w:r>
              <w:rPr>
                <w:b/>
                <w:sz w:val="20"/>
              </w:rPr>
              <w:t>Recap of DXL Standalone Financial Analyses</w:t>
            </w:r>
          </w:p>
        </w:tc>
        <w:tc>
          <w:tcPr>
            <w:tcW w:w="64" w:type="dxa"/>
            <w:tcBorders/>
            <w:vAlign w:val="bottom"/>
          </w:tcPr>
          <w:p>
            <w:pPr>
              <w:pStyle w:val="TableContents"/>
              <w:bidi w:val="0"/>
              <w:spacing w:before="0" w:after="283"/>
              <w:jc w:val="left"/>
              <w:rPr/>
            </w:pPr>
            <w:r>
              <w:rPr/>
              <w:t> </w:t>
            </w:r>
          </w:p>
        </w:tc>
      </w:tr>
      <w:tr>
        <w:trPr/>
        <w:tc>
          <w:tcPr>
            <w:tcW w:w="6146"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 on</w:t>
              <w:br/>
              <w:t>a Standalone</w:t>
              <w:br/>
              <w:t>Basis</w:t>
            </w:r>
            <w:r>
              <w:rPr/>
              <w:br/>
            </w:r>
            <w:r>
              <w:rPr>
                <w:i/>
              </w:rPr>
              <w:t>($ per share)</w:t>
            </w:r>
          </w:p>
        </w:tc>
        <w:tc>
          <w:tcPr>
            <w:tcW w:w="64" w:type="dxa"/>
            <w:tcBorders/>
            <w:vAlign w:val="bottom"/>
          </w:tcPr>
          <w:p>
            <w:pPr>
              <w:pStyle w:val="TableContents"/>
              <w:bidi w:val="0"/>
              <w:spacing w:before="0" w:after="283"/>
              <w:jc w:val="left"/>
              <w:rPr/>
            </w:pPr>
            <w:r>
              <w:rPr/>
              <w:t> </w:t>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2" w:type="dxa"/>
            <w:tcBorders/>
            <w:vAlign w:val="bottom"/>
          </w:tcPr>
          <w:p>
            <w:pPr>
              <w:pStyle w:val="TableContents"/>
              <w:bidi w:val="0"/>
              <w:spacing w:before="0" w:after="283"/>
              <w:jc w:val="left"/>
              <w:rPr/>
            </w:pPr>
            <w:r>
              <w:rPr/>
              <w:t>  </w:t>
            </w:r>
          </w:p>
        </w:tc>
        <w:tc>
          <w:tcPr>
            <w:tcW w:w="7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DCF Valuation</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1.21</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DCF Valuation Including Net Operating Loss Tax Benefit</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1.53</w:t>
            </w:r>
          </w:p>
        </w:tc>
        <w:tc>
          <w:tcPr>
            <w:tcW w:w="64" w:type="dxa"/>
            <w:tcBorders/>
            <w:shd w:fill="CCEEFF" w:val="clear"/>
            <w:vAlign w:val="bottom"/>
          </w:tcPr>
          <w:p>
            <w:pPr>
              <w:pStyle w:val="TableContents"/>
              <w:bidi w:val="0"/>
              <w:spacing w:before="0" w:after="283"/>
              <w:jc w:val="left"/>
              <w:rPr/>
            </w:pPr>
            <w:r>
              <w:rPr/>
              <w:t> </w:t>
            </w:r>
          </w:p>
        </w:tc>
      </w:tr>
      <w:tr>
        <w:trPr>
          <w:trHeight w:val="240" w:hRule="atLeast"/>
        </w:trPr>
        <w:tc>
          <w:tcPr>
            <w:tcW w:w="6146" w:type="dxa"/>
            <w:tcBorders/>
            <w:vAlign w:val="center"/>
          </w:tcPr>
          <w:p>
            <w:pPr>
              <w:pStyle w:val="TableContents"/>
              <w:bidi w:val="0"/>
              <w:spacing w:before="0" w:after="283"/>
              <w:jc w:val="left"/>
              <w:rPr>
                <w:sz w:val="4"/>
                <w:szCs w:val="4"/>
              </w:rPr>
            </w:pPr>
            <w:r>
              <w:rPr>
                <w:sz w:val="4"/>
                <w:szCs w:val="4"/>
              </w:rPr>
            </w:r>
          </w:p>
        </w:tc>
        <w:tc>
          <w:tcPr>
            <w:tcW w:w="1202" w:type="dxa"/>
            <w:gridSpan w:val="4"/>
            <w:tcBorders/>
            <w:vAlign w:val="center"/>
          </w:tcPr>
          <w:p>
            <w:pPr>
              <w:pStyle w:val="TableContents"/>
              <w:bidi w:val="0"/>
              <w:spacing w:before="0" w:after="283"/>
              <w:jc w:val="left"/>
              <w:rPr>
                <w:sz w:val="4"/>
                <w:szCs w:val="4"/>
              </w:rPr>
            </w:pPr>
            <w:r>
              <w:rPr>
                <w:sz w:val="4"/>
                <w:szCs w:val="4"/>
              </w:rPr>
            </w:r>
          </w:p>
        </w:tc>
        <w:tc>
          <w:tcPr>
            <w:tcW w:w="1224" w:type="dxa"/>
            <w:gridSpan w:val="4"/>
            <w:tcBorders/>
            <w:vAlign w:val="center"/>
          </w:tcPr>
          <w:p>
            <w:pPr>
              <w:pStyle w:val="TableContents"/>
              <w:bidi w:val="0"/>
              <w:spacing w:before="0" w:after="283"/>
              <w:jc w:val="left"/>
              <w:rPr>
                <w:sz w:val="4"/>
                <w:szCs w:val="4"/>
              </w:rPr>
            </w:pPr>
            <w:r>
              <w:rPr>
                <w:sz w:val="4"/>
                <w:szCs w:val="4"/>
              </w:rPr>
            </w:r>
          </w:p>
        </w:tc>
      </w:tr>
      <w:tr>
        <w:trPr/>
        <w:tc>
          <w:tcPr>
            <w:tcW w:w="614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1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79" w:type="dxa"/>
            <w:tcBorders/>
            <w:shd w:fill="CCEEFF" w:val="clear"/>
            <w:vAlign w:val="bottom"/>
          </w:tcPr>
          <w:p>
            <w:pPr>
              <w:pStyle w:val="TableContents"/>
              <w:bidi w:val="0"/>
              <w:spacing w:before="0" w:after="283"/>
              <w:jc w:val="left"/>
              <w:rPr>
                <w:sz w:val="4"/>
                <w:szCs w:val="4"/>
              </w:rPr>
            </w:pPr>
            <w:r>
              <w:rPr>
                <w:sz w:val="4"/>
                <w:szCs w:val="4"/>
              </w:rPr>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146" w:type="dxa"/>
            <w:tcBorders/>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Wall Street Consensus Estimates</w:t>
            </w:r>
          </w:p>
        </w:tc>
        <w:tc>
          <w:tcPr>
            <w:tcW w:w="362"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79" w:type="dxa"/>
            <w:tcBorders/>
            <w:vAlign w:val="bottom"/>
          </w:tcPr>
          <w:p>
            <w:pPr>
              <w:pStyle w:val="TableContents"/>
              <w:bidi w:val="0"/>
              <w:spacing w:before="0" w:after="283"/>
              <w:jc w:val="right"/>
              <w:rPr/>
            </w:pPr>
            <w:r>
              <w:rPr/>
              <w:t>0.48</w:t>
            </w:r>
          </w:p>
        </w:tc>
        <w:tc>
          <w:tcPr>
            <w:tcW w:w="78"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0.73</w:t>
            </w:r>
          </w:p>
        </w:tc>
        <w:tc>
          <w:tcPr>
            <w:tcW w:w="64" w:type="dxa"/>
            <w:tcBorders/>
            <w:vAlign w:val="bottom"/>
          </w:tcPr>
          <w:p>
            <w:pPr>
              <w:pStyle w:val="TableContents"/>
              <w:bidi w:val="0"/>
              <w:spacing w:before="0" w:after="283"/>
              <w:jc w:val="left"/>
              <w:rPr/>
            </w:pPr>
            <w:r>
              <w:rPr/>
              <w:t> </w:t>
            </w:r>
          </w:p>
        </w:tc>
      </w:tr>
      <w:tr>
        <w:trPr/>
        <w:tc>
          <w:tcPr>
            <w:tcW w:w="61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Standalone Public Market Trading Valuation Based on DXL Management Projections</w:t>
            </w:r>
          </w:p>
        </w:tc>
        <w:tc>
          <w:tcPr>
            <w:tcW w:w="362"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79" w:type="dxa"/>
            <w:tcBorders/>
            <w:shd w:fill="CCEEFF" w:val="clear"/>
            <w:vAlign w:val="bottom"/>
          </w:tcPr>
          <w:p>
            <w:pPr>
              <w:pStyle w:val="TableContents"/>
              <w:bidi w:val="0"/>
              <w:spacing w:before="0" w:after="283"/>
              <w:jc w:val="right"/>
              <w:rPr/>
            </w:pPr>
            <w:r>
              <w:rPr/>
              <w:t>0.63</w:t>
            </w:r>
          </w:p>
        </w:tc>
        <w:tc>
          <w:tcPr>
            <w:tcW w:w="78"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1.06</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May 2026 DXL DCF Analysis</w:t>
      </w:r>
      <w:r>
        <w:rPr>
          <w:rFonts w:ascii="Times New Roman" w:hAnsi="Times New Roman"/>
          <w:sz w:val="20"/>
        </w:rPr>
        <w:t xml:space="preserve">. Guggenheim Securities performed standalone discounted cash flow analysis of DXL based on projected unlevered free cash flows (after deduction of stock-based compensation) for DXL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15.25% – 17.25% based on its estimate of DXL’s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$1.21 – $1.42 per share for purposes of evaluating DXL common stock on a standalone intrinsic-value basis and (ii) $1.30 – $1.53 per share for purposes of evaluating DXL common stock on an intrinsic-value basis including the net present value of expected net operating loss tax benefits, as compared to (a) $1.50 – $1.79 per share and (b) $1.58 – $1.88 per share,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FBB Standalone Financial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i/>
          <w:sz w:val="20"/>
        </w:rPr>
        <w:t xml:space="preserve">Recap of FBB Standalone Financial Analyses. </w:t>
      </w:r>
      <w:r>
        <w:rPr>
          <w:rFonts w:ascii="Times New Roman" w:hAnsi="Times New Roman"/>
          <w:sz w:val="20"/>
        </w:rPr>
        <w:t xml:space="preserve">In evaluating FBB in connection with conducting the May 2026 Supplemental Financial Analyses, Guggenheim Securities performed various financial analyses which are summarized in the table below and described in more detail elsewhere herein, including discounted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Solely for informational reference purposes, Guggenheim Securities also reviewed the selected publicly traded companies described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030"/>
        <w:gridCol w:w="364"/>
        <w:gridCol w:w="245"/>
        <w:gridCol w:w="499"/>
        <w:gridCol w:w="176"/>
        <w:gridCol w:w="378"/>
        <w:gridCol w:w="68"/>
        <w:gridCol w:w="654"/>
        <w:gridCol w:w="158"/>
      </w:tblGrid>
      <w:tr>
        <w:trPr/>
        <w:tc>
          <w:tcPr>
            <w:tcW w:w="603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414" w:type="dxa"/>
            <w:gridSpan w:val="8"/>
            <w:tcBorders/>
            <w:vAlign w:val="bottom"/>
          </w:tcPr>
          <w:p>
            <w:pPr>
              <w:pStyle w:val="TableContents"/>
              <w:bidi w:val="0"/>
              <w:spacing w:before="0" w:after="283"/>
              <w:jc w:val="center"/>
              <w:rPr>
                <w:b/>
                <w:sz w:val="20"/>
              </w:rPr>
            </w:pPr>
            <w:r>
              <w:rPr>
                <w:b/>
                <w:sz w:val="20"/>
              </w:rPr>
              <w:t>Recap of FBB Standalone Financial Analyses</w:t>
            </w:r>
          </w:p>
        </w:tc>
        <w:tc>
          <w:tcPr>
            <w:tcW w:w="158" w:type="dxa"/>
            <w:tcBorders/>
            <w:vAlign w:val="bottom"/>
          </w:tcPr>
          <w:p>
            <w:pPr>
              <w:pStyle w:val="TableContents"/>
              <w:bidi w:val="0"/>
              <w:spacing w:before="0" w:after="283"/>
              <w:jc w:val="left"/>
              <w:rPr/>
            </w:pPr>
            <w:r>
              <w:rPr/>
              <w:t> </w:t>
            </w:r>
          </w:p>
        </w:tc>
      </w:tr>
      <w:tr>
        <w:trPr/>
        <w:tc>
          <w:tcPr>
            <w:tcW w:w="603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FBB on</w:t>
              <w:br/>
              <w:t>a Standalone</w:t>
              <w:br/>
              <w:t>Basis</w:t>
            </w:r>
            <w:r>
              <w:rPr/>
              <w:br/>
            </w:r>
            <w:r>
              <w:rPr>
                <w:i/>
              </w:rPr>
              <w:t>($ in millions)</w:t>
            </w:r>
          </w:p>
        </w:tc>
        <w:tc>
          <w:tcPr>
            <w:tcW w:w="158" w:type="dxa"/>
            <w:tcBorders/>
            <w:vAlign w:val="bottom"/>
          </w:tcPr>
          <w:p>
            <w:pPr>
              <w:pStyle w:val="TableContents"/>
              <w:bidi w:val="0"/>
              <w:spacing w:before="0" w:after="283"/>
              <w:jc w:val="left"/>
              <w:rPr/>
            </w:pPr>
            <w:r>
              <w:rPr/>
              <w:t> </w:t>
            </w:r>
          </w:p>
        </w:tc>
      </w:tr>
      <w:tr>
        <w:trPr/>
        <w:tc>
          <w:tcPr>
            <w:tcW w:w="603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364" w:type="dxa"/>
            <w:tcBorders/>
            <w:vAlign w:val="bottom"/>
          </w:tcPr>
          <w:p>
            <w:pPr>
              <w:pStyle w:val="TableContents"/>
              <w:bidi w:val="0"/>
              <w:spacing w:before="0" w:after="283"/>
              <w:jc w:val="left"/>
              <w:rPr/>
            </w:pPr>
            <w:r>
              <w:rPr/>
              <w:t>  </w:t>
            </w:r>
          </w:p>
        </w:tc>
        <w:tc>
          <w:tcPr>
            <w:tcW w:w="7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Discounted Cash Flow Analysis:</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FBB Standalone DCF Valuation</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DCF Valuation Including</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sz w:val="20"/>
              </w:rPr>
            </w:pPr>
            <w:r>
              <w:rPr>
                <w:rFonts w:ascii="Times New Roman" w:hAnsi="Times New Roman"/>
                <w:sz w:val="20"/>
              </w:rPr>
              <w:t>§163(j) Tax Benefit</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499" w:type="dxa"/>
            <w:tcBorders/>
            <w:vAlign w:val="bottom"/>
          </w:tcPr>
          <w:p>
            <w:pPr>
              <w:pStyle w:val="TableContents"/>
              <w:bidi w:val="0"/>
              <w:spacing w:before="0" w:after="283"/>
              <w:jc w:val="right"/>
              <w:rPr/>
            </w:pPr>
            <w:r>
              <w:rPr/>
              <w:t>22.5</w:t>
            </w:r>
          </w:p>
        </w:tc>
        <w:tc>
          <w:tcPr>
            <w:tcW w:w="176"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rHeight w:val="240" w:hRule="atLeast"/>
        </w:trPr>
        <w:tc>
          <w:tcPr>
            <w:tcW w:w="6030" w:type="dxa"/>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258" w:type="dxa"/>
            <w:gridSpan w:val="4"/>
            <w:tcBorders/>
            <w:vAlign w:val="center"/>
          </w:tcPr>
          <w:p>
            <w:pPr>
              <w:pStyle w:val="TableContents"/>
              <w:bidi w:val="0"/>
              <w:spacing w:before="0" w:after="283"/>
              <w:jc w:val="left"/>
              <w:rPr>
                <w:sz w:val="4"/>
                <w:szCs w:val="4"/>
              </w:rPr>
            </w:pPr>
            <w:r>
              <w:rPr>
                <w:sz w:val="4"/>
                <w:szCs w:val="4"/>
              </w:rPr>
            </w:r>
          </w:p>
        </w:tc>
      </w:tr>
      <w:tr>
        <w:trPr/>
        <w:tc>
          <w:tcPr>
            <w:tcW w:w="6030" w:type="dxa"/>
            <w:tcBorders>
              <w:bottom w:val="single" w:sz="8" w:space="0" w:color="000000"/>
            </w:tcBorders>
            <w:shd w:fill="CCEEFF" w:val="clear"/>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sz w:val="4"/>
                <w:szCs w:val="4"/>
              </w:rPr>
            </w:pPr>
            <w:r>
              <w:rPr>
                <w:sz w:val="4"/>
                <w:szCs w:val="4"/>
              </w:rPr>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030"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36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sz w:val="4"/>
                <w:szCs w:val="4"/>
              </w:rPr>
            </w:pPr>
            <w:r>
              <w:rPr>
                <w:sz w:val="4"/>
                <w:szCs w:val="4"/>
              </w:rPr>
            </w:r>
          </w:p>
        </w:tc>
        <w:tc>
          <w:tcPr>
            <w:tcW w:w="499"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FBB Standalone Public Market Trading Valuation</w:t>
            </w:r>
          </w:p>
        </w:tc>
        <w:tc>
          <w:tcPr>
            <w:tcW w:w="36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499" w:type="dxa"/>
            <w:tcBorders/>
            <w:shd w:fill="CCEEFF" w:val="clear"/>
            <w:vAlign w:val="bottom"/>
          </w:tcPr>
          <w:p>
            <w:pPr>
              <w:pStyle w:val="TableContents"/>
              <w:bidi w:val="0"/>
              <w:spacing w:before="0" w:after="283"/>
              <w:jc w:val="right"/>
              <w:rPr/>
            </w:pPr>
            <w:r>
              <w:rPr/>
              <w:t>61.8</w:t>
            </w:r>
          </w:p>
        </w:tc>
        <w:tc>
          <w:tcPr>
            <w:tcW w:w="17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right"/>
              <w:rPr/>
            </w:pPr>
            <w:r>
              <w:rPr/>
              <w:t>$86.4</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 xml:space="preserve">May 2026 FBB DCF Analysis. </w:t>
      </w:r>
      <w:r>
        <w:rPr>
          <w:rFonts w:ascii="Times New Roman" w:hAnsi="Times New Roman"/>
          <w:sz w:val="20"/>
        </w:rPr>
        <w:t xml:space="preserve">Guggenheim Securities performed standalone discounted cash flow analysis of FBB based on projected unlevered free cash flows (after deduction of stock-based compensation) for FBB and an estimate of its terminal/continuing value at the end of the projection horizon. Guggenheim Securities also performed discounted cash flow analysis of the net synergies expected to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discounted cash flow analysis with respect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utilized the May 2026 DXL-Provided Financial Projections for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a discount rate range of 14.75% – 16.75% based on its estimate of FBB’s weighted average cost of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FBB’s terminal/continuing value, Guggenheim Securities used a reference range of perpetual growth rates of FBB’s terminal year normalized unlevered free cash flow of 0.00% – 1.00%. The terminal/continuing values implied by the foregoing perpetual growth rate reference range were cross-checked for reasonableness by reference to FBB’s implied terminal year EBITDA multiples.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discounted cash flow analysis resulted in an overall reference range of (i) ($22.5) million – ($3.5) million for purposes of evaluating FBB’s common stock on a standalone intrinsic-value basis and (ii) ($22.5) million – ($3.5) million for purposes of evaluating FBB’s common stock on an intrinsic-value basis including the net present value of expected §163(j) tax benefits, as compared to overall reference ranges of (a) $97.3 million – $144.8 million and (b) $107.0 million – $155.3 million, respectively,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Relative Valuation Analyses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assessing the value of DXL and FBB in connection with the May 2026 Supplemental Financial Analyses, Guggenheim Securities performed various relative valuation financial analyses which are summarized below. Solely for informational reference purposes, Guggenheim Securities also reviewed the implied ownership percentage derived using a selected publicly traded companies analysis. </w:t>
      </w:r>
    </w:p>
    <w:p>
      <w:pPr>
        <w:pStyle w:val="TextBody"/>
        <w:bidi w:val="0"/>
        <w:spacing w:before="240" w:after="0"/>
        <w:jc w:val="left"/>
        <w:rPr>
          <w:rFonts w:ascii="Times New Roman" w:hAnsi="Times New Roman"/>
          <w:sz w:val="20"/>
        </w:rPr>
      </w:pPr>
      <w:r>
        <w:rPr>
          <w:rFonts w:ascii="Times New Roman" w:hAnsi="Times New Roman"/>
          <w:i/>
          <w:sz w:val="20"/>
        </w:rPr>
        <w:t>DXL Implied Ownership Analysis.</w:t>
      </w:r>
      <w:r>
        <w:rPr>
          <w:rFonts w:ascii="Times New Roman" w:hAnsi="Times New Roman"/>
          <w:sz w:val="20"/>
        </w:rPr>
        <w:t xml:space="preserve"> In assessing implied ownership percentages for DXL’s stockholders and FBB’s stockholders (in each case as implied by the exchange ratio), Guggenheim Securities derived valuation reference ranges for the ownership percentages of DXL and FBB, respectively, using the financial methodology described in the captions “</w:t>
      </w:r>
      <w:r>
        <w:rPr>
          <w:rFonts w:ascii="Times New Roman" w:hAnsi="Times New Roman"/>
          <w:i/>
          <w:sz w:val="20"/>
        </w:rPr>
        <w:t>May</w:t>
      </w:r>
      <w:r>
        <w:rPr>
          <w:rFonts w:ascii="Times New Roman" w:hAnsi="Times New Roman"/>
          <w:sz w:val="20"/>
        </w:rPr>
        <w:t xml:space="preserve"> 2026 </w:t>
      </w:r>
      <w:r>
        <w:rPr>
          <w:rFonts w:ascii="Times New Roman" w:hAnsi="Times New Roman"/>
          <w:i/>
          <w:sz w:val="20"/>
        </w:rPr>
        <w:t>DXL DCF Analysis</w:t>
      </w:r>
      <w:r>
        <w:rPr>
          <w:rFonts w:ascii="Times New Roman" w:hAnsi="Times New Roman"/>
          <w:sz w:val="20"/>
        </w:rPr>
        <w:t>” and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implied ownership percentages derived using the foregoing financial methodology. With respect to any indicated reference range of implied ownership percentages, the range was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calculated by (i) dividing the low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high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and (ii) dividing the high end of the implied per share price of DXL common stock (including the net present value of expected net operating loss tax benefits) in the financial analysis described under the caption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DXL DCF Analysis</w:t>
      </w:r>
      <w:r>
        <w:rPr>
          <w:rFonts w:ascii="Times New Roman" w:hAnsi="Times New Roman"/>
          <w:sz w:val="20"/>
        </w:rPr>
        <w:t>” by the low end of the implied per share price of FBB’s common stock (including the net present value of expected §163(j) tax benefits) in the financial analysis described under the caption titled “</w:t>
      </w:r>
      <w:r>
        <w:rPr>
          <w:rFonts w:ascii="Times New Roman" w:hAnsi="Times New Roman"/>
          <w:i/>
          <w:sz w:val="20"/>
        </w:rPr>
        <w:t>May 2026</w:t>
      </w:r>
      <w:r>
        <w:rPr>
          <w:rFonts w:ascii="Times New Roman" w:hAnsi="Times New Roman"/>
          <w:sz w:val="20"/>
        </w:rPr>
        <w:t xml:space="preserve"> </w:t>
      </w:r>
      <w:r>
        <w:rPr>
          <w:rFonts w:ascii="Times New Roman" w:hAnsi="Times New Roman"/>
          <w:i/>
          <w:sz w:val="20"/>
        </w:rPr>
        <w:t>FBB DCF Analysis</w:t>
      </w:r>
      <w:r>
        <w:rPr>
          <w:rFonts w:ascii="Times New Roman" w:hAnsi="Times New Roman"/>
          <w:sz w:val="20"/>
        </w:rPr>
        <w:t xml:space="preserv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7203"/>
        <w:gridCol w:w="85"/>
        <w:gridCol w:w="599"/>
        <w:gridCol w:w="85"/>
        <w:gridCol w:w="600"/>
      </w:tblGrid>
      <w:tr>
        <w:trPr/>
        <w:tc>
          <w:tcPr>
            <w:tcW w:w="720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8572" w:type="dxa"/>
            <w:gridSpan w:val="5"/>
            <w:tcBorders/>
            <w:vAlign w:val="bottom"/>
          </w:tcPr>
          <w:p>
            <w:pPr>
              <w:pStyle w:val="TableContents"/>
              <w:bidi w:val="0"/>
              <w:spacing w:before="0" w:after="283"/>
              <w:jc w:val="center"/>
              <w:rPr>
                <w:b/>
                <w:sz w:val="20"/>
              </w:rPr>
            </w:pPr>
            <w:r>
              <w:rPr>
                <w:b/>
                <w:sz w:val="20"/>
              </w:rPr>
              <w:t>DXL Implied Ownership Analysis</w:t>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DXL Merger-Implied Equity Ownership</w:t>
            </w:r>
          </w:p>
        </w:tc>
        <w:tc>
          <w:tcPr>
            <w:tcW w:w="85" w:type="dxa"/>
            <w:tcBorders/>
            <w:shd w:fill="CCEEFF" w:val="clear"/>
            <w:vAlign w:val="bottom"/>
          </w:tcPr>
          <w:p>
            <w:pPr>
              <w:pStyle w:val="TableContents"/>
              <w:bidi w:val="0"/>
              <w:spacing w:before="0" w:after="283"/>
              <w:jc w:val="left"/>
              <w:rPr/>
            </w:pPr>
            <w:r>
              <w:rPr/>
              <w:t> </w:t>
            </w:r>
          </w:p>
        </w:tc>
        <w:tc>
          <w:tcPr>
            <w:tcW w:w="1284" w:type="dxa"/>
            <w:gridSpan w:val="3"/>
            <w:tcBorders/>
            <w:shd w:fill="CCEEFF" w:val="clear"/>
            <w:vAlign w:val="bottom"/>
          </w:tcPr>
          <w:p>
            <w:pPr>
              <w:pStyle w:val="TableContents"/>
              <w:bidi w:val="0"/>
              <w:spacing w:before="0" w:after="283"/>
              <w:jc w:val="center"/>
              <w:rPr>
                <w:b/>
              </w:rPr>
            </w:pPr>
            <w:r>
              <w:rPr>
                <w:b/>
              </w:rPr>
              <w:t>45.0%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1369" w:type="dxa"/>
            <w:gridSpan w:val="4"/>
            <w:tcBorders/>
            <w:vAlign w:val="center"/>
          </w:tcPr>
          <w:p>
            <w:pPr>
              <w:pStyle w:val="TableContents"/>
              <w:bidi w:val="0"/>
              <w:spacing w:before="0" w:after="283"/>
              <w:jc w:val="left"/>
              <w:rPr>
                <w:sz w:val="4"/>
                <w:szCs w:val="4"/>
              </w:rPr>
            </w:pPr>
            <w:r>
              <w:rPr>
                <w:sz w:val="4"/>
                <w:szCs w:val="4"/>
              </w:rPr>
            </w:r>
          </w:p>
        </w:tc>
      </w:tr>
      <w:tr>
        <w:trPr/>
        <w:tc>
          <w:tcPr>
            <w:tcW w:w="720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84" w:type="dxa"/>
            <w:gridSpan w:val="3"/>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Implied DXL</w:t>
              <w:br/>
              <w:t>Ownership</w:t>
              <w:br/>
              <w:t>Percentage</w:t>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Financial Analyses</w:t>
            </w:r>
          </w:p>
        </w:tc>
        <w:tc>
          <w:tcPr>
            <w:tcW w:w="85" w:type="dxa"/>
            <w:tcBorders/>
            <w:vAlign w:val="bottom"/>
          </w:tcPr>
          <w:p>
            <w:pPr>
              <w:pStyle w:val="TableContents"/>
              <w:bidi w:val="0"/>
              <w:spacing w:before="0" w:after="283"/>
              <w:jc w:val="left"/>
              <w:rPr/>
            </w:pPr>
            <w:r>
              <w:rPr/>
              <w:t> </w:t>
            </w:r>
          </w:p>
        </w:tc>
        <w:tc>
          <w:tcPr>
            <w:tcW w:w="59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Low</w:t>
            </w:r>
          </w:p>
        </w:tc>
        <w:tc>
          <w:tcPr>
            <w:tcW w:w="85" w:type="dxa"/>
            <w:tcBorders/>
            <w:vAlign w:val="bottom"/>
          </w:tcPr>
          <w:p>
            <w:pPr>
              <w:pStyle w:val="TableContents"/>
              <w:bidi w:val="0"/>
              <w:spacing w:before="0" w:after="283"/>
              <w:jc w:val="left"/>
              <w:rPr/>
            </w:pPr>
            <w:r>
              <w:rPr/>
              <w:t> </w:t>
            </w:r>
          </w:p>
        </w:tc>
        <w:tc>
          <w:tcPr>
            <w:tcW w:w="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High</w:t>
            </w:r>
          </w:p>
        </w:tc>
      </w:tr>
      <w:tr>
        <w:trPr/>
        <w:tc>
          <w:tcPr>
            <w:tcW w:w="72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Discounted Cash Flow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100%</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r>
        <w:trPr>
          <w:trHeight w:val="240" w:hRule="atLeast"/>
        </w:trPr>
        <w:tc>
          <w:tcPr>
            <w:tcW w:w="7203" w:type="dxa"/>
            <w:tcBorders/>
            <w:vAlign w:val="center"/>
          </w:tcPr>
          <w:p>
            <w:pPr>
              <w:pStyle w:val="TableContents"/>
              <w:bidi w:val="0"/>
              <w:spacing w:before="0" w:after="283"/>
              <w:jc w:val="left"/>
              <w:rPr>
                <w:sz w:val="4"/>
                <w:szCs w:val="4"/>
              </w:rPr>
            </w:pPr>
            <w:r>
              <w:rPr>
                <w:sz w:val="4"/>
                <w:szCs w:val="4"/>
              </w:rPr>
            </w:r>
          </w:p>
        </w:tc>
        <w:tc>
          <w:tcPr>
            <w:tcW w:w="684" w:type="dxa"/>
            <w:gridSpan w:val="2"/>
            <w:tcBorders/>
            <w:vAlign w:val="center"/>
          </w:tcPr>
          <w:p>
            <w:pPr>
              <w:pStyle w:val="TableContents"/>
              <w:bidi w:val="0"/>
              <w:spacing w:before="0" w:after="283"/>
              <w:jc w:val="left"/>
              <w:rPr>
                <w:sz w:val="4"/>
                <w:szCs w:val="4"/>
              </w:rPr>
            </w:pPr>
            <w:r>
              <w:rPr>
                <w:sz w:val="4"/>
                <w:szCs w:val="4"/>
              </w:rPr>
            </w:r>
          </w:p>
        </w:tc>
        <w:tc>
          <w:tcPr>
            <w:tcW w:w="685" w:type="dxa"/>
            <w:gridSpan w:val="2"/>
            <w:tcBorders/>
            <w:vAlign w:val="center"/>
          </w:tcPr>
          <w:p>
            <w:pPr>
              <w:pStyle w:val="TableContents"/>
              <w:bidi w:val="0"/>
              <w:spacing w:before="0" w:after="283"/>
              <w:jc w:val="left"/>
              <w:rPr>
                <w:sz w:val="4"/>
                <w:szCs w:val="4"/>
              </w:rPr>
            </w:pPr>
            <w:r>
              <w:rPr>
                <w:sz w:val="4"/>
                <w:szCs w:val="4"/>
              </w:rPr>
            </w:r>
          </w:p>
        </w:tc>
      </w:tr>
      <w:tr>
        <w:trPr/>
        <w:tc>
          <w:tcPr>
            <w:tcW w:w="720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sz w:val="4"/>
                <w:szCs w:val="4"/>
              </w:rPr>
            </w:pPr>
            <w:r>
              <w:rPr>
                <w:sz w:val="4"/>
                <w:szCs w:val="4"/>
              </w:rPr>
            </w:r>
          </w:p>
        </w:tc>
      </w:tr>
      <w:tr>
        <w:trPr/>
        <w:tc>
          <w:tcPr>
            <w:tcW w:w="72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Selected Publicly Traded Companies Analysis:</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left"/>
              <w:rPr>
                <w:sz w:val="4"/>
                <w:szCs w:val="4"/>
              </w:rPr>
            </w:pPr>
            <w:r>
              <w:rPr>
                <w:sz w:val="4"/>
                <w:szCs w:val="4"/>
              </w:rPr>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sz w:val="4"/>
                <w:szCs w:val="4"/>
              </w:rPr>
            </w:pPr>
            <w:r>
              <w:rPr>
                <w:sz w:val="4"/>
                <w:szCs w:val="4"/>
              </w:rPr>
            </w:r>
          </w:p>
        </w:tc>
      </w:tr>
      <w:tr>
        <w:trPr/>
        <w:tc>
          <w:tcPr>
            <w:tcW w:w="7203" w:type="dxa"/>
            <w:tcBorders/>
          </w:tcPr>
          <w:p>
            <w:pPr>
              <w:pStyle w:val="TableContents"/>
              <w:bidi w:val="0"/>
              <w:spacing w:before="0" w:after="0"/>
              <w:jc w:val="left"/>
              <w:rPr>
                <w:rFonts w:ascii="Times New Roman" w:hAnsi="Times New Roman"/>
                <w:sz w:val="20"/>
              </w:rPr>
            </w:pPr>
            <w:r>
              <w:rPr>
                <w:rFonts w:ascii="Times New Roman" w:hAnsi="Times New Roman"/>
                <w:sz w:val="20"/>
              </w:rPr>
              <w:t>Market-Implied Based on Wall Street Consensus (DXL and FBB at 3.1x – 7.0x CY2026E EV / EBITDA)</w:t>
            </w:r>
          </w:p>
        </w:tc>
        <w:tc>
          <w:tcPr>
            <w:tcW w:w="85"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center"/>
              <w:rPr/>
            </w:pPr>
            <w:r>
              <w:rPr/>
              <w:t>24%</w:t>
            </w:r>
          </w:p>
        </w:tc>
        <w:tc>
          <w:tcPr>
            <w:tcW w:w="85"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center"/>
              <w:rPr/>
            </w:pPr>
            <w:r>
              <w:rPr/>
              <w:t>100%</w:t>
            </w:r>
          </w:p>
        </w:tc>
      </w:tr>
      <w:tr>
        <w:trPr/>
        <w:tc>
          <w:tcPr>
            <w:tcW w:w="72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Market-Implied Based on DXL Management Projections (DXL and FBB at 3.1x – 7.0x CY2026E EV / EBITDA)</w:t>
            </w:r>
          </w:p>
        </w:tc>
        <w:tc>
          <w:tcPr>
            <w:tcW w:w="85"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center"/>
              <w:rPr/>
            </w:pPr>
            <w:r>
              <w:rPr/>
              <w:t>29%</w:t>
            </w:r>
          </w:p>
        </w:tc>
        <w:tc>
          <w:tcPr>
            <w:tcW w:w="85"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center"/>
              <w:rPr/>
            </w:pPr>
            <w:r>
              <w:rPr/>
              <w:t>100%</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financial analyses resulted in an implied ownership percentage of 100%, as compared to the merger-implied ownership percentage by DXL stockholders of 45%, and an implied ownership percentage reference range of 37% – 51% when evaluated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DXL DCF Accretion/(Dilution)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Guggenheim Securities analyzed the </w:t>
      </w:r>
      <w:r>
        <w:rPr>
          <w:rFonts w:ascii="Times New Roman" w:hAnsi="Times New Roman"/>
          <w:i/>
          <w:sz w:val="20"/>
        </w:rPr>
        <w:t>pro forma</w:t>
      </w:r>
      <w:r>
        <w:rPr>
          <w:rFonts w:ascii="Times New Roman" w:hAnsi="Times New Roman"/>
          <w:sz w:val="20"/>
        </w:rPr>
        <w:t xml:space="preserve"> impact of the merger on DXL’s </w:t>
      </w:r>
      <w:r>
        <w:rPr>
          <w:rFonts w:ascii="Times New Roman" w:hAnsi="Times New Roman"/>
          <w:i/>
          <w:sz w:val="20"/>
        </w:rPr>
        <w:t>status quo</w:t>
      </w:r>
      <w:r>
        <w:rPr>
          <w:rFonts w:ascii="Times New Roman" w:hAnsi="Times New Roman"/>
          <w:sz w:val="20"/>
        </w:rPr>
        <w:t xml:space="preserve"> standalone DCF valuation based on (i) the May 2026 DXL-Provided Financial Projections for DXL and FBB and the May 2026 Synergy Estimates, (ii) the merger consideration and (iii) FBB’s </w:t>
      </w:r>
      <w:r>
        <w:rPr>
          <w:rFonts w:ascii="Times New Roman" w:hAnsi="Times New Roman"/>
          <w:i/>
          <w:sz w:val="20"/>
        </w:rPr>
        <w:t>pro forma</w:t>
      </w:r>
      <w:r>
        <w:rPr>
          <w:rFonts w:ascii="Times New Roman" w:hAnsi="Times New Roman"/>
          <w:sz w:val="20"/>
        </w:rPr>
        <w:t xml:space="preserve"> indebtedness after reflecting the $92 million debt/equitization that FBB is obligated to effect under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performing its DCF accretion/(dilution) analysis with respect to DXL: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Guggenheim Securities used discount rate ranges of (i) 15.25% – 17.25% on a </w:t>
            </w:r>
            <w:r>
              <w:rPr>
                <w:rFonts w:ascii="Times New Roman" w:hAnsi="Times New Roman"/>
                <w:i/>
                <w:sz w:val="20"/>
              </w:rPr>
              <w:t>status quo</w:t>
            </w:r>
            <w:r>
              <w:rPr>
                <w:rFonts w:ascii="Times New Roman" w:hAnsi="Times New Roman"/>
                <w:sz w:val="20"/>
              </w:rPr>
              <w:t xml:space="preserve"> standalone basis (consistent with DXL’s estimated </w:t>
            </w:r>
            <w:r>
              <w:rPr>
                <w:rFonts w:ascii="Times New Roman" w:hAnsi="Times New Roman"/>
                <w:i/>
                <w:sz w:val="20"/>
              </w:rPr>
              <w:t>status quo</w:t>
            </w:r>
            <w:r>
              <w:rPr>
                <w:rFonts w:ascii="Times New Roman" w:hAnsi="Times New Roman"/>
                <w:sz w:val="20"/>
              </w:rPr>
              <w:t xml:space="preserve"> standalone weighted average cost of capital) and (ii) 13.50% – 15.50% on a </w:t>
            </w:r>
            <w:r>
              <w:rPr>
                <w:rFonts w:ascii="Times New Roman" w:hAnsi="Times New Roman"/>
                <w:i/>
                <w:sz w:val="20"/>
              </w:rPr>
              <w:t>pro forma</w:t>
            </w:r>
            <w:r>
              <w:rPr>
                <w:rFonts w:ascii="Times New Roman" w:hAnsi="Times New Roman"/>
                <w:sz w:val="20"/>
              </w:rPr>
              <w:t xml:space="preserve"> combined-company basis (taking into account a smaller size/liquidity premium and higher leverage).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estimating DXL’s terminal/continuing value on both a </w:t>
            </w:r>
            <w:r>
              <w:rPr>
                <w:rFonts w:ascii="Times New Roman" w:hAnsi="Times New Roman"/>
                <w:i/>
                <w:sz w:val="20"/>
              </w:rPr>
              <w:t>status quo</w:t>
            </w:r>
            <w:r>
              <w:rPr>
                <w:rFonts w:ascii="Times New Roman" w:hAnsi="Times New Roman"/>
                <w:sz w:val="20"/>
              </w:rPr>
              <w:t xml:space="preserve"> standalone basis and on a </w:t>
            </w:r>
            <w:r>
              <w:rPr>
                <w:rFonts w:ascii="Times New Roman" w:hAnsi="Times New Roman"/>
                <w:i/>
                <w:sz w:val="20"/>
              </w:rPr>
              <w:t>pro forma</w:t>
            </w:r>
            <w:r>
              <w:rPr>
                <w:rFonts w:ascii="Times New Roman" w:hAnsi="Times New Roman"/>
                <w:sz w:val="20"/>
              </w:rPr>
              <w:t xml:space="preserve"> combined-company basis, Guggenheim Securities used a reference range of perpetual growth rates of DXL’s terminal year normalized unlevered free cash flow of 0.00% – 1.00%. The terminal/continuing values implied by the foregoing perpetual growth rate reference range were cross-checked for reasonableness by reference to DXL’s implied terminal year EBITDA multiples.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4468"/>
        <w:gridCol w:w="368"/>
        <w:gridCol w:w="183"/>
        <w:gridCol w:w="583"/>
        <w:gridCol w:w="78"/>
        <w:gridCol w:w="399"/>
        <w:gridCol w:w="183"/>
        <w:gridCol w:w="587"/>
        <w:gridCol w:w="60"/>
        <w:gridCol w:w="368"/>
        <w:gridCol w:w="1295"/>
      </w:tblGrid>
      <w:tr>
        <w:trPr/>
        <w:tc>
          <w:tcPr>
            <w:tcW w:w="4468"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399"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8"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r>
      <w:tr>
        <w:trPr/>
        <w:tc>
          <w:tcPr>
            <w:tcW w:w="8572" w:type="dxa"/>
            <w:gridSpan w:val="11"/>
            <w:tcBorders/>
            <w:vAlign w:val="bottom"/>
          </w:tcPr>
          <w:p>
            <w:pPr>
              <w:pStyle w:val="TableContents"/>
              <w:bidi w:val="0"/>
              <w:spacing w:before="0" w:after="283"/>
              <w:jc w:val="center"/>
              <w:rPr>
                <w:b/>
                <w:sz w:val="20"/>
              </w:rPr>
            </w:pPr>
            <w:r>
              <w:rPr>
                <w:b/>
                <w:sz w:val="20"/>
              </w:rPr>
              <w:t>DXL DCF Accretion/(Dilution) Analysis</w:t>
            </w:r>
          </w:p>
        </w:tc>
      </w:tr>
      <w:tr>
        <w:trPr/>
        <w:tc>
          <w:tcPr>
            <w:tcW w:w="4468"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2013" w:type="dxa"/>
            <w:gridSpan w:val="6"/>
            <w:tcBorders>
              <w:bottom w:val="single" w:sz="8" w:space="0" w:color="000000"/>
            </w:tcBorders>
            <w:tcMar>
              <w:bottom w:w="28" w:type="dxa"/>
            </w:tcMar>
            <w:vAlign w:val="bottom"/>
          </w:tcPr>
          <w:p>
            <w:pPr>
              <w:pStyle w:val="TableContents"/>
              <w:bidi w:val="0"/>
              <w:spacing w:before="0" w:after="283"/>
              <w:jc w:val="center"/>
              <w:rPr/>
            </w:pPr>
            <w:r>
              <w:rPr>
                <w:b/>
              </w:rPr>
              <w:t>Reference Range</w:t>
              <w:br/>
              <w:t>for DXL</w:t>
              <w:br/>
            </w:r>
            <w:r>
              <w:rPr>
                <w:i/>
              </w:rPr>
              <w:t>($ per share)</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DCF</w:t>
              <w:br/>
              <w:t>Accretion/</w:t>
            </w:r>
          </w:p>
          <w:p>
            <w:pPr>
              <w:pStyle w:val="TableContents"/>
              <w:bidi w:val="0"/>
              <w:spacing w:before="0" w:after="20"/>
              <w:jc w:val="center"/>
              <w:rPr>
                <w:rFonts w:ascii="Times New Roman" w:hAnsi="Times New Roman"/>
                <w:b/>
                <w:sz w:val="20"/>
              </w:rPr>
            </w:pPr>
            <w:r>
              <w:rPr>
                <w:rFonts w:ascii="Times New Roman" w:hAnsi="Times New Roman"/>
                <w:b/>
                <w:sz w:val="20"/>
              </w:rPr>
              <w:t>(Dilution)</w:t>
            </w:r>
          </w:p>
        </w:tc>
      </w:tr>
      <w:tr>
        <w:trPr/>
        <w:tc>
          <w:tcPr>
            <w:tcW w:w="4468" w:type="dxa"/>
            <w:tcBorders>
              <w:bottom w:val="single" w:sz="8" w:space="0" w:color="000000"/>
            </w:tcBorders>
            <w:tcMar>
              <w:bottom w:w="28" w:type="dxa"/>
            </w:tcMar>
            <w:vAlign w:val="bottom"/>
          </w:tcPr>
          <w:p>
            <w:pPr>
              <w:pStyle w:val="TableContents"/>
              <w:bidi w:val="0"/>
              <w:spacing w:before="0" w:after="20"/>
              <w:jc w:val="left"/>
              <w:rPr/>
            </w:pPr>
            <w:r>
              <w:rPr/>
              <w:t> </w:t>
            </w:r>
          </w:p>
        </w:tc>
        <w:tc>
          <w:tcPr>
            <w:tcW w:w="368" w:type="dxa"/>
            <w:tcBorders/>
            <w:vAlign w:val="bottom"/>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20"/>
              </w:rPr>
            </w:pPr>
            <w:r>
              <w:rPr>
                <w:rFonts w:ascii="Times New Roman" w:hAnsi="Times New Roman"/>
                <w:b/>
                <w:sz w:val="20"/>
              </w:rPr>
              <w:t>Midpoint</w:t>
            </w:r>
          </w:p>
        </w:tc>
      </w:tr>
      <w:tr>
        <w:trPr/>
        <w:tc>
          <w:tcPr>
            <w:tcW w:w="4468" w:type="dxa"/>
            <w:tcBorders/>
            <w:shd w:fill="CCEEFF" w:val="clear"/>
          </w:tcPr>
          <w:p>
            <w:pPr>
              <w:pStyle w:val="TableContents"/>
              <w:bidi w:val="0"/>
              <w:spacing w:before="0" w:after="283"/>
              <w:jc w:val="left"/>
              <w:rPr/>
            </w:pPr>
            <w:r>
              <w:rPr>
                <w:i/>
              </w:rPr>
              <w:t>Status Quo</w:t>
            </w:r>
            <w:r>
              <w:rPr/>
              <w:t xml:space="preserve"> Standalone DCF Valuation Including Net Operating Loss Tax Benefit</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1.30</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1.53</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tcPr>
          <w:p>
            <w:pPr>
              <w:pStyle w:val="TableContents"/>
              <w:bidi w:val="0"/>
              <w:spacing w:before="0" w:after="283"/>
              <w:jc w:val="left"/>
              <w:rPr/>
            </w:pPr>
            <w:r>
              <w:rPr>
                <w:i/>
              </w:rPr>
              <w:t>Pro Forma</w:t>
            </w:r>
            <w:r>
              <w:rPr/>
              <w:t xml:space="preserve"> Combined Company DCF Valuation with $20 million of Synergies</w:t>
            </w:r>
          </w:p>
        </w:tc>
        <w:tc>
          <w:tcPr>
            <w:tcW w:w="36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3" w:type="dxa"/>
            <w:tcBorders/>
            <w:vAlign w:val="bottom"/>
          </w:tcPr>
          <w:p>
            <w:pPr>
              <w:pStyle w:val="TableContents"/>
              <w:bidi w:val="0"/>
              <w:spacing w:before="0" w:after="283"/>
              <w:jc w:val="right"/>
              <w:rPr/>
            </w:pPr>
            <w:r>
              <w:rPr/>
              <w:t>1.18</w:t>
            </w:r>
          </w:p>
        </w:tc>
        <w:tc>
          <w:tcPr>
            <w:tcW w:w="78"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587"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368"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center"/>
              <w:rPr/>
            </w:pPr>
            <w:r>
              <w:rPr/>
              <w:t>(3%)</w:t>
            </w:r>
          </w:p>
        </w:tc>
      </w:tr>
      <w:tr>
        <w:trPr>
          <w:trHeight w:val="120" w:hRule="atLeast"/>
        </w:trPr>
        <w:tc>
          <w:tcPr>
            <w:tcW w:w="4468" w:type="dxa"/>
            <w:tcBorders/>
            <w:vAlign w:val="center"/>
          </w:tcPr>
          <w:p>
            <w:pPr>
              <w:pStyle w:val="TableContents"/>
              <w:bidi w:val="0"/>
              <w:spacing w:before="0" w:after="283"/>
              <w:jc w:val="left"/>
              <w:rPr>
                <w:sz w:val="4"/>
                <w:szCs w:val="4"/>
              </w:rPr>
            </w:pPr>
            <w:r>
              <w:rPr>
                <w:sz w:val="4"/>
                <w:szCs w:val="4"/>
              </w:rPr>
            </w:r>
          </w:p>
        </w:tc>
        <w:tc>
          <w:tcPr>
            <w:tcW w:w="1212" w:type="dxa"/>
            <w:gridSpan w:val="4"/>
            <w:tcBorders/>
            <w:vAlign w:val="center"/>
          </w:tcPr>
          <w:p>
            <w:pPr>
              <w:pStyle w:val="TableContents"/>
              <w:bidi w:val="0"/>
              <w:spacing w:before="0" w:after="283"/>
              <w:jc w:val="left"/>
              <w:rPr>
                <w:sz w:val="4"/>
                <w:szCs w:val="4"/>
              </w:rPr>
            </w:pPr>
            <w:r>
              <w:rPr>
                <w:sz w:val="4"/>
                <w:szCs w:val="4"/>
              </w:rPr>
            </w:r>
          </w:p>
        </w:tc>
        <w:tc>
          <w:tcPr>
            <w:tcW w:w="1229" w:type="dxa"/>
            <w:gridSpan w:val="4"/>
            <w:tcBorders/>
            <w:vAlign w:val="center"/>
          </w:tcPr>
          <w:p>
            <w:pPr>
              <w:pStyle w:val="TableContents"/>
              <w:bidi w:val="0"/>
              <w:spacing w:before="0" w:after="283"/>
              <w:jc w:val="left"/>
              <w:rPr>
                <w:sz w:val="4"/>
                <w:szCs w:val="4"/>
              </w:rPr>
            </w:pPr>
            <w:r>
              <w:rPr>
                <w:sz w:val="4"/>
                <w:szCs w:val="4"/>
              </w:rPr>
            </w:r>
          </w:p>
        </w:tc>
        <w:tc>
          <w:tcPr>
            <w:tcW w:w="1663" w:type="dxa"/>
            <w:gridSpan w:val="2"/>
            <w:tcBorders/>
            <w:vAlign w:val="center"/>
          </w:tcPr>
          <w:p>
            <w:pPr>
              <w:pStyle w:val="TableContents"/>
              <w:bidi w:val="0"/>
              <w:spacing w:before="0" w:after="283"/>
              <w:jc w:val="left"/>
              <w:rPr>
                <w:sz w:val="4"/>
                <w:szCs w:val="4"/>
              </w:rPr>
            </w:pPr>
            <w:r>
              <w:rPr>
                <w:sz w:val="4"/>
                <w:szCs w:val="4"/>
              </w:rPr>
            </w:r>
          </w:p>
        </w:tc>
      </w:tr>
      <w:tr>
        <w:trPr/>
        <w:tc>
          <w:tcPr>
            <w:tcW w:w="4468" w:type="dxa"/>
            <w:tcBorders/>
            <w:shd w:fill="CCEEFF" w:val="clear"/>
          </w:tcPr>
          <w:p>
            <w:pPr>
              <w:pStyle w:val="TableContents"/>
              <w:bidi w:val="0"/>
              <w:spacing w:before="0" w:after="283"/>
              <w:jc w:val="left"/>
              <w:rPr/>
            </w:pPr>
            <w:r>
              <w:rPr>
                <w:i/>
              </w:rPr>
              <w:t>Pro Forma</w:t>
            </w:r>
            <w:r>
              <w:rPr/>
              <w:t xml:space="preserve"> Combined Company DCF Valuation with $25 million of Synergies</w:t>
            </w:r>
          </w:p>
        </w:tc>
        <w:tc>
          <w:tcPr>
            <w:tcW w:w="36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3" w:type="dxa"/>
            <w:tcBorders/>
            <w:shd w:fill="CCEEFF" w:val="clear"/>
            <w:vAlign w:val="bottom"/>
          </w:tcPr>
          <w:p>
            <w:pPr>
              <w:pStyle w:val="TableContents"/>
              <w:bidi w:val="0"/>
              <w:spacing w:before="0" w:after="283"/>
              <w:jc w:val="right"/>
              <w:rPr/>
            </w:pPr>
            <w:r>
              <w:rPr/>
              <w:t>1.34</w:t>
            </w:r>
          </w:p>
        </w:tc>
        <w:tc>
          <w:tcPr>
            <w:tcW w:w="78" w:type="dxa"/>
            <w:tcBorders/>
            <w:shd w:fill="CCEEFF" w:val="clear"/>
            <w:vAlign w:val="bottom"/>
          </w:tcPr>
          <w:p>
            <w:pPr>
              <w:pStyle w:val="TableContents"/>
              <w:bidi w:val="0"/>
              <w:spacing w:before="0" w:after="283"/>
              <w:jc w:val="left"/>
              <w:rPr/>
            </w:pPr>
            <w:r>
              <w:rPr/>
              <w:t> </w:t>
            </w:r>
          </w:p>
        </w:tc>
        <w:tc>
          <w:tcPr>
            <w:tcW w:w="399"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587" w:type="dxa"/>
            <w:tcBorders/>
            <w:shd w:fill="CCEEFF" w:val="clear"/>
            <w:vAlign w:val="bottom"/>
          </w:tcPr>
          <w:p>
            <w:pPr>
              <w:pStyle w:val="TableContents"/>
              <w:bidi w:val="0"/>
              <w:spacing w:before="0" w:after="283"/>
              <w:jc w:val="right"/>
              <w:rPr/>
            </w:pPr>
            <w:r>
              <w:rPr/>
              <w:t>1.82</w:t>
            </w:r>
          </w:p>
        </w:tc>
        <w:tc>
          <w:tcPr>
            <w:tcW w:w="60" w:type="dxa"/>
            <w:tcBorders/>
            <w:shd w:fill="CCEEFF" w:val="clear"/>
            <w:vAlign w:val="bottom"/>
          </w:tcPr>
          <w:p>
            <w:pPr>
              <w:pStyle w:val="TableContents"/>
              <w:bidi w:val="0"/>
              <w:spacing w:before="0" w:after="283"/>
              <w:jc w:val="left"/>
              <w:rPr/>
            </w:pPr>
            <w:r>
              <w:rPr/>
              <w:t> </w:t>
            </w:r>
          </w:p>
        </w:tc>
        <w:tc>
          <w:tcPr>
            <w:tcW w:w="368"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center"/>
              <w:rPr/>
            </w:pPr>
            <w:r>
              <w:rPr/>
              <w:t>+11%</w:t>
            </w:r>
          </w:p>
        </w:tc>
      </w:tr>
    </w:tbl>
    <w:p>
      <w:pPr>
        <w:pStyle w:val="TextBody"/>
        <w:bidi w:val="0"/>
        <w:spacing w:before="240" w:after="0"/>
        <w:jc w:val="left"/>
        <w:rPr>
          <w:rFonts w:ascii="Times New Roman" w:hAnsi="Times New Roman"/>
          <w:sz w:val="20"/>
        </w:rPr>
      </w:pPr>
      <w:r>
        <w:rPr>
          <w:rFonts w:ascii="Times New Roman" w:hAnsi="Times New Roman"/>
          <w:sz w:val="20"/>
        </w:rPr>
        <w:t xml:space="preserve">Guggenheim Securities’ DCF accretion/(dilution) analysis resulted in an overall reference range of (i) $1.30 – $1.53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(ii) $1.18 – $1.63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$20 million of synergies from the May 2026 Synergy Estimates and (iii) $1.34 – $1.82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$25 million of synergies from the May 2026 Synergy Estimates, as compared to (a) $1.58 – $1.88 per share for purposes of evaluating DXL common stock on a </w:t>
      </w:r>
      <w:r>
        <w:rPr>
          <w:rFonts w:ascii="Times New Roman" w:hAnsi="Times New Roman"/>
          <w:i/>
          <w:sz w:val="20"/>
        </w:rPr>
        <w:t>status quo</w:t>
      </w:r>
      <w:r>
        <w:rPr>
          <w:rFonts w:ascii="Times New Roman" w:hAnsi="Times New Roman"/>
          <w:sz w:val="20"/>
        </w:rPr>
        <w:t xml:space="preserve"> standalone intrinsic value basis and (b) $2.84 – $3.68 per share for purposes of evaluating DXL common stock on a </w:t>
      </w:r>
      <w:r>
        <w:rPr>
          <w:rFonts w:ascii="Times New Roman" w:hAnsi="Times New Roman"/>
          <w:i/>
          <w:sz w:val="20"/>
        </w:rPr>
        <w:t>pro forma</w:t>
      </w:r>
      <w:r>
        <w:rPr>
          <w:rFonts w:ascii="Times New Roman" w:hAnsi="Times New Roman"/>
          <w:sz w:val="20"/>
        </w:rPr>
        <w:t xml:space="preserve"> intrinsic value basis including $30 million of synergies from the December 2025 Synergy Estimates, in each case of (a) and (b)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In Guggenheim Securities’ view, this updated DCF accretion/(dilution) analysis indicated that the existing economic terms of the merger would have to be significantly restructured to maintain the value proposition for DXL’s stockholders as implied by Guggenheim Securities’ financial analyses in connection with the December 2025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Debt/Equitization Analysis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To further assist the DXL Board in connection with its ongoing evaluation of the merger, Guggenheim Securities performed a debt/equitization analysis to assess the required incremental debt reduction that would be needed by FBB in light of (i) DXL stockholders’ </w:t>
      </w:r>
      <w:r>
        <w:rPr>
          <w:rFonts w:ascii="Times New Roman" w:hAnsi="Times New Roman"/>
          <w:i/>
          <w:sz w:val="20"/>
        </w:rPr>
        <w:t>pro forma</w:t>
      </w:r>
      <w:r>
        <w:rPr>
          <w:rFonts w:ascii="Times New Roman" w:hAnsi="Times New Roman"/>
          <w:sz w:val="20"/>
        </w:rPr>
        <w:t xml:space="preserve"> 45% economic ownership of the combined company and (ii) DXL’s contributed DCF-based equity value. Such debt/equitization analysis was performed based on DCF analyses for each of DXL and FBB on a standalone basis utilizing (i) the May 2026 DXL-Provided Financial Projections for each of DXL and FBB and (ii) solely for informational reference purposes, the May 2026 DXL-Provided Financial Projections for DXL and the May 2026 FBB-Provided Financial Projections for FBB. In each case, DXL’s contributed DCF-based equity value was grossed up (i.e., divided by DXL stockholders’ </w:t>
      </w:r>
      <w:r>
        <w:rPr>
          <w:rFonts w:ascii="Times New Roman" w:hAnsi="Times New Roman"/>
          <w:i/>
          <w:sz w:val="20"/>
        </w:rPr>
        <w:t>pro forma</w:t>
      </w:r>
      <w:r>
        <w:rPr>
          <w:rFonts w:ascii="Times New Roman" w:hAnsi="Times New Roman"/>
          <w:sz w:val="20"/>
        </w:rPr>
        <w:t xml:space="preserve"> 45% economic ownership) and then multiplied by 55% (based on FBB stockholders’ </w:t>
      </w:r>
      <w:r>
        <w:rPr>
          <w:rFonts w:ascii="Times New Roman" w:hAnsi="Times New Roman"/>
          <w:i/>
          <w:sz w:val="20"/>
        </w:rPr>
        <w:t>pro forma</w:t>
      </w:r>
      <w:r>
        <w:rPr>
          <w:rFonts w:ascii="Times New Roman" w:hAnsi="Times New Roman"/>
          <w:sz w:val="20"/>
        </w:rPr>
        <w:t xml:space="preserve"> 55% economic ownership) to determine FBB’s required contributed DCF-based equity value, with the required incremental debt reduction by FBB being back solved to achieve FBB’s required contributed DCF-based equity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midpoints of its DCF analysis, Guggenheim Securities’ debt/equitization analysis indicated that FBB would be required to further reduce its indebtedness — beyond FBB’s $92 million debt/equitization that FBB is obligated to effect under the terms and conditions of the merger agreement — as indicated in the table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11"/>
        <w:gridCol w:w="343"/>
        <w:gridCol w:w="92"/>
        <w:gridCol w:w="1187"/>
        <w:gridCol w:w="155"/>
        <w:gridCol w:w="343"/>
        <w:gridCol w:w="296"/>
        <w:gridCol w:w="785"/>
        <w:gridCol w:w="160"/>
      </w:tblGrid>
      <w:tr>
        <w:trPr/>
        <w:tc>
          <w:tcPr>
            <w:tcW w:w="5211"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2" w:type="dxa"/>
            <w:gridSpan w:val="8"/>
            <w:tcBorders/>
            <w:vAlign w:val="bottom"/>
          </w:tcPr>
          <w:p>
            <w:pPr>
              <w:pStyle w:val="TableContents"/>
              <w:bidi w:val="0"/>
              <w:spacing w:before="0" w:after="283"/>
              <w:jc w:val="center"/>
              <w:rPr>
                <w:b/>
                <w:sz w:val="20"/>
              </w:rPr>
            </w:pPr>
            <w:r>
              <w:rPr>
                <w:b/>
                <w:sz w:val="20"/>
              </w:rPr>
              <w:t>Debt/Equitization Analysis ($ in millions)</w:t>
            </w:r>
          </w:p>
        </w:tc>
        <w:tc>
          <w:tcPr>
            <w:tcW w:w="160" w:type="dxa"/>
            <w:tcBorders/>
            <w:vAlign w:val="bottom"/>
          </w:tcPr>
          <w:p>
            <w:pPr>
              <w:pStyle w:val="TableContents"/>
              <w:bidi w:val="0"/>
              <w:spacing w:before="0" w:after="283"/>
              <w:jc w:val="left"/>
              <w:rPr/>
            </w:pPr>
            <w:r>
              <w:rPr/>
              <w:t> </w:t>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Primary Analysis</w:t>
            </w:r>
          </w:p>
        </w:tc>
        <w:tc>
          <w:tcPr>
            <w:tcW w:w="343" w:type="dxa"/>
            <w:tcBorders/>
            <w:vAlign w:val="bottom"/>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Incremental</w:t>
              <w:br/>
              <w:t>Debt</w:t>
              <w:br/>
              <w:t>Reduction</w:t>
              <w:br/>
              <w:t>by FBB</w:t>
              <w:br/>
              <w:t>(Beyond</w:t>
              <w:br/>
              <w:t>$92 Million)</w:t>
            </w:r>
          </w:p>
        </w:tc>
        <w:tc>
          <w:tcPr>
            <w:tcW w:w="155"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Required</w:t>
              <w:br/>
              <w:t>Total</w:t>
              <w:br/>
              <w:t>Debt</w:t>
              <w:br/>
              <w:t>Reduction</w:t>
              <w:br/>
              <w:t>by FBB</w:t>
            </w:r>
          </w:p>
        </w:tc>
        <w:tc>
          <w:tcPr>
            <w:tcW w:w="160" w:type="dxa"/>
            <w:tcBorders/>
            <w:vAlign w:val="bottom"/>
          </w:tcPr>
          <w:p>
            <w:pPr>
              <w:pStyle w:val="TableContents"/>
              <w:bidi w:val="0"/>
              <w:spacing w:before="0" w:after="283"/>
              <w:jc w:val="left"/>
              <w:rPr/>
            </w:pPr>
            <w:r>
              <w:rPr/>
              <w:t> </w:t>
            </w:r>
          </w:p>
        </w:tc>
      </w:tr>
      <w:tr>
        <w:trPr/>
        <w:tc>
          <w:tcPr>
            <w:tcW w:w="5211" w:type="dxa"/>
            <w:tcBorders/>
            <w:shd w:fill="CCEEFF" w:val="clear"/>
          </w:tcPr>
          <w:p>
            <w:pPr>
              <w:pStyle w:val="TableContents"/>
              <w:bidi w:val="0"/>
              <w:spacing w:before="0" w:after="283"/>
              <w:jc w:val="left"/>
              <w:rPr/>
            </w:pPr>
            <w:r>
              <w:rPr/>
              <w:t>May 2026 DXL-Provided Financial Projections for Each of DXL and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($111.9</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203.8</w:t>
            </w:r>
          </w:p>
        </w:tc>
        <w:tc>
          <w:tcPr>
            <w:tcW w:w="160" w:type="dxa"/>
            <w:tcBorders/>
            <w:shd w:fill="CCEEFF" w:val="clear"/>
            <w:vAlign w:val="bottom"/>
          </w:tcPr>
          <w:p>
            <w:pPr>
              <w:pStyle w:val="TableContents"/>
              <w:bidi w:val="0"/>
              <w:spacing w:before="0" w:after="283"/>
              <w:jc w:val="left"/>
              <w:rPr/>
            </w:pPr>
            <w:r>
              <w:rPr/>
              <w:t>) </w:t>
            </w:r>
          </w:p>
        </w:tc>
      </w:tr>
      <w:tr>
        <w:trPr>
          <w:trHeight w:val="240" w:hRule="atLeast"/>
        </w:trPr>
        <w:tc>
          <w:tcPr>
            <w:tcW w:w="5211" w:type="dxa"/>
            <w:tcBorders/>
            <w:vAlign w:val="center"/>
          </w:tcPr>
          <w:p>
            <w:pPr>
              <w:pStyle w:val="TableContents"/>
              <w:bidi w:val="0"/>
              <w:spacing w:before="0" w:after="283"/>
              <w:jc w:val="left"/>
              <w:rPr>
                <w:sz w:val="4"/>
                <w:szCs w:val="4"/>
              </w:rPr>
            </w:pPr>
            <w:r>
              <w:rPr>
                <w:sz w:val="4"/>
                <w:szCs w:val="4"/>
              </w:rPr>
            </w:r>
          </w:p>
        </w:tc>
        <w:tc>
          <w:tcPr>
            <w:tcW w:w="1777" w:type="dxa"/>
            <w:gridSpan w:val="4"/>
            <w:tcBorders/>
            <w:vAlign w:val="center"/>
          </w:tcPr>
          <w:p>
            <w:pPr>
              <w:pStyle w:val="TableContents"/>
              <w:bidi w:val="0"/>
              <w:spacing w:before="0" w:after="283"/>
              <w:jc w:val="left"/>
              <w:rPr>
                <w:sz w:val="4"/>
                <w:szCs w:val="4"/>
              </w:rPr>
            </w:pPr>
            <w:r>
              <w:rPr>
                <w:sz w:val="4"/>
                <w:szCs w:val="4"/>
              </w:rPr>
            </w:r>
          </w:p>
        </w:tc>
        <w:tc>
          <w:tcPr>
            <w:tcW w:w="1584" w:type="dxa"/>
            <w:gridSpan w:val="4"/>
            <w:tcBorders/>
            <w:vAlign w:val="center"/>
          </w:tcPr>
          <w:p>
            <w:pPr>
              <w:pStyle w:val="TableContents"/>
              <w:bidi w:val="0"/>
              <w:spacing w:before="0" w:after="283"/>
              <w:jc w:val="left"/>
              <w:rPr>
                <w:sz w:val="4"/>
                <w:szCs w:val="4"/>
              </w:rPr>
            </w:pPr>
            <w:r>
              <w:rPr>
                <w:sz w:val="4"/>
                <w:szCs w:val="4"/>
              </w:rPr>
            </w:r>
          </w:p>
        </w:tc>
      </w:tr>
      <w:tr>
        <w:trPr/>
        <w:tc>
          <w:tcPr>
            <w:tcW w:w="52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For Informational Reference Purposes Only</w:t>
            </w:r>
          </w:p>
        </w:tc>
        <w:tc>
          <w:tcPr>
            <w:tcW w:w="34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18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c>
          <w:tcPr>
            <w:tcW w:w="78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211"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May 2026 DXL-Provided Financial Projections for DXL and May 2026 FBB-Provided Financial Projections for FBB</w:t>
            </w:r>
          </w:p>
        </w:tc>
        <w:tc>
          <w:tcPr>
            <w:tcW w:w="343"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($38.0</w:t>
            </w:r>
          </w:p>
        </w:tc>
        <w:tc>
          <w:tcPr>
            <w:tcW w:w="155"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129.9</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Other Financial Reviews Solely for Informational Reference Purposes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In order to provide certain context for the financial analyses in connection with the May 2026 Supplemental Financial Analyses as described above, Guggenheim Securities undertook various additional financial reviews as summarized below solely for informational reference purposes. As a general matter, Guggenheim Securities did not consider such additional financial reviews to be determinative methodologies for purposes of its analyses. </w:t>
      </w:r>
    </w:p>
    <w:p>
      <w:pPr>
        <w:pStyle w:val="TextBody"/>
        <w:bidi w:val="0"/>
        <w:spacing w:before="240" w:after="0"/>
        <w:jc w:val="left"/>
        <w:rPr>
          <w:rFonts w:ascii="Times New Roman" w:hAnsi="Times New Roman"/>
          <w:sz w:val="20"/>
        </w:rPr>
      </w:pPr>
      <w:r>
        <w:rPr>
          <w:rFonts w:ascii="Times New Roman" w:hAnsi="Times New Roman"/>
          <w:i/>
          <w:sz w:val="20"/>
        </w:rPr>
        <w:t xml:space="preserve">DXL and FBB Selected Publicly Traded Companies Analysis. </w:t>
      </w:r>
      <w:r>
        <w:rPr>
          <w:rFonts w:ascii="Times New Roman" w:hAnsi="Times New Roman"/>
          <w:sz w:val="20"/>
        </w:rPr>
        <w:t xml:space="preserve">Guggenheim Securities reviewed and analyzed DXL’s historical stock price performance, trading metrics and the historical and projected financial performance for DXL and FBB compared to corresponding data for selected publicly traded companies that Guggenheim Securities deemed relevant for purposes of this analysis. Guggenheim Securities calculated, among other things, various public market trading multiples for DXL and the selected publicly traded companies (in the case of the selected publicly traded companies, based on Wall Street equity research consensus estimates and each company’s most recent publicly available financial filings), which are summarized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5"/>
        <w:gridCol w:w="527"/>
        <w:gridCol w:w="132"/>
        <w:gridCol w:w="972"/>
        <w:gridCol w:w="63"/>
      </w:tblGrid>
      <w:tr>
        <w:trPr/>
        <w:tc>
          <w:tcPr>
            <w:tcW w:w="5245" w:type="dxa"/>
            <w:tcBorders/>
            <w:vAlign w:val="center"/>
          </w:tcPr>
          <w:p>
            <w:pPr>
              <w:pStyle w:val="TableContents"/>
              <w:bidi w:val="0"/>
              <w:spacing w:before="0" w:after="283"/>
              <w:jc w:val="left"/>
              <w:rPr>
                <w:sz w:val="4"/>
                <w:szCs w:val="4"/>
              </w:rPr>
            </w:pPr>
            <w:r>
              <w:rPr>
                <w:sz w:val="4"/>
                <w:szCs w:val="4"/>
              </w:rPr>
            </w:r>
          </w:p>
        </w:tc>
        <w:tc>
          <w:tcPr>
            <w:tcW w:w="5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6" w:type="dxa"/>
            <w:gridSpan w:val="4"/>
            <w:tcBorders/>
            <w:vAlign w:val="bottom"/>
          </w:tcPr>
          <w:p>
            <w:pPr>
              <w:pStyle w:val="TableContents"/>
              <w:bidi w:val="0"/>
              <w:spacing w:before="0" w:after="283"/>
              <w:jc w:val="center"/>
              <w:rPr>
                <w:b/>
                <w:sz w:val="20"/>
              </w:rPr>
            </w:pPr>
            <w:r>
              <w:rPr>
                <w:b/>
                <w:sz w:val="20"/>
              </w:rPr>
              <w:t>DXL and FBB Selected Publicly Traded Companies Analysis</w:t>
            </w:r>
          </w:p>
        </w:tc>
        <w:tc>
          <w:tcPr>
            <w:tcW w:w="63" w:type="dxa"/>
            <w:tcBorders/>
            <w:vAlign w:val="bottom"/>
          </w:tcPr>
          <w:p>
            <w:pPr>
              <w:pStyle w:val="TableContents"/>
              <w:bidi w:val="0"/>
              <w:spacing w:before="0" w:after="283"/>
              <w:jc w:val="left"/>
              <w:rPr/>
            </w:pPr>
            <w:r>
              <w:rPr/>
              <w:t> </w:t>
            </w:r>
          </w:p>
        </w:tc>
      </w:tr>
      <w:tr>
        <w:trPr/>
        <w:tc>
          <w:tcPr>
            <w:tcW w:w="5245"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Trading</w:t>
              <w:br/>
              <w:t>Enterprise</w:t>
              <w:br/>
              <w:t>Value /</w:t>
              <w:br/>
              <w:t>CY2026E</w:t>
              <w:br/>
              <w:t>EBITDA</w:t>
            </w:r>
          </w:p>
        </w:tc>
        <w:tc>
          <w:tcPr>
            <w:tcW w:w="63" w:type="dxa"/>
            <w:tcBorders/>
            <w:vAlign w:val="bottom"/>
          </w:tcPr>
          <w:p>
            <w:pPr>
              <w:pStyle w:val="TableContents"/>
              <w:bidi w:val="0"/>
              <w:spacing w:before="0" w:after="283"/>
              <w:jc w:val="left"/>
              <w:rPr/>
            </w:pPr>
            <w:r>
              <w:rPr/>
              <w:t> </w:t>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Select Publicly Traded Company Peers</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Jill,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3.1x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Genesco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4.9x</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Torrid Holdings Inc.</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6.1x</w:t>
            </w:r>
          </w:p>
        </w:tc>
        <w:tc>
          <w:tcPr>
            <w:tcW w:w="63" w:type="dxa"/>
            <w:tcBorders/>
            <w:shd w:fill="CCEEFF" w:val="clear"/>
            <w:vAlign w:val="bottom"/>
          </w:tcPr>
          <w:p>
            <w:pPr>
              <w:pStyle w:val="TableContents"/>
              <w:bidi w:val="0"/>
              <w:spacing w:before="0" w:after="283"/>
              <w:jc w:val="left"/>
              <w:rPr/>
            </w:pPr>
            <w:r>
              <w:rPr/>
              <w:t> </w:t>
            </w:r>
          </w:p>
        </w:tc>
      </w:tr>
      <w:tr>
        <w:trPr/>
        <w:tc>
          <w:tcPr>
            <w:tcW w:w="5245" w:type="dxa"/>
            <w:tcBorders/>
          </w:tcPr>
          <w:p>
            <w:pPr>
              <w:pStyle w:val="TableContents"/>
              <w:bidi w:val="0"/>
              <w:spacing w:before="0" w:after="0"/>
              <w:jc w:val="left"/>
              <w:rPr>
                <w:rFonts w:ascii="Times New Roman" w:hAnsi="Times New Roman"/>
                <w:sz w:val="20"/>
              </w:rPr>
            </w:pPr>
            <w:r>
              <w:rPr>
                <w:rFonts w:ascii="Times New Roman" w:hAnsi="Times New Roman"/>
                <w:sz w:val="20"/>
              </w:rPr>
              <w:t>Duluth Holdings Inc.</w:t>
            </w:r>
          </w:p>
        </w:tc>
        <w:tc>
          <w:tcPr>
            <w:tcW w:w="5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7.0x</w:t>
            </w:r>
          </w:p>
        </w:tc>
        <w:tc>
          <w:tcPr>
            <w:tcW w:w="63" w:type="dxa"/>
            <w:tcBorders/>
            <w:vAlign w:val="bottom"/>
          </w:tcPr>
          <w:p>
            <w:pPr>
              <w:pStyle w:val="TableContents"/>
              <w:bidi w:val="0"/>
              <w:spacing w:before="0" w:after="283"/>
              <w:jc w:val="left"/>
              <w:rPr/>
            </w:pPr>
            <w:r>
              <w:rPr/>
              <w:t> </w:t>
            </w:r>
          </w:p>
        </w:tc>
      </w:tr>
      <w:tr>
        <w:trPr>
          <w:trHeight w:val="240" w:hRule="atLeast"/>
        </w:trPr>
        <w:tc>
          <w:tcPr>
            <w:tcW w:w="5245" w:type="dxa"/>
            <w:tcBorders/>
            <w:vAlign w:val="center"/>
          </w:tcPr>
          <w:p>
            <w:pPr>
              <w:pStyle w:val="TableContents"/>
              <w:bidi w:val="0"/>
              <w:spacing w:before="0" w:after="283"/>
              <w:jc w:val="left"/>
              <w:rPr>
                <w:sz w:val="4"/>
                <w:szCs w:val="4"/>
              </w:rPr>
            </w:pPr>
            <w:r>
              <w:rPr>
                <w:sz w:val="4"/>
                <w:szCs w:val="4"/>
              </w:rPr>
            </w:r>
          </w:p>
        </w:tc>
        <w:tc>
          <w:tcPr>
            <w:tcW w:w="1694" w:type="dxa"/>
            <w:gridSpan w:val="4"/>
            <w:tcBorders/>
            <w:vAlign w:val="center"/>
          </w:tcPr>
          <w:p>
            <w:pPr>
              <w:pStyle w:val="TableContents"/>
              <w:bidi w:val="0"/>
              <w:spacing w:before="0" w:after="283"/>
              <w:jc w:val="left"/>
              <w:rPr>
                <w:sz w:val="4"/>
                <w:szCs w:val="4"/>
              </w:rPr>
            </w:pPr>
            <w:r>
              <w:rPr>
                <w:sz w:val="4"/>
                <w:szCs w:val="4"/>
              </w:rPr>
            </w:r>
          </w:p>
        </w:tc>
      </w:tr>
      <w:tr>
        <w:trPr/>
        <w:tc>
          <w:tcPr>
            <w:tcW w:w="52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20"/>
              </w:rPr>
            </w:pPr>
            <w:r>
              <w:rPr>
                <w:rFonts w:ascii="Times New Roman" w:hAnsi="Times New Roman"/>
                <w:b/>
                <w:sz w:val="20"/>
              </w:rPr>
              <w:t>DXL</w:t>
            </w:r>
          </w:p>
        </w:tc>
        <w:tc>
          <w:tcPr>
            <w:tcW w:w="527" w:type="dxa"/>
            <w:tcBorders/>
            <w:vAlign w:val="bottom"/>
          </w:tcPr>
          <w:p>
            <w:pPr>
              <w:pStyle w:val="TableContents"/>
              <w:bidi w:val="0"/>
              <w:spacing w:before="0" w:after="283"/>
              <w:jc w:val="left"/>
              <w:rPr/>
            </w:pPr>
            <w:r>
              <w:rPr/>
              <w:t>  </w:t>
            </w:r>
          </w:p>
        </w:tc>
        <w:tc>
          <w:tcPr>
            <w:tcW w:w="1104"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5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(Wall Street Consensus Estimates)</w:t>
            </w:r>
          </w:p>
        </w:tc>
        <w:tc>
          <w:tcPr>
            <w:tcW w:w="5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5.7x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performing its selected publicly traded companies analysis with respect to DXL, Guggenheim Securities selected, based on its professional judgment, a reference range of CY2026E EBITDA trading multiples of 3.1x – 7.0x and applied such trading multiples to the May 2026 DXL-Provided Financial Projections for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$0.63 – $1.06 per share for purposes of evaluating DXL common stock on a standalone basis, as compared to an overall reference range of $0.79 – $1.00 per share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selected publicly traded companies analysis resulted in an overall reference range of ($61.8) million – $86.4 million for purposes of evaluating FBB’s common stock on a standalone basis, as compared to an overall reference range of ($48.3) million – $33.1 million when evaluated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 Stock Price Trading History</w:t>
      </w:r>
      <w:r>
        <w:rPr>
          <w:rFonts w:ascii="Times New Roman" w:hAnsi="Times New Roman"/>
          <w:sz w:val="20"/>
        </w:rPr>
        <w:t xml:space="preserve">. Guggenheim Securities reviewed DXL’s stock price trading history from May 11, 2025 through May 11, 2026 (the last trading day prior to the Zodiac tender offer), and Guggenheim Securities noted that DXL common stock generally had traded in a range of approximately $0.44 – $1.69 per share, as compared to a range of approximately $0.88 – $3.10 per share from December 9, 2024 through December 9, 2025 (the last trading day prior to the announcement of the merger) in connection with the December 2025 Opinion. </w:t>
      </w:r>
    </w:p>
    <w:p>
      <w:pPr>
        <w:pStyle w:val="TextBody"/>
        <w:bidi w:val="0"/>
        <w:spacing w:before="240" w:after="0"/>
        <w:jc w:val="left"/>
        <w:rPr>
          <w:rFonts w:ascii="Times New Roman" w:hAnsi="Times New Roman"/>
          <w:sz w:val="20"/>
        </w:rPr>
      </w:pPr>
      <w:r>
        <w:rPr>
          <w:rFonts w:ascii="Times New Roman" w:hAnsi="Times New Roman"/>
          <w:i/>
          <w:sz w:val="20"/>
        </w:rPr>
        <w:t>DXL</w:t>
      </w:r>
      <w:r>
        <w:rPr>
          <w:rFonts w:ascii="Times New Roman" w:hAnsi="Times New Roman"/>
          <w:sz w:val="20"/>
        </w:rPr>
        <w:t xml:space="preserve"> </w:t>
      </w:r>
      <w:r>
        <w:rPr>
          <w:rFonts w:ascii="Times New Roman" w:hAnsi="Times New Roman"/>
          <w:i/>
          <w:sz w:val="20"/>
        </w:rPr>
        <w:t>Wall Street Equity Research Analyst Stock Price Targets</w:t>
      </w:r>
      <w:r>
        <w:rPr>
          <w:rFonts w:ascii="Times New Roman" w:hAnsi="Times New Roman"/>
          <w:sz w:val="20"/>
        </w:rPr>
        <w:t xml:space="preserve">. Guggenheim Securities reviewed available Wall Street equity research analyst stock price targets for DXL as published prior to May 11, 2026 (the last trading day prior to the Zodiac tender offer) and Guggenheim Securities noted that such Wall Street equity research analyst stock price targets for DXL common stock were $1.00 – $1.50 per share, as compared to a range of $1.30 – $2.00 per share as published prior to December 9, 2025 (the last trading day prior to the announcement of the merger) in connection with the December 2025 Opinion.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in Connection with the May 2026 Supplemental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the summary above, DXL did not provide specific instructions to, or place any limitations on, Guggenheim Securities with respect to the procedures to be followed or factors to be considered in performing or providing the May 2026 Supplemental Financial Analyses. The decision to enter into and, conduct an ongoing evaluation of, the merger agreement was solely that of the DXL Board. The December 2025 Opinion, which was rendered only on and as of December 10, 2025 and has not been and will not be updated, was just one of the many factors taken into consideration by the DXL Board in December 2025 in entering into the merger agreement and the May 2026 Supplemental Financial Analyses was just one of many factors taken into consideration by the DXL Board in May 2026 in determining that the merger is not in the best interests of DXL stockholders. Consequently, Guggenheim Securities’ financial analyses in December of 2025, and subsequently in May 2026, should not be viewed as determinative of the decision of the DXL Board with respect to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DXL stockholders should not rely on the December 2025 Opinion and it does not constitute advice or a recommendation to any DXL stockholder as to how any DXL stockholder should vote or act in connection with the merger or otherwise, and should be read only together with the May 2026 Supplemental Financial Analyses described in this section.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Guggenheim Securities’ engagement as DXL’s financial advisor, DXL has agreed to pay Guggenheim Securities, upon consummation of the merger, a cash transaction fee (based upon a percentage of the aggregate merger consideration associated with the merger, subject to a minimum of $2,000,000), which cash transaction fee currently is estimated to be $2,000,000. Additionally, DXL may, in its discretion, increase the amount of such fee by up to 0.25% of the aggregate merger consideration. DXL has previously paid Guggenheim Securities (i) a cash milestone fee of $1,500,000 that became payable upon the rendering of the December 2025 Opinion and (ii) a cash work fee of $250,000 that became payable in May 2026, each of which will be credited against the foregoing cash transaction fee. In addition, DXL has agreed to reimburse Guggenheim Securities for certain expenses and to indemnify Guggenheim Securities against certain liabilities arising out of its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Aside from its current engagement by DXL, Guggenheim Securities has not been previously engaged by DXL during the two years prior to the delivery of the May 2026 Supplemental Financial Analyses to provide financial advisory or investment banking services for which Guggenheim Securities received fees. Guggenheim Securities has not been previously engaged by FBB during the two years prior to the delivery of the May 2026 Supplemental Financial Analyses to provide financial advisory or investment banking services for which Guggenheim Securities received fees, except that Guggenheim Securities acted as financial advisor to FBB in connection with its July 2024 acquisition of certain assets of Avenue Stores, for which Guggenheim Securities received agreed upon fees. Guggenheim Securities may in the future seek to provide DXL and FBB or their respective affiliates with financial advisory and investment banking services unrelated to the merger, for which services Guggenheim Securities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and its affiliates and related entities engage in a wide range of financial services activities for its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Guggenheim Securities and its affiliates and related entities may (i) provide such financial services to DXL, FBB, Zodiac Partners, other participants in the merger or the Zodiac tender offer or their respective affiliates, for which services Guggenheim Securities and its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DXL, FBB, Zodiac Partners, other participants in the merger or the Zodiac tender offer or their respective affiliates. Furthermore, Guggenheim Securities and its affiliates and related entities and its or their respective directors, officers, employees, consultants and agents may have investments in DXL, FBB, Zodiac Partners, other participants in the merger or the Zodiac tender offer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Guggenheim Securities has adopted certain policies and procedures to establish and maintain the independence of its research departments and personnel. As a result, Guggenheim Securities’ research analysts may hold views, make statements or investment recommendations and publish research reports with respect to DXL, FBB, Zodiac Partners, other participants in the merger or the Zodiac tender offer or their respective affiliates or the merger that differ from the views of Guggenheim Securities’ investment banking personnel. </w:t>
      </w:r>
    </w:p>
    <w:p>
      <w:pPr>
        <w:pStyle w:val="TextBody"/>
        <w:bidi w:val="0"/>
        <w:spacing w:before="360" w:after="0"/>
        <w:jc w:val="left"/>
        <w:rPr>
          <w:rFonts w:ascii="Times New Roman" w:hAnsi="Times New Roman"/>
          <w:b/>
          <w:sz w:val="20"/>
        </w:rPr>
      </w:pPr>
      <w:bookmarkStart w:id="21" w:name="tx76201_18"/>
      <w:bookmarkEnd w:id="21"/>
      <w:r>
        <w:rPr>
          <w:rFonts w:ascii="Times New Roman" w:hAnsi="Times New Roman"/>
          <w:b/>
          <w:sz w:val="20"/>
        </w:rPr>
        <w:t xml:space="preserve">Certain Financial Projections </w:t>
      </w:r>
    </w:p>
    <w:p>
      <w:pPr>
        <w:pStyle w:val="TextBody"/>
        <w:bidi w:val="0"/>
        <w:spacing w:before="120" w:after="0"/>
        <w:jc w:val="left"/>
        <w:rPr>
          <w:rFonts w:ascii="Times New Roman" w:hAnsi="Times New Roman"/>
          <w:sz w:val="20"/>
        </w:rPr>
      </w:pPr>
      <w:r>
        <w:rPr>
          <w:rFonts w:ascii="Times New Roman" w:hAnsi="Times New Roman"/>
          <w:sz w:val="20"/>
        </w:rPr>
        <w:t>DXL does not, as a matter of course, publicly disclose long-term projections of future financial results due to the inherent unpredictability, uncertainty and subjectivity of underlying assumptions and estimates. However, DXL is including in this proxy statement certain unaudited prospective financial information for DXL and FBB that was made available to the DXL Board in connection with its evaluation of the merger as well as Guggenheim Securities for purposes of performing its financial analyses, as described above under “</w:t>
      </w:r>
      <w:r>
        <w:rPr>
          <w:rFonts w:ascii="Times New Roman" w:hAnsi="Times New Roman"/>
          <w:i/>
          <w:sz w:val="20"/>
        </w:rPr>
        <w:t>Summary</w:t>
      </w:r>
      <w:r>
        <w:rPr>
          <w:rFonts w:ascii="Times New Roman" w:hAnsi="Times New Roman"/>
          <w:sz w:val="20"/>
        </w:rPr>
        <w:t>—</w:t>
      </w:r>
      <w:r>
        <w:rPr>
          <w:rFonts w:ascii="Times New Roman" w:hAnsi="Times New Roman"/>
          <w:i/>
          <w:sz w:val="20"/>
        </w:rPr>
        <w:t xml:space="preserve">Summary Comparison of Key Analytical Results </w:t>
      </w:r>
      <w:r>
        <w:rPr>
          <w:rFonts w:ascii="Times New Roman" w:hAnsi="Times New Roman"/>
          <w:sz w:val="20"/>
        </w:rPr>
        <w:t xml:space="preserve">— </w:t>
      </w:r>
      <w:r>
        <w:rPr>
          <w:rFonts w:ascii="Times New Roman" w:hAnsi="Times New Roman"/>
          <w:i/>
          <w:sz w:val="20"/>
        </w:rPr>
        <w:t>May 2026 Supplemental Financial Analyses versus December 2025</w:t>
      </w:r>
      <w:r>
        <w:rPr>
          <w:rFonts w:ascii="Times New Roman" w:hAnsi="Times New Roman"/>
          <w:sz w:val="20"/>
        </w:rPr>
        <w:t xml:space="preserve"> </w:t>
      </w:r>
      <w:r>
        <w:rPr>
          <w:rFonts w:ascii="Times New Roman" w:hAnsi="Times New Roman"/>
          <w:i/>
          <w:sz w:val="20"/>
        </w:rPr>
        <w:t>Opinion,” “—December 2025 Opinion of Guggenheim Securities, Financial Advisor to DXL” and “—May 2026 Supplemental Financial Analyses Prepared by Guggenheim Securities, Financial Advisor to DXL.</w:t>
      </w:r>
      <w:r>
        <w:rPr>
          <w:rFonts w:ascii="Times New Roman" w:hAnsi="Times New Roman"/>
          <w:sz w:val="20"/>
        </w:rPr>
        <w:t xml:space="preserve">” We refer to this information as the “Financial Projections.” A summary of certain significant elements of this information is included in this proxy statement for the purpose of providing DXL stockholders access to certain nonpublic information made available to DXL, the DXL Board and Guggenheim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Projections should not be deemed an admission or representation by DXL, Guggenheim Securities, FBB or any of their respective officers, directors, affiliates, advisors, or other representatives with respect to such Financial Projections. The Financial Projections are not included to influence your views on the merger and the information from the Financial Projections should be evaluated, if at all, in conjunction with the historical financial statements and other information regarding FBB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Financial Projections contained in this section were not prepared for the purpose of, or with a view toward, public disclosure or with a view toward complying with the guidelines established by the American Institute of Certified Public Accountants for preparation and presentation of prospective financial information, published guidelines of the SEC regarding forward-looking statements or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Neither DXL’s nor FBB’s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KPMG LLP reports incorporated by reference in this proxy statement relate to the previously issued financial statements of DXL. These reports, as well as the reports related to FBB included herein, do not extend to the Financial Projections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Further, the Financial Projections do not take into account the effect of any possible failure of the merger to occur. No assurances can be given that the estimates and assumptions made in preparing the Financial Projections will prove accurate or that any of the Financial Projections will be realized.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10-year DXL-Provided Financial Projections provided to Guggenheim Securities and approved for Guggenheim Securities’ use by DXL’s senior management, in the financial analyses performed in connection with the December 2025 Opinion as described in </w:t>
      </w:r>
      <w:r>
        <w:rPr>
          <w:rFonts w:ascii="Times New Roman" w:hAnsi="Times New Roman"/>
          <w:i/>
          <w:sz w:val="20"/>
        </w:rPr>
        <w:t>the section titled “—December 2025 Opinion of Guggenheim Securities, Financial Advisor to DXL</w:t>
      </w:r>
      <w:r>
        <w:rPr>
          <w:rFonts w:ascii="Times New Roman" w:hAnsi="Times New Roman"/>
          <w:sz w:val="20"/>
        </w:rPr>
        <w:t xml:space="preserve">.” </w:t>
      </w:r>
      <w:r>
        <w:rPr>
          <w:rFonts w:ascii="Times New Roman" w:hAnsi="Times New Roman"/>
          <w:b/>
          <w:sz w:val="20"/>
        </w:rPr>
        <w:t>The December 2025 Opinion 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and the summary of the financial analyses underlying the December 2025 Opinion</w:t>
      </w:r>
      <w:r>
        <w:rPr>
          <w:rFonts w:ascii="Times New Roman" w:hAnsi="Times New Roman"/>
          <w:sz w:val="20"/>
        </w:rPr>
        <w:t xml:space="preserve"> </w:t>
      </w:r>
      <w:r>
        <w:rPr>
          <w:rFonts w:ascii="Times New Roman" w:hAnsi="Times New Roman"/>
          <w:b/>
          <w:sz w:val="20"/>
        </w:rPr>
        <w:t>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described in the section entitled </w:t>
      </w:r>
      <w:r>
        <w:rPr>
          <w:rFonts w:ascii="Times New Roman" w:hAnsi="Times New Roman"/>
          <w:sz w:val="20"/>
        </w:rPr>
        <w:t>“—</w:t>
      </w:r>
      <w:r>
        <w:rPr>
          <w:rFonts w:ascii="Times New Roman" w:hAnsi="Times New Roman"/>
          <w:b/>
          <w:i/>
          <w:sz w:val="20"/>
        </w:rPr>
        <w:t>May 2026 Supplemental Financial Analyses Prepared by Guggenheim Securities, Financial Advisor to DXL</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1414"/>
        <w:gridCol w:w="142"/>
        <w:gridCol w:w="240"/>
        <w:gridCol w:w="426"/>
        <w:gridCol w:w="155"/>
        <w:gridCol w:w="83"/>
        <w:gridCol w:w="240"/>
        <w:gridCol w:w="426"/>
        <w:gridCol w:w="155"/>
        <w:gridCol w:w="83"/>
        <w:gridCol w:w="240"/>
        <w:gridCol w:w="426"/>
        <w:gridCol w:w="155"/>
        <w:gridCol w:w="83"/>
        <w:gridCol w:w="179"/>
        <w:gridCol w:w="486"/>
        <w:gridCol w:w="59"/>
        <w:gridCol w:w="142"/>
        <w:gridCol w:w="179"/>
        <w:gridCol w:w="486"/>
        <w:gridCol w:w="60"/>
        <w:gridCol w:w="142"/>
        <w:gridCol w:w="179"/>
        <w:gridCol w:w="486"/>
        <w:gridCol w:w="60"/>
        <w:gridCol w:w="142"/>
        <w:gridCol w:w="179"/>
        <w:gridCol w:w="486"/>
        <w:gridCol w:w="60"/>
        <w:gridCol w:w="141"/>
        <w:gridCol w:w="179"/>
        <w:gridCol w:w="486"/>
        <w:gridCol w:w="60"/>
        <w:gridCol w:w="142"/>
        <w:gridCol w:w="179"/>
        <w:gridCol w:w="486"/>
        <w:gridCol w:w="60"/>
        <w:gridCol w:w="142"/>
        <w:gridCol w:w="179"/>
        <w:gridCol w:w="486"/>
        <w:gridCol w:w="72"/>
      </w:tblGrid>
      <w:tr>
        <w:trPr/>
        <w:tc>
          <w:tcPr>
            <w:tcW w:w="1414"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577" w:type="dxa"/>
            <w:gridSpan w:val="38"/>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1414"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2025E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488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507</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528</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559</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576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593</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611</w:t>
            </w:r>
          </w:p>
        </w:tc>
        <w:tc>
          <w:tcPr>
            <w:tcW w:w="72" w:type="dxa"/>
            <w:tcBorders/>
            <w:shd w:fill="CCEEFF" w:val="clear"/>
            <w:vAlign w:val="bottom"/>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2"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6"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43</w:t>
            </w:r>
          </w:p>
        </w:tc>
        <w:tc>
          <w:tcPr>
            <w:tcW w:w="72" w:type="dxa"/>
            <w:tcBorders/>
            <w:vAlign w:val="bottom"/>
          </w:tcPr>
          <w:p>
            <w:pPr>
              <w:pStyle w:val="TableContents"/>
              <w:bidi w:val="0"/>
              <w:spacing w:before="0" w:after="283"/>
              <w:jc w:val="left"/>
              <w:rPr/>
            </w:pPr>
            <w:r>
              <w:rPr/>
              <w:t> </w:t>
            </w:r>
          </w:p>
        </w:tc>
      </w:tr>
      <w:tr>
        <w:trPr/>
        <w:tc>
          <w:tcPr>
            <w:tcW w:w="141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2"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w:t>
            </w:r>
          </w:p>
        </w:tc>
        <w:tc>
          <w:tcPr>
            <w:tcW w:w="59"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16</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December 2025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10-year DXL Management Case for FBB provided to Guggenheim Securities, and approved for Guggenheim Securities’ use by DXL’s senior management, in the financial analyses performed in connection with the December 2025 Opinion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As described in the section entitled “—</w:t>
      </w:r>
      <w:r>
        <w:rPr>
          <w:rFonts w:ascii="Times New Roman" w:hAnsi="Times New Roman"/>
          <w:i/>
          <w:sz w:val="20"/>
        </w:rPr>
        <w:t>December 2025 Opinion of Guggenheim</w:t>
      </w:r>
      <w:r>
        <w:rPr>
          <w:rFonts w:ascii="Times New Roman" w:hAnsi="Times New Roman"/>
          <w:sz w:val="20"/>
        </w:rPr>
        <w:t xml:space="preserve"> </w:t>
      </w:r>
      <w:r>
        <w:rPr>
          <w:rFonts w:ascii="Times New Roman" w:hAnsi="Times New Roman"/>
          <w:i/>
          <w:sz w:val="20"/>
        </w:rPr>
        <w:t>Securities, Financial Advisor to DXL</w:t>
      </w:r>
      <w:r>
        <w:rPr>
          <w:rFonts w:ascii="Times New Roman" w:hAnsi="Times New Roman"/>
          <w:sz w:val="20"/>
        </w:rPr>
        <w:t xml:space="preserve">”, DXL was provided the December 2025 FBB-Provided Financial Projections for the years ending December 31, 2025 through December 31, 2029 by the management of FBB, and management of DXL prepared the DXL Management Case for FBB for the years ending December 31, 2025 through December 31, 2034, based on DXL management’s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1521"/>
        <w:gridCol w:w="143"/>
        <w:gridCol w:w="179"/>
        <w:gridCol w:w="486"/>
        <w:gridCol w:w="60"/>
        <w:gridCol w:w="143"/>
        <w:gridCol w:w="179"/>
        <w:gridCol w:w="486"/>
        <w:gridCol w:w="60"/>
        <w:gridCol w:w="143"/>
        <w:gridCol w:w="179"/>
        <w:gridCol w:w="486"/>
        <w:gridCol w:w="60"/>
        <w:gridCol w:w="143"/>
        <w:gridCol w:w="179"/>
        <w:gridCol w:w="486"/>
        <w:gridCol w:w="60"/>
        <w:gridCol w:w="143"/>
        <w:gridCol w:w="179"/>
        <w:gridCol w:w="486"/>
        <w:gridCol w:w="60"/>
        <w:gridCol w:w="143"/>
        <w:gridCol w:w="178"/>
        <w:gridCol w:w="486"/>
        <w:gridCol w:w="60"/>
        <w:gridCol w:w="143"/>
        <w:gridCol w:w="179"/>
        <w:gridCol w:w="486"/>
        <w:gridCol w:w="60"/>
        <w:gridCol w:w="143"/>
        <w:gridCol w:w="179"/>
        <w:gridCol w:w="486"/>
        <w:gridCol w:w="60"/>
        <w:gridCol w:w="143"/>
        <w:gridCol w:w="179"/>
        <w:gridCol w:w="486"/>
        <w:gridCol w:w="60"/>
        <w:gridCol w:w="143"/>
        <w:gridCol w:w="179"/>
        <w:gridCol w:w="486"/>
        <w:gridCol w:w="65"/>
      </w:tblGrid>
      <w:tr>
        <w:trPr/>
        <w:tc>
          <w:tcPr>
            <w:tcW w:w="15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76" w:type="dxa"/>
            <w:gridSpan w:val="38"/>
            <w:tcBorders/>
            <w:vAlign w:val="bottom"/>
          </w:tcPr>
          <w:p>
            <w:pPr>
              <w:pStyle w:val="TableContents"/>
              <w:bidi w:val="0"/>
              <w:spacing w:before="0" w:after="283"/>
              <w:jc w:val="center"/>
              <w:rPr>
                <w:b/>
              </w:rPr>
            </w:pPr>
            <w:r>
              <w:rPr>
                <w:b/>
              </w:rPr>
              <w:t>Fiscal Year Ending December</w:t>
            </w:r>
          </w:p>
        </w:tc>
        <w:tc>
          <w:tcPr>
            <w:tcW w:w="65" w:type="dxa"/>
            <w:tcBorders/>
            <w:vAlign w:val="bottom"/>
          </w:tcPr>
          <w:p>
            <w:pPr>
              <w:pStyle w:val="TableContents"/>
              <w:bidi w:val="0"/>
              <w:spacing w:before="0" w:after="283"/>
              <w:jc w:val="left"/>
              <w:rPr/>
            </w:pPr>
            <w:r>
              <w:rPr/>
              <w:t> </w:t>
            </w:r>
          </w:p>
        </w:tc>
      </w:tr>
      <w:tr>
        <w:trPr/>
        <w:tc>
          <w:tcPr>
            <w:tcW w:w="152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4"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750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780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805</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852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911</w:t>
            </w:r>
          </w:p>
        </w:tc>
        <w:tc>
          <w:tcPr>
            <w:tcW w:w="65" w:type="dxa"/>
            <w:tcBorders/>
            <w:shd w:fill="CCEEFF" w:val="clear"/>
            <w:vAlign w:val="bottom"/>
          </w:tcPr>
          <w:p>
            <w:pPr>
              <w:pStyle w:val="TableContents"/>
              <w:bidi w:val="0"/>
              <w:spacing w:before="0" w:after="283"/>
              <w:jc w:val="left"/>
              <w:rPr/>
            </w:pPr>
            <w:r>
              <w:rPr/>
              <w:t> </w:t>
            </w:r>
          </w:p>
        </w:tc>
      </w:tr>
      <w:tr>
        <w:trPr/>
        <w:tc>
          <w:tcPr>
            <w:tcW w:w="1521"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73</w:t>
            </w:r>
          </w:p>
        </w:tc>
        <w:tc>
          <w:tcPr>
            <w:tcW w:w="65" w:type="dxa"/>
            <w:tcBorders/>
            <w:vAlign w:val="bottom"/>
          </w:tcPr>
          <w:p>
            <w:pPr>
              <w:pStyle w:val="TableContents"/>
              <w:bidi w:val="0"/>
              <w:spacing w:before="0" w:after="283"/>
              <w:jc w:val="left"/>
              <w:rPr/>
            </w:pPr>
            <w:r>
              <w:rPr/>
              <w:t> </w:t>
            </w:r>
          </w:p>
        </w:tc>
      </w:tr>
      <w:tr>
        <w:trPr/>
        <w:tc>
          <w:tcPr>
            <w:tcW w:w="1521"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DXL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DXL-Provided Financial Projections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w:t>
      </w:r>
      <w:r>
        <w:rPr>
          <w:rFonts w:ascii="Times New Roman" w:hAnsi="Times New Roman"/>
          <w:sz w:val="20"/>
        </w:rPr>
        <w:t xml:space="preserve"> </w:t>
      </w:r>
      <w:r>
        <w:rPr>
          <w:rFonts w:ascii="Times New Roman" w:hAnsi="Times New Roman"/>
          <w:i/>
          <w:sz w:val="20"/>
        </w:rPr>
        <w:t>Financial Advisor to DXL</w:t>
      </w:r>
      <w:r>
        <w:rPr>
          <w:rFonts w:ascii="Times New Roman" w:hAnsi="Times New Roman"/>
          <w:sz w:val="20"/>
        </w:rPr>
        <w:t xml:space="preserve">.” </w:t>
      </w:r>
      <w:r>
        <w:rPr>
          <w:rFonts w:ascii="Times New Roman" w:hAnsi="Times New Roman"/>
          <w:b/>
          <w:sz w:val="20"/>
        </w:rPr>
        <w:t>The May 2026 Supplemental Financial Analyses were provided to the DXL Board (in its capacity as such) for its information and assistance in connection with its ongoing evaluation</w:t>
      </w:r>
      <w:r>
        <w:rPr>
          <w:rFonts w:ascii="Times New Roman" w:hAnsi="Times New Roman"/>
          <w:sz w:val="20"/>
        </w:rPr>
        <w:t xml:space="preserve"> </w:t>
      </w:r>
      <w:r>
        <w:rPr>
          <w:rFonts w:ascii="Times New Roman" w:hAnsi="Times New Roman"/>
          <w:b/>
          <w:sz w:val="20"/>
        </w:rPr>
        <w:t>of the merger. The May 2026 Supplemental Financial Analyses do not constitute an opinion, view, report</w:t>
      </w:r>
      <w:r>
        <w:rPr>
          <w:rFonts w:ascii="Times New Roman" w:hAnsi="Times New Roman"/>
          <w:sz w:val="20"/>
        </w:rPr>
        <w:t xml:space="preserve"> </w:t>
      </w:r>
      <w:r>
        <w:rPr>
          <w:rFonts w:ascii="Times New Roman" w:hAnsi="Times New Roman"/>
          <w:b/>
          <w:sz w:val="20"/>
        </w:rPr>
        <w:t>or appraisal as to the fairness, from a financial point of view, of the merger consideration or any other consideration in connection with the merger. Aside from the December 2025 Opinion, Guggenheim Securities did not render any opinion, view, report or appraisal as to the fairness, from a financial point of view, of the merger consideration or any other consideration in connection with the merger.</w:t>
      </w:r>
      <w:r>
        <w:rPr>
          <w:rFonts w:ascii="Times New Roman" w:hAnsi="Times New Roman"/>
          <w:sz w:val="20"/>
        </w:rPr>
        <w:t xml:space="preserve"> </w:t>
      </w:r>
    </w:p>
    <w:p>
      <w:pPr>
        <w:pStyle w:val="TextBody"/>
        <w:bidi w:val="0"/>
        <w:spacing w:before="240" w:after="0"/>
        <w:jc w:val="left"/>
        <w:rPr>
          <w:rFonts w:ascii="Times New Roman" w:hAnsi="Times New Roman"/>
          <w:sz w:val="16"/>
        </w:rPr>
      </w:pPr>
      <w:r>
        <w:rPr>
          <w:rFonts w:ascii="Times New Roman" w:hAnsi="Times New Roman"/>
          <w:i/>
          <w:sz w:val="16"/>
        </w:rPr>
        <w:t>($ in millions)</w:t>
      </w:r>
      <w:r>
        <w:rPr>
          <w:rFonts w:ascii="Times New Roman" w:hAnsi="Times New Roman"/>
          <w:sz w:val="16"/>
        </w:rPr>
        <w:t xml:space="preserve"> </w:t>
      </w:r>
    </w:p>
    <w:tbl>
      <w:tblPr>
        <w:tblW w:w="5000" w:type="pct"/>
        <w:jc w:val="center"/>
        <w:tblInd w:w="0" w:type="dxa"/>
        <w:tblLayout w:type="fixed"/>
        <w:tblCellMar>
          <w:top w:w="0" w:type="dxa"/>
          <w:left w:w="0" w:type="dxa"/>
          <w:bottom w:w="0" w:type="dxa"/>
          <w:right w:w="0" w:type="dxa"/>
        </w:tblCellMar>
      </w:tblPr>
      <w:tblGrid>
        <w:gridCol w:w="2152"/>
        <w:gridCol w:w="164"/>
        <w:gridCol w:w="179"/>
        <w:gridCol w:w="486"/>
        <w:gridCol w:w="60"/>
        <w:gridCol w:w="164"/>
        <w:gridCol w:w="179"/>
        <w:gridCol w:w="486"/>
        <w:gridCol w:w="60"/>
        <w:gridCol w:w="164"/>
        <w:gridCol w:w="240"/>
        <w:gridCol w:w="428"/>
        <w:gridCol w:w="155"/>
        <w:gridCol w:w="107"/>
        <w:gridCol w:w="179"/>
        <w:gridCol w:w="486"/>
        <w:gridCol w:w="60"/>
        <w:gridCol w:w="164"/>
        <w:gridCol w:w="179"/>
        <w:gridCol w:w="486"/>
        <w:gridCol w:w="60"/>
        <w:gridCol w:w="164"/>
        <w:gridCol w:w="179"/>
        <w:gridCol w:w="486"/>
        <w:gridCol w:w="59"/>
        <w:gridCol w:w="164"/>
        <w:gridCol w:w="179"/>
        <w:gridCol w:w="486"/>
        <w:gridCol w:w="60"/>
        <w:gridCol w:w="164"/>
        <w:gridCol w:w="179"/>
        <w:gridCol w:w="486"/>
        <w:gridCol w:w="60"/>
        <w:gridCol w:w="164"/>
        <w:gridCol w:w="179"/>
        <w:gridCol w:w="486"/>
        <w:gridCol w:w="72"/>
      </w:tblGrid>
      <w:tr>
        <w:trPr/>
        <w:tc>
          <w:tcPr>
            <w:tcW w:w="21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7817" w:type="dxa"/>
            <w:gridSpan w:val="34"/>
            <w:tcBorders/>
            <w:vAlign w:val="bottom"/>
          </w:tcPr>
          <w:p>
            <w:pPr>
              <w:pStyle w:val="TableContents"/>
              <w:bidi w:val="0"/>
              <w:spacing w:before="0" w:after="283"/>
              <w:jc w:val="center"/>
              <w:rPr>
                <w:b/>
              </w:rPr>
            </w:pPr>
            <w:r>
              <w:rPr>
                <w:b/>
              </w:rPr>
              <w:t>Fiscal Year Ending the Following January</w:t>
            </w:r>
          </w:p>
        </w:tc>
        <w:tc>
          <w:tcPr>
            <w:tcW w:w="72" w:type="dxa"/>
            <w:tcBorders/>
            <w:vAlign w:val="bottom"/>
          </w:tcPr>
          <w:p>
            <w:pPr>
              <w:pStyle w:val="TableContents"/>
              <w:bidi w:val="0"/>
              <w:spacing w:before="0" w:after="283"/>
              <w:jc w:val="left"/>
              <w:rPr/>
            </w:pPr>
            <w:r>
              <w:rPr/>
              <w:t> </w:t>
            </w:r>
          </w:p>
        </w:tc>
      </w:tr>
      <w:tr>
        <w:trPr/>
        <w:tc>
          <w:tcPr>
            <w:tcW w:w="215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2028E</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460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470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481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491</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508</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543</w:t>
            </w:r>
          </w:p>
        </w:tc>
        <w:tc>
          <w:tcPr>
            <w:tcW w:w="72" w:type="dxa"/>
            <w:tcBorders/>
            <w:shd w:fill="CCEEFF" w:val="clear"/>
            <w:vAlign w:val="bottom"/>
          </w:tcPr>
          <w:p>
            <w:pPr>
              <w:pStyle w:val="TableContents"/>
              <w:bidi w:val="0"/>
              <w:spacing w:before="0" w:after="283"/>
              <w:jc w:val="left"/>
              <w:rPr/>
            </w:pPr>
            <w:r>
              <w:rPr/>
              <w:t> </w:t>
            </w:r>
          </w:p>
        </w:tc>
      </w:tr>
      <w:tr>
        <w:trPr/>
        <w:tc>
          <w:tcPr>
            <w:tcW w:w="2152"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24</w:t>
            </w:r>
          </w:p>
        </w:tc>
        <w:tc>
          <w:tcPr>
            <w:tcW w:w="59"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35</w:t>
            </w:r>
          </w:p>
        </w:tc>
        <w:tc>
          <w:tcPr>
            <w:tcW w:w="72" w:type="dxa"/>
            <w:tcBorders/>
            <w:vAlign w:val="bottom"/>
          </w:tcPr>
          <w:p>
            <w:pPr>
              <w:pStyle w:val="TableContents"/>
              <w:bidi w:val="0"/>
              <w:spacing w:before="0" w:after="283"/>
              <w:jc w:val="left"/>
              <w:rPr/>
            </w:pPr>
            <w:r>
              <w:rPr/>
              <w:t> </w:t>
            </w:r>
          </w:p>
        </w:tc>
      </w:tr>
      <w:tr>
        <w:trPr/>
        <w:tc>
          <w:tcPr>
            <w:tcW w:w="2152"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w:t>
            </w:r>
          </w:p>
        </w:tc>
        <w:tc>
          <w:tcPr>
            <w:tcW w:w="59"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13</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Certain Standalone FBB Financial Projections Provided by FBB as of May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 summary of the updated four-year May 2026 FBB-Provided Financial Projections for the years ending December 31, 2026 through December 31, 2029, provided to DXL’s senior management, and used by DXL’s senior management to prepare the May 2026 DXL-Provided Financial Projections. FBB’s management prepared these financial projections based on its judgment and experience in the industry and its analysis of FBB and its business. The May 2026 FBB-Provided Financial Projections were provided by FBB or its representatives and reflect FBB’s views. Accordingly, the May 2026 FBB-Provided Financial Projections may differ from, and in certain cases may be inconsistent with, the current views of the DXL Board. DXL stockholders should not view the inclusion of the May 2026 FBB-Provided Financial Projections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recommendation by the DXL Board or as an indication that the DXL Board believes such projections will be realized, and should not place undue reliance on such projections.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344"/>
        <w:gridCol w:w="238"/>
        <w:gridCol w:w="179"/>
        <w:gridCol w:w="487"/>
        <w:gridCol w:w="60"/>
        <w:gridCol w:w="238"/>
        <w:gridCol w:w="179"/>
        <w:gridCol w:w="487"/>
        <w:gridCol w:w="60"/>
        <w:gridCol w:w="238"/>
        <w:gridCol w:w="179"/>
        <w:gridCol w:w="487"/>
        <w:gridCol w:w="60"/>
        <w:gridCol w:w="238"/>
        <w:gridCol w:w="178"/>
        <w:gridCol w:w="487"/>
        <w:gridCol w:w="66"/>
      </w:tblGrid>
      <w:tr>
        <w:trPr/>
        <w:tc>
          <w:tcPr>
            <w:tcW w:w="634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55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34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6"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710</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741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767</w:t>
            </w:r>
          </w:p>
        </w:tc>
        <w:tc>
          <w:tcPr>
            <w:tcW w:w="66" w:type="dxa"/>
            <w:tcBorders/>
            <w:shd w:fill="CCEEFF" w:val="clear"/>
            <w:vAlign w:val="bottom"/>
          </w:tcPr>
          <w:p>
            <w:pPr>
              <w:pStyle w:val="TableContents"/>
              <w:bidi w:val="0"/>
              <w:spacing w:before="0" w:after="283"/>
              <w:jc w:val="left"/>
              <w:rPr/>
            </w:pPr>
            <w:r>
              <w:rPr/>
              <w:t> </w:t>
            </w:r>
          </w:p>
        </w:tc>
      </w:tr>
      <w:tr>
        <w:trPr/>
        <w:tc>
          <w:tcPr>
            <w:tcW w:w="6344"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EBITDA(1)(2)</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47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6344" w:type="dxa"/>
            <w:tcBorders/>
            <w:shd w:fill="CCEEFF" w:val="clear"/>
          </w:tcPr>
          <w:p>
            <w:pPr>
              <w:pStyle w:val="TableContents"/>
              <w:bidi w:val="0"/>
              <w:spacing w:before="0" w:after="20"/>
              <w:jc w:val="left"/>
              <w:rPr>
                <w:rFonts w:ascii="Times New Roman" w:hAnsi="Times New Roman"/>
                <w:sz w:val="18"/>
              </w:rPr>
            </w:pPr>
            <w:r>
              <w:rPr>
                <w:rFonts w:ascii="Times New Roman" w:hAnsi="Times New Roman"/>
                <w:b/>
                <w:sz w:val="18"/>
              </w:rPr>
              <w:t xml:space="preserve">Adj. EBITDA </w:t>
            </w:r>
            <w:r>
              <w:rPr>
                <w:rFonts w:ascii="Times New Roman" w:hAnsi="Times New Roman"/>
                <w:b/>
                <w:i/>
                <w:sz w:val="18"/>
              </w:rPr>
              <w:t>less</w:t>
            </w:r>
            <w:r>
              <w:rPr>
                <w:rFonts w:ascii="Times New Roman" w:hAnsi="Times New Roman"/>
                <w:sz w:val="18"/>
              </w:rPr>
              <w:t xml:space="preserve"> </w:t>
            </w:r>
            <w:r>
              <w:rPr>
                <w:rFonts w:ascii="Times New Roman" w:hAnsi="Times New Roman"/>
                <w:b/>
                <w:sz w:val="18"/>
              </w:rPr>
              <w:t>Capital Expenditures(1)</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29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39</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45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May 2026 FBB-Provided Financial Projections furnished to DXL by FBB included estimates of Revenue and Adjusted EBITDA attributable to potential future acquisitions. The amounts presented in this table have been adjusted to exclude those acquisition-related estimates.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Certain Standalone FBB Financial Projections used by Guggenheim Securities as of May 2026 </w:t>
      </w:r>
    </w:p>
    <w:p>
      <w:pPr>
        <w:pStyle w:val="TextBody"/>
        <w:bidi w:val="0"/>
        <w:spacing w:before="120" w:after="0"/>
        <w:jc w:val="left"/>
        <w:rPr>
          <w:rFonts w:ascii="Times New Roman" w:hAnsi="Times New Roman"/>
          <w:sz w:val="20"/>
        </w:rPr>
      </w:pPr>
      <w:r>
        <w:rPr>
          <w:rFonts w:ascii="Times New Roman" w:hAnsi="Times New Roman"/>
          <w:sz w:val="20"/>
        </w:rPr>
        <w:t>The following table presents a summary of the 9-year May 2026 DXL-Provided Financial Projections provided to Guggenheim Securities, and approved for Guggenheim Securities’ use by DXL’s senior management, in the financial analyses performed in connection with the May 2026 Supplemental Financial Analyses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As described in the section entitled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DXL was provided the May 2026 FBB-Provided Financial Projections for the years ending December 31, 2026 through December 31, 2029 by the management of FBB, and management of DXL prepared the May 2026 DXL-Provided Financial Projections for the years ending December 31, 2026 through December 31, 2034, based on DXL management’s judgment and experience in the industry, their analysis of FBB and its business and discussions with the management of FBB.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2217"/>
        <w:gridCol w:w="161"/>
        <w:gridCol w:w="179"/>
        <w:gridCol w:w="486"/>
        <w:gridCol w:w="60"/>
        <w:gridCol w:w="161"/>
        <w:gridCol w:w="179"/>
        <w:gridCol w:w="486"/>
        <w:gridCol w:w="60"/>
        <w:gridCol w:w="161"/>
        <w:gridCol w:w="179"/>
        <w:gridCol w:w="486"/>
        <w:gridCol w:w="60"/>
        <w:gridCol w:w="160"/>
        <w:gridCol w:w="179"/>
        <w:gridCol w:w="486"/>
        <w:gridCol w:w="60"/>
        <w:gridCol w:w="161"/>
        <w:gridCol w:w="179"/>
        <w:gridCol w:w="486"/>
        <w:gridCol w:w="60"/>
        <w:gridCol w:w="161"/>
        <w:gridCol w:w="179"/>
        <w:gridCol w:w="486"/>
        <w:gridCol w:w="60"/>
        <w:gridCol w:w="161"/>
        <w:gridCol w:w="179"/>
        <w:gridCol w:w="486"/>
        <w:gridCol w:w="59"/>
        <w:gridCol w:w="161"/>
        <w:gridCol w:w="179"/>
        <w:gridCol w:w="486"/>
        <w:gridCol w:w="60"/>
        <w:gridCol w:w="161"/>
        <w:gridCol w:w="179"/>
        <w:gridCol w:w="486"/>
        <w:gridCol w:w="76"/>
      </w:tblGrid>
      <w:tr>
        <w:trPr/>
        <w:tc>
          <w:tcPr>
            <w:tcW w:w="221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7751" w:type="dxa"/>
            <w:gridSpan w:val="34"/>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Fiscal Year Ending December</w:t>
            </w:r>
          </w:p>
        </w:tc>
        <w:tc>
          <w:tcPr>
            <w:tcW w:w="76" w:type="dxa"/>
            <w:tcBorders/>
            <w:vAlign w:val="bottom"/>
          </w:tcPr>
          <w:p>
            <w:pPr>
              <w:pStyle w:val="TableContents"/>
              <w:bidi w:val="0"/>
              <w:spacing w:before="0" w:after="283"/>
              <w:jc w:val="left"/>
              <w:rPr/>
            </w:pPr>
            <w:r>
              <w:rPr/>
              <w:t> </w:t>
            </w:r>
          </w:p>
        </w:tc>
      </w:tr>
      <w:tr>
        <w:trPr/>
        <w:tc>
          <w:tcPr>
            <w:tcW w:w="221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2030E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2031E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2032E</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2033E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65" w:type="dxa"/>
            <w:gridSpan w:val="2"/>
            <w:tcBorders/>
            <w:vAlign w:val="bottom"/>
          </w:tcPr>
          <w:p>
            <w:pPr>
              <w:pStyle w:val="TableContents"/>
              <w:bidi w:val="0"/>
              <w:spacing w:before="0" w:after="283"/>
              <w:jc w:val="center"/>
              <w:rPr>
                <w:b/>
              </w:rPr>
            </w:pPr>
            <w:r>
              <w:rPr>
                <w:b/>
              </w:rPr>
              <w:t>2034E</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Revenue</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675</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680</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713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729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771</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796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822</w:t>
            </w:r>
          </w:p>
        </w:tc>
        <w:tc>
          <w:tcPr>
            <w:tcW w:w="76" w:type="dxa"/>
            <w:tcBorders/>
            <w:shd w:fill="CCEEFF" w:val="clear"/>
            <w:vAlign w:val="bottom"/>
          </w:tcPr>
          <w:p>
            <w:pPr>
              <w:pStyle w:val="TableContents"/>
              <w:bidi w:val="0"/>
              <w:spacing w:before="0" w:after="283"/>
              <w:jc w:val="left"/>
              <w:rPr/>
            </w:pPr>
            <w:r>
              <w:rPr/>
              <w:t> </w:t>
            </w:r>
          </w:p>
        </w:tc>
      </w:tr>
      <w:tr>
        <w:trPr/>
        <w:tc>
          <w:tcPr>
            <w:tcW w:w="2217" w:type="dxa"/>
            <w:tcBorders/>
          </w:tcPr>
          <w:p>
            <w:pPr>
              <w:pStyle w:val="TableContents"/>
              <w:bidi w:val="0"/>
              <w:spacing w:before="0" w:after="0"/>
              <w:jc w:val="left"/>
              <w:rPr>
                <w:rFonts w:ascii="Times New Roman" w:hAnsi="Times New Roman"/>
                <w:b/>
                <w:sz w:val="18"/>
              </w:rPr>
            </w:pPr>
            <w:r>
              <w:rPr>
                <w:rFonts w:ascii="Times New Roman" w:hAnsi="Times New Roman"/>
                <w:b/>
                <w:sz w:val="18"/>
              </w:rPr>
              <w:t>Adj. EBITDA(1)</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40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59"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486" w:type="dxa"/>
            <w:tcBorders/>
            <w:vAlign w:val="bottom"/>
          </w:tcPr>
          <w:p>
            <w:pPr>
              <w:pStyle w:val="TableContents"/>
              <w:bidi w:val="0"/>
              <w:spacing w:before="0" w:after="283"/>
              <w:jc w:val="right"/>
              <w:rPr/>
            </w:pPr>
            <w:r>
              <w:rPr/>
              <w:t>33</w:t>
            </w:r>
          </w:p>
        </w:tc>
        <w:tc>
          <w:tcPr>
            <w:tcW w:w="76" w:type="dxa"/>
            <w:tcBorders/>
            <w:vAlign w:val="bottom"/>
          </w:tcPr>
          <w:p>
            <w:pPr>
              <w:pStyle w:val="TableContents"/>
              <w:bidi w:val="0"/>
              <w:spacing w:before="0" w:after="283"/>
              <w:jc w:val="left"/>
              <w:rPr/>
            </w:pPr>
            <w:r>
              <w:rPr/>
              <w:t> </w:t>
            </w:r>
          </w:p>
        </w:tc>
      </w:tr>
      <w:tr>
        <w:trPr/>
        <w:tc>
          <w:tcPr>
            <w:tcW w:w="2217"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Flow(2)</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23</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26</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21</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59"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486" w:type="dxa"/>
            <w:tcBorders/>
            <w:shd w:fill="CCEEFF" w:val="clear"/>
            <w:vAlign w:val="bottom"/>
          </w:tcPr>
          <w:p>
            <w:pPr>
              <w:pStyle w:val="TableContents"/>
              <w:bidi w:val="0"/>
              <w:spacing w:before="0" w:after="283"/>
              <w:jc w:val="right"/>
              <w:rPr/>
            </w:pPr>
            <w:r>
              <w:rPr/>
              <w:t>17</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 </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Adjusted EBITDA was calculated as earnings before interest, taxes, depreciation, and amortization, and adjusted for certain non-recurring items. Such non-recurring items would include any impairment (gain) of assets, transaction-related costs associated with the merger, restructuring costs, severance costs, and accruals for non-recurring legal settlements.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Unlevered Free Cash Flow was not provided by FBB as part of the May 2026 FBB-Provided Financial Projections set forth above. Accordingly, Unlevered Free Cash Flow for FBB was calculated by DXL, with the assistance of Guggenheim Securities, using a methodology consistent with that used to calculate Unlevered Free Cash Flow in the DXL financial projections. </w:t>
      </w:r>
    </w:p>
    <w:p>
      <w:pPr>
        <w:pStyle w:val="TextBody"/>
        <w:bidi w:val="0"/>
        <w:spacing w:before="240" w:after="0"/>
        <w:jc w:val="left"/>
        <w:rPr>
          <w:rFonts w:ascii="Times New Roman" w:hAnsi="Times New Roman"/>
          <w:i/>
          <w:sz w:val="16"/>
        </w:rPr>
      </w:pPr>
      <w:r>
        <w:rPr>
          <w:rFonts w:ascii="Times New Roman" w:hAnsi="Times New Roman"/>
          <w:i/>
          <w:sz w:val="16"/>
        </w:rPr>
        <w:t xml:space="preserve">($ in millions) </w:t>
      </w:r>
    </w:p>
    <w:tbl>
      <w:tblPr>
        <w:tblW w:w="5000" w:type="pct"/>
        <w:jc w:val="center"/>
        <w:tblInd w:w="0" w:type="dxa"/>
        <w:tblLayout w:type="fixed"/>
        <w:tblCellMar>
          <w:top w:w="0" w:type="dxa"/>
          <w:left w:w="0" w:type="dxa"/>
          <w:bottom w:w="0" w:type="dxa"/>
          <w:right w:w="0" w:type="dxa"/>
        </w:tblCellMar>
      </w:tblPr>
      <w:tblGrid>
        <w:gridCol w:w="6068"/>
        <w:gridCol w:w="304"/>
        <w:gridCol w:w="232"/>
        <w:gridCol w:w="437"/>
        <w:gridCol w:w="60"/>
        <w:gridCol w:w="304"/>
        <w:gridCol w:w="232"/>
        <w:gridCol w:w="437"/>
        <w:gridCol w:w="60"/>
        <w:gridCol w:w="304"/>
        <w:gridCol w:w="232"/>
        <w:gridCol w:w="437"/>
        <w:gridCol w:w="60"/>
        <w:gridCol w:w="304"/>
        <w:gridCol w:w="231"/>
        <w:gridCol w:w="437"/>
        <w:gridCol w:w="66"/>
      </w:tblGrid>
      <w:tr>
        <w:trPr/>
        <w:tc>
          <w:tcPr>
            <w:tcW w:w="6068"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767" w:type="dxa"/>
            <w:gridSpan w:val="14"/>
            <w:tcBorders/>
            <w:vAlign w:val="bottom"/>
          </w:tcPr>
          <w:p>
            <w:pPr>
              <w:pStyle w:val="TableContents"/>
              <w:bidi w:val="0"/>
              <w:spacing w:before="0" w:after="283"/>
              <w:jc w:val="center"/>
              <w:rPr>
                <w:b/>
              </w:rPr>
            </w:pPr>
            <w:r>
              <w:rPr>
                <w:b/>
              </w:rPr>
              <w:t>Fiscal Year Ending December</w:t>
            </w:r>
          </w:p>
        </w:tc>
        <w:tc>
          <w:tcPr>
            <w:tcW w:w="66" w:type="dxa"/>
            <w:tcBorders/>
            <w:vAlign w:val="bottom"/>
          </w:tcPr>
          <w:p>
            <w:pPr>
              <w:pStyle w:val="TableContents"/>
              <w:bidi w:val="0"/>
              <w:spacing w:before="0" w:after="283"/>
              <w:jc w:val="left"/>
              <w:rPr/>
            </w:pPr>
            <w:r>
              <w:rPr/>
              <w:t> </w:t>
            </w:r>
          </w:p>
        </w:tc>
      </w:tr>
      <w:tr>
        <w:trPr/>
        <w:tc>
          <w:tcPr>
            <w:tcW w:w="606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2027E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9" w:type="dxa"/>
            <w:gridSpan w:val="2"/>
            <w:tcBorders/>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68" w:type="dxa"/>
            <w:gridSpan w:val="2"/>
            <w:tcBorders/>
            <w:vAlign w:val="bottom"/>
          </w:tcPr>
          <w:p>
            <w:pPr>
              <w:pStyle w:val="TableContents"/>
              <w:bidi w:val="0"/>
              <w:spacing w:before="0" w:after="283"/>
              <w:jc w:val="center"/>
              <w:rPr>
                <w:b/>
              </w:rPr>
            </w:pPr>
            <w:r>
              <w:rPr>
                <w:b/>
              </w:rPr>
              <w:t>2029E</w:t>
            </w:r>
          </w:p>
        </w:tc>
        <w:tc>
          <w:tcPr>
            <w:tcW w:w="66" w:type="dxa"/>
            <w:tcBorders/>
            <w:vAlign w:val="bottom"/>
          </w:tcPr>
          <w:p>
            <w:pPr>
              <w:pStyle w:val="TableContents"/>
              <w:bidi w:val="0"/>
              <w:spacing w:before="0" w:after="283"/>
              <w:jc w:val="left"/>
              <w:rPr/>
            </w:pPr>
            <w:r>
              <w:rPr/>
              <w:t> </w:t>
            </w:r>
          </w:p>
        </w:tc>
      </w:tr>
      <w:tr>
        <w:trPr/>
        <w:tc>
          <w:tcPr>
            <w:tcW w:w="6068"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Unlevered Free Cash Flow(1)</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27</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25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32</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437" w:type="dxa"/>
            <w:tcBorders/>
            <w:shd w:fill="CCEEFF" w:val="clear"/>
            <w:vAlign w:val="bottom"/>
          </w:tcPr>
          <w:p>
            <w:pPr>
              <w:pStyle w:val="TableContents"/>
              <w:bidi w:val="0"/>
              <w:spacing w:before="0" w:after="283"/>
              <w:jc w:val="right"/>
              <w:rPr/>
            </w:pPr>
            <w:r>
              <w:rPr/>
              <w:t>33</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Unlevered Free Cash Flow was calculated as after-tax unlevered operating cash flow minus capital expenditures and changes in working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standalone Financial Projections for DXL and FBB were prepared separately using, in some cases, different assumptions, and are not intended to be added together. Adding the financial forecasts together for the two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companies is not intended to represent the results DXL will achieve if the merger is completed and is not intended to represent forecasted financial information for DXL if the merger is completed. By including in this proxy statement a summary of the Financial Projections, none of DXL, FBB or any of their respective representatives has made or makes any representation to any person regarding the ultimate performance of DXL or FBB compared to the information contained in the Financial Projections. Neither DXL nor FBB undertakes any obligation to update or otherwise revise the Financial Projections to reflect circumstances existing since their preparation or to reflect the occurrence of subsequent or unanticipated events, even in the event that any or all of the underlying assumptions are shown to be inappropriate, or to reflect changes in general economic or industry conditions. The Financial Projections summarized in this section are not included in this proxy statement in order to induce any holder of DXL common stock to vote in favor of the issuance proposal or any of the other proposals to be voted on at the special meeting. </w:t>
      </w:r>
    </w:p>
    <w:p>
      <w:pPr>
        <w:pStyle w:val="TextBody"/>
        <w:bidi w:val="0"/>
        <w:spacing w:before="240" w:after="0"/>
        <w:jc w:val="left"/>
        <w:rPr>
          <w:rFonts w:ascii="Times New Roman" w:hAnsi="Times New Roman"/>
          <w:sz w:val="20"/>
        </w:rPr>
      </w:pPr>
      <w:r>
        <w:rPr>
          <w:rFonts w:ascii="Times New Roman" w:hAnsi="Times New Roman"/>
          <w:sz w:val="20"/>
        </w:rPr>
        <w:t>Certain of the Financial Projections were not prepared in accordance with GAAP, including Adjusted EBITDA and Unlevered Free Cash Flow (collectively, the “non-GAAP financial measures”). DXL believes that the use of these non-GAAP financial measures is useful in analyzing the financial forecasts and that they enhance investors’ understanding of DXL and FBB financial projections. The presentation of these non-GAAP financial measures is not in accordance with GAAP and should not be considered superior to, or as a substitute for, net income (loss), cash provided by operations or any other measure of performance derived in accordance with GAAP. In addition, not all companies calculate Adjusted EBITDA and Unlevered Free Cash Flow in the same manner and, accordingly, the non-GAAP financial measures presented in the Financial Projections may not be comparable to similar Adjusted EBITDA and Unlevered Free Cash Flow measures used by other companies. Reconciliations of non-GAAP financial measures were not relied upon by Guggenheim Securities for purposes of the December 2025 Opinion or the May 2026 Supplemental Financial Analyses, each as described in the sections entitled “—</w:t>
      </w:r>
      <w:r>
        <w:rPr>
          <w:rFonts w:ascii="Times New Roman" w:hAnsi="Times New Roman"/>
          <w:i/>
          <w:sz w:val="20"/>
        </w:rPr>
        <w:t>December 2025</w:t>
      </w:r>
      <w:r>
        <w:rPr>
          <w:rFonts w:ascii="Times New Roman" w:hAnsi="Times New Roman"/>
          <w:sz w:val="20"/>
        </w:rPr>
        <w:t xml:space="preserve"> </w:t>
      </w:r>
      <w:r>
        <w:rPr>
          <w:rFonts w:ascii="Times New Roman" w:hAnsi="Times New Roman"/>
          <w:i/>
          <w:sz w:val="20"/>
        </w:rPr>
        <w:t>Opinion of Guggenheim Securities, Financial Advisor to DXL</w:t>
      </w:r>
      <w:r>
        <w:rPr>
          <w:rFonts w:ascii="Times New Roman" w:hAnsi="Times New Roman"/>
          <w:sz w:val="20"/>
        </w:rPr>
        <w:t>” and “—</w:t>
      </w:r>
      <w:r>
        <w:rPr>
          <w:rFonts w:ascii="Times New Roman" w:hAnsi="Times New Roman"/>
          <w:i/>
          <w:sz w:val="20"/>
        </w:rPr>
        <w:t>May 2026 Supplemental Financial Analyses Prepared by Guggenheim Securities, Financial Advisor to DXL</w:t>
      </w:r>
      <w:r>
        <w:rPr>
          <w:rFonts w:ascii="Times New Roman" w:hAnsi="Times New Roman"/>
          <w:sz w:val="20"/>
        </w:rPr>
        <w:t xml:space="preserve">” or by the DXL Board in connection with its consideration of the merger. In addition, financial measures provided to a board of directors or a financial advisor are excluded from the definition of non-GAAP financial measures under SEC rules and, therefore, are not subject to SEC rules regarding disclosures of non-GAAP financial measures, which would otherwise require, among other information, a reconciliation of a non-GAAP financial measure to a GAAP financial measure. Accordingly, DXL has not provided a reconciliation of the financial measures included in the Financial Projections. </w:t>
      </w:r>
    </w:p>
    <w:p>
      <w:pPr>
        <w:pStyle w:val="TextBody"/>
        <w:bidi w:val="0"/>
        <w:spacing w:before="360" w:after="0"/>
        <w:jc w:val="left"/>
        <w:rPr>
          <w:rFonts w:ascii="Times New Roman" w:hAnsi="Times New Roman"/>
          <w:b/>
          <w:sz w:val="20"/>
        </w:rPr>
      </w:pPr>
      <w:bookmarkStart w:id="22" w:name="tx76201_19"/>
      <w:bookmarkEnd w:id="22"/>
      <w:r>
        <w:rPr>
          <w:rFonts w:ascii="Times New Roman" w:hAnsi="Times New Roman"/>
          <w:b/>
          <w:sz w:val="20"/>
        </w:rPr>
        <w:t xml:space="preserve">Interests of DXL’s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As described below, some of DXL’s directors and executive officers have interests in the merger that are different from, or in addition to, those of other DXL stockholders generally. Members of the DXL Board were aware of and considered these interests, among other matters, in reaching its decision to approve the merger agreement in December 2025, and in evaluating and negotiating the merger agreement and the merger. In light of developments since the execution of the merger agreement, the DXL Board now recommends that DXL stockholders vote against the issuance proposal that is necessary for the merger. See the section entitled “</w:t>
      </w:r>
      <w:r>
        <w:rPr>
          <w:rFonts w:ascii="Times New Roman" w:hAnsi="Times New Roman"/>
          <w:i/>
          <w:sz w:val="20"/>
        </w:rPr>
        <w:t>The Merger—DXL’s Reasons for Recommending Against the Issuance Proposal; Updated Recommendation of the DXL Board</w:t>
      </w:r>
      <w:r>
        <w:rPr>
          <w:rFonts w:ascii="Times New Roman" w:hAnsi="Times New Roman"/>
          <w:sz w:val="20"/>
        </w:rPr>
        <w:t xml:space="preserve">”. DXL stockholders should take these interests into account in deciding whether to vote against the issuance proposal and in favor of the reverse stock split proposal and the 2016 plan proposal. These interests are described in more detail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Continued Board of Directors Service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if the merger is consummated, it is expected that four of DXL’s current directors, Lionel F. Conacher, Carmen R. Bauza, Jack Boyle, and Willem Mesdag, would continue to serve on the board of directors of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 in Control Payments </w:t>
      </w:r>
    </w:p>
    <w:p>
      <w:pPr>
        <w:pStyle w:val="TextBody"/>
        <w:bidi w:val="0"/>
        <w:spacing w:before="120" w:after="0"/>
        <w:jc w:val="left"/>
        <w:rPr>
          <w:rFonts w:ascii="Times New Roman" w:hAnsi="Times New Roman"/>
          <w:sz w:val="20"/>
        </w:rPr>
      </w:pPr>
      <w:r>
        <w:rPr>
          <w:rFonts w:ascii="Times New Roman" w:hAnsi="Times New Roman"/>
          <w:sz w:val="20"/>
        </w:rPr>
        <w:t xml:space="preserve">The merger, if consummated, would constitute a “change in control” (a “CIC”) pursuant to the DXL agreements and plans applicable to the executive officers described herein. A description of potential payments to executive officers of DXL are detailed below. The information set forth in the table below is intended to comply with Item 402(t) of the SEC’s Regulation S-K, which requires disclosure of information about compensation paid to DXL’s named executive officers that is based on, or otherwise relates to,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Harvey S. Kanter Employment Agreement </w:t>
      </w:r>
    </w:p>
    <w:p>
      <w:pPr>
        <w:pStyle w:val="TextBody"/>
        <w:bidi w:val="0"/>
        <w:spacing w:before="120" w:after="0"/>
        <w:jc w:val="left"/>
        <w:rPr>
          <w:rFonts w:ascii="Times New Roman" w:hAnsi="Times New Roman"/>
          <w:sz w:val="20"/>
        </w:rPr>
      </w:pPr>
      <w:r>
        <w:rPr>
          <w:rFonts w:ascii="Times New Roman" w:hAnsi="Times New Roman"/>
          <w:sz w:val="20"/>
        </w:rPr>
        <w:t>On August 11, 2023, DXL and Mr. Kanter entered into the First Amendment to his existing Employment Agreement (as amended, the “Amended Employment Agreement”). The amendment extended the end of the initial term of Mr. Kanter’s employment from April 1, 2025 to August 11, 2026, unless Mr. Kanter is terminated earlier in accordance with the terms of the Amended Employment Agreement (the “Initial Term”). On May 11, 2026, DXL notified Mr. Kanter that it does not intend to renew his Amended Employment Agreement. This notification was provided in accordance with the terms of the Amended Employment Agreement and consistent with Mr. Kanter indicating that he would like to retire. Accordingly, Mr. Kanter’s Amended Employment Agreement will expire and his employment with DXL will terminate on August 11, 2026 (the “Termination Date”).</w:t>
      </w:r>
    </w:p>
    <w:p>
      <w:pPr>
        <w:pStyle w:val="TextBody"/>
        <w:bidi w:val="0"/>
        <w:spacing w:before="240" w:after="0"/>
        <w:jc w:val="left"/>
        <w:rPr>
          <w:rFonts w:ascii="Times New Roman" w:hAnsi="Times New Roman"/>
          <w:sz w:val="20"/>
        </w:rPr>
      </w:pPr>
      <w:r>
        <w:rPr>
          <w:rFonts w:ascii="Times New Roman" w:hAnsi="Times New Roman"/>
          <w:sz w:val="20"/>
        </w:rPr>
        <w:t>Pursuant to his Amended Employment Agreement, Mr. Kanter receives an annual base salary of $850,000 as President and Chief Executive Officer with an annual automobile allowance of $10,000. Mr. Kanter receives a quarterly travel allowance in the amount of $30,000, which is intended to be used for travel between Mr. Kanter’s home and DXL’s corporate offices.</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extension of the Initial Term under the amendment, Mr. Kanter received 573,000 performance share units (“PSUs”) to be settled in shares of the DXL common stock upon vesting. The award will vest, if at all, in nine installments, when the trailing 30-day volume-weighted average closing price of a share of the DXL common stock meets or exceeds $6.50, $6.75, $7.00, $7.25, $7.50, $7.75, $8.00, $8.25, and $8.50, respectively, and the installments were subject to a minimum one-year vesting from the date of grant. All 573,000 PSUs remain outstanding and, if unvested, will expire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Mr. Kanter is eligible to participate in DXL’s annual incentive plan (“AIP”) at a target rate of 100% of his earned salary, up to a maximum payout of up to 200% of target. Mr. Kanter is also eligible to participate in DXL’s Long-Term Incentive Plan, as amended (the “LTIP”) (as described below) at a target bonus equal to 170% of his base salary in effect on the effective date of participation. Pursuant to the terms of the LTIP, 50% of any award will be time-based compensation and 50% will be performance-based compensation. The maximum payout of performance-based compensation is 150% of target.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Amended Employment Agreement, if Mr. Kanter experiences a Qualifying Termination (as defined below) during the one-year period following a CIC and prior to the Termination Date, then Mr. Kanter will be eligible to receive, subject to certain requirements described in the Employment Agreement, including the execution of a general release, a payment equal to (i) two (2) times his then-current base salary plus (ii) the then value of two (2) times his target bonus under the AIP, generally paid over twenty-four (24) months beginning on the 60th day following termination, except that if the CIC constitutes a “change in control event” under Section 409A and occurs prior to the Termination Date, the entire amount is paid in a lump sum within sixty (60) days of the termination of his employment following CIC (subject to any applicable 409A six-month delay for specified employees) as well as continued payment by the Company of health, dental and vision insurance for twelve (12) months. Payments made under this provision may be reduced to avoid any payments or benefits to the executive being treated as “excess parachute payments” within the meaning of Section 280G(b)(i) of the Code if such reduction would result in a greater amount being paid to Mr. Kanter than if such amounts were not reduced.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termination of Mr. Kanter’s employment prior to the expiration of the Initial Term meets the requirements of a Structured Retirement (as described below), such termination will be deemed to be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by DXL without “justifiable cause”. Based on the expected timing of the CIC, if consummated, and the Termination Date, the fact that Mr. Kanter has not started the process to name a successor or take other actions required for a Structured Retirement means that no Structured Retirement will occur prior to the potential CIC.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Amended Employment Agreement and the LTIP. For an estimate of the value of the severance payments and benefits that would be payable to Mr. Kanter upon a Qualifying Termination in connection with a CIC under the Amended Employment Agreement,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Named Executive Officers (Other than the CEO) </w:t>
      </w:r>
    </w:p>
    <w:p>
      <w:pPr>
        <w:pStyle w:val="TextBody"/>
        <w:bidi w:val="0"/>
        <w:spacing w:before="120" w:after="0"/>
        <w:jc w:val="left"/>
        <w:rPr>
          <w:rFonts w:ascii="Times New Roman" w:hAnsi="Times New Roman"/>
          <w:sz w:val="20"/>
        </w:rPr>
      </w:pPr>
      <w:r>
        <w:rPr>
          <w:rFonts w:ascii="Times New Roman" w:hAnsi="Times New Roman"/>
          <w:sz w:val="20"/>
        </w:rPr>
        <w:t xml:space="preserve">DXL has employment agreements with each of Messrs. Stratton, Gaeta, and Molloy and Ms. Surette (collectively, the “NEO Employment Agreements”). In accordance with the NEO Employment Agreements, if any of the executive officers experiences a termination without “justifiable cause” or for “good reason” (each, a “Qualifying Termination”) within one (1) year following a CIC, the named executive officer will receive twelve (12) months of the executive’s base salary. For Mr. Stratton and Mr. Molloy, this is the highest base salary in effect at any time during the six-month period ending on a CIC, for Mr. Gaeta and Ms. Surette, this is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240" w:after="0"/>
        <w:jc w:val="left"/>
        <w:rPr>
          <w:rFonts w:ascii="Times New Roman" w:hAnsi="Times New Roman"/>
          <w:sz w:val="20"/>
        </w:rPr>
      </w:pPr>
      <w:r>
        <w:rPr>
          <w:rFonts w:ascii="Times New Roman" w:hAnsi="Times New Roman"/>
          <w:sz w:val="20"/>
        </w:rPr>
        <w:t>The proposed merger would constitute a CIC under the NEO Employment Agreements and the LTIP. For an estimate of the value of the severance payments and benefits that would be payable to Messrs. Stratton, Gaeta, and Molloy and Ms. Surette upon a Qualifying Termination in connection with a CIC under the NEO Employment Agreements, see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below.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Agreements with Executive Officers who are not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DXL entered into employment agreements with Stacey Jones as Chief Human Resources Officer on February 21, 2021 and with John F. Cooney as Senior Vice President, Finance, Chief Accounting Officer and Corporate Controller on March 6, 2022 (together, the “Executive Officer Employment Agreements”). The Executive Officer Employment Agreements provide that the term of the agreements will continue until otherwise terminated by either party. Pursuant to the Executive Officer Employment Agreements, base salaries are subject to periodic review and adjustments. Ms. Jones currently receives an annual base salary of $377,500 and Mr. Cooney currently receives an annual base salary of $320,000. Both Ms. Jones and Mr. Cooney receive an annual $8,400 car allowance.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Executive Officer Employment Agreements, Ms. Jones and Mr. Cooney are eligible to participate in the AIP. Ms. Jones and Mr. Cooney are also eligible to participate in the LTIP at a target bonus equal to a specific percentage of their annual base salary in effect on their effective date of participation, which is 70% for Ms. Jones and 50% for Mr. Cooney. Pursuant to the terms of the LTIP, 50% of any award will be time-based compensation and 50% will be performance-based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Executive Officer Employment Agreements, if either Ms. Jones or Mr. Cooney experiences a Qualifying Termination within one (1) year following a CIC, each will receive twelve (12) months of their base salary in effect at the time of termination, in each case generally paid in a single payment within thirty (30) days after termination, subject to and conditioned upon the execution of a general release. Payments made under this provision are to be reduced if and to the extent necessary to avoid any payments or benefits to the executive being treated as “excess parachute payments” within the meaning of Section 280G(b)(i)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proposed merger would constitute a CIC under the Executive Officer Employment Agreements and the LTIP. The estimated aggregate amount that would be realized by Ms. Jones and Mr. Cooney, who are not named executive officers, upon a Qualifying Termination in connection with a CIC under the Executive Officer Employment Agreements is $697,500. </w:t>
      </w:r>
    </w:p>
    <w:p>
      <w:pPr>
        <w:pStyle w:val="TextBody"/>
        <w:bidi w:val="0"/>
        <w:spacing w:before="360" w:after="0"/>
        <w:jc w:val="left"/>
        <w:rPr>
          <w:rFonts w:ascii="Times New Roman" w:hAnsi="Times New Roman"/>
          <w:i/>
          <w:sz w:val="20"/>
        </w:rPr>
      </w:pPr>
      <w:r>
        <w:rPr>
          <w:rFonts w:ascii="Times New Roman" w:hAnsi="Times New Roman"/>
          <w:i/>
          <w:sz w:val="20"/>
        </w:rPr>
        <w:t xml:space="preserve">DXL Long-Term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LTIP consists of a combination of time-based and performance-based awards (collectively, the “LTIP Awards”) for which payouts may consist of cash or equity or both. All LTIP Awards have been granted under the 2016 plan. Participants in the LTIPs are eligible to receive awards based on their “Target Cash Value,” which is defined as the participant’s annual base salary multiplied by his or her LTIP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time-based portion of the LTIP (the “Time-Based LTIP Awards”), which represents 50% of the potential target payout, is made in a combination of cash and equity, which has historically consisted of restricted stock units (“RSUs”) or stock options. The Time-Based LTIP Awards vest equally over a four (4)-year period where the first tranche vests on the later of (i) April 1 immediately following the end of the first year of the performance period to which the award relates or (ii) the first anniversary of the date of grant (whichever applicable, the “Time-Vesting Date”) and then the second, third and fourth tranches vest on the second, third and fourth anniversaries of the Time Vesting Date,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portion of the LTIP (the “Performance-Based LTIP Awards”), which represents the remaining 50% of the potential target payout, are awards that vest based on financial metric(s) measured over a three (3)-year performance cycle. The current outstanding Performance-Based LTIP Awards under the 2024-2026 LTIP and the 2025-2027 LTIP, each of which approximate $2.4 million at target, will be granted at the end of the respective performance periods if the performance targets are achieved. Through the end of the first quarter of fiscal 2026, there was no accrual for performance under either LTIP. In the event the merger is consummated, the Performance-Based LTIP Awards under the 2024-2026 LTIP and the 2025-2027 LTIP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will be issued in shares of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Time-Based LTIP Awards that are issued and outstanding immediately prior to a CIC will remain in place after a CIC and continue to vest in accordance with their terms. If the merger is consummated, upon the CIC, the executive officers will have Time-Based LTIP Awards outstanding in the 2023-2025 LTIP, 2024- 2026 LTIP and the 2025 –2027 LTIP (the “Current LTIP Awards”). </w:t>
      </w:r>
    </w:p>
    <w:p>
      <w:pPr>
        <w:pStyle w:val="TextBody"/>
        <w:bidi w:val="0"/>
        <w:spacing w:before="240" w:after="0"/>
        <w:jc w:val="left"/>
        <w:rPr>
          <w:rFonts w:ascii="Times New Roman" w:hAnsi="Times New Roman"/>
          <w:sz w:val="20"/>
        </w:rPr>
      </w:pPr>
      <w:r>
        <w:rPr>
          <w:rFonts w:ascii="Times New Roman" w:hAnsi="Times New Roman"/>
          <w:sz w:val="20"/>
        </w:rPr>
        <w:t xml:space="preserve">The LTIPs include a “Structured Retirement” provision, which provides an opportunity for greater vesting upon retirement where the executive officer assists DXL in ensuring the succession of the executive’s position within DXL prior to the executive’s retirement. In order to be eligible to participate in a Structured Retirement, (i) the executive must terminate employment after meeting the age and service requirements set forth in the LTIP (which requires, at minimum, that the executive has attained age 59 and completed at least three (3) years of service in the case of the CEO, or five (5) years of service for other executives), (ii) the Compensation Committee must confirm through proper corporate action that the executive has met all of the succession planning objectives set by the Compensation Committee, (iii) the executive must continue to work until the date required by the Compensation Committee (which may not be more than sixty (60) days after the Compensation Committee confirms that the objectives have been met), and (iv) the executive must execute a release of claims in favor of DXL. The final determination as to whether the requirements of a Structured Retirement have been met is in the sole discretion of the Compensation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the Time-Based LTIP Awards, if an executive officer experiences a Qualifying Termination within six (6) months before or eighteen (18) months after a CIC, if (i) the respective LTIP performance period has ended on or before the potential CIC, any unvested equity and cash awards shall immediately vest, and to the extent the portion of the Participant’s Award(s) that is attributable to a Time-Based LTIP Award for a performance period that ended on or before such CIC had not yet vested or been paid to the Participant shall immediately vest; (ii) the respective LTIP performance period has not ended on or before the potential CIC and if such portion of the Time-Based LTIP Award is not assumed by the acquirer or converted into a new award, a pro-rata vesting of any unvested equity and cash awards shall immediately vest, based on the number of days from the start of the respective performance period to a CIC over the total days of the performance period. </w:t>
      </w:r>
    </w:p>
    <w:p>
      <w:pPr>
        <w:pStyle w:val="TextBody"/>
        <w:bidi w:val="0"/>
        <w:spacing w:before="240" w:after="0"/>
        <w:jc w:val="left"/>
        <w:rPr>
          <w:rFonts w:ascii="Times New Roman" w:hAnsi="Times New Roman"/>
          <w:sz w:val="20"/>
        </w:rPr>
      </w:pPr>
      <w:r>
        <w:rPr>
          <w:rFonts w:ascii="Times New Roman" w:hAnsi="Times New Roman"/>
          <w:sz w:val="20"/>
        </w:rPr>
        <w:t xml:space="preserve">The proposed merger, if consummated, would constitute a CIC for purposes of the LTIP. </w:t>
      </w:r>
    </w:p>
    <w:p>
      <w:pPr>
        <w:pStyle w:val="TextBody"/>
        <w:bidi w:val="0"/>
        <w:spacing w:before="240" w:after="0"/>
        <w:jc w:val="left"/>
        <w:rPr>
          <w:rFonts w:ascii="Times New Roman" w:hAnsi="Times New Roman"/>
          <w:sz w:val="20"/>
        </w:rPr>
      </w:pPr>
      <w:r>
        <w:rPr>
          <w:rFonts w:ascii="Times New Roman" w:hAnsi="Times New Roman"/>
          <w:sz w:val="20"/>
        </w:rPr>
        <w:t xml:space="preserve">The estimated value, if target is met, of the Performance-Based LTIP Awards to be cancelled and paid out with respect to each of Messrs. Kanter, Stratton, Gaeta, and Molloy and Ms. Surette is included in the table below. Additionally, the estimated value of the Time-Based LTIP Awards, which would be paid on a Qualifying Termination, is also included in the table below. </w:t>
      </w:r>
    </w:p>
    <w:p>
      <w:pPr>
        <w:pStyle w:val="TextBody"/>
        <w:bidi w:val="0"/>
        <w:spacing w:before="240" w:after="0"/>
        <w:jc w:val="left"/>
        <w:rPr>
          <w:rFonts w:ascii="Times New Roman" w:hAnsi="Times New Roman"/>
          <w:sz w:val="20"/>
        </w:rPr>
      </w:pPr>
      <w:r>
        <w:rPr>
          <w:rFonts w:ascii="Times New Roman" w:hAnsi="Times New Roman"/>
          <w:sz w:val="20"/>
        </w:rPr>
        <w:t>The estimated aggregate value, if target is met, of the Performance-Based LTIP Awards to be cancelled and paid out with respect to the two DXL executive officers who are not named executive officers is $229,270, assuming target. Additionally, the estimated aggregate value of the Time-Based LTIP Awards, which would be paid on a Qualifying Termination with respect to the two DXL executive officers who are not named executive officers is $63,065 in cash and $25,005 in RSUs. These amounts were determined using the assumptions set forth in the section entitled “</w:t>
      </w:r>
      <w:r>
        <w:rPr>
          <w:rFonts w:ascii="Times New Roman" w:hAnsi="Times New Roman"/>
          <w:i/>
          <w:sz w:val="20"/>
        </w:rPr>
        <w:t>Quantification of Payments and Benefits to DXL’s Named Executive Officers in Connection with the Merger</w:t>
      </w:r>
      <w:r>
        <w:rPr>
          <w:rFonts w:ascii="Times New Roman" w:hAnsi="Times New Roman"/>
          <w:sz w:val="20"/>
        </w:rPr>
        <w:t xml:space="preserve">.” As a result of such assumptions, which may or may not actually occur or be accurate on the relevant date, the actual amounts to be received by DXL executive officers who are not named executive officers may materially differ from the amounts set forth above. </w:t>
      </w:r>
    </w:p>
    <w:p>
      <w:pPr>
        <w:pStyle w:val="TextBody"/>
        <w:bidi w:val="0"/>
        <w:spacing w:before="360" w:after="0"/>
        <w:jc w:val="left"/>
        <w:rPr>
          <w:rFonts w:ascii="Times New Roman" w:hAnsi="Times New Roman"/>
          <w:i/>
          <w:sz w:val="20"/>
        </w:rPr>
      </w:pPr>
      <w:r>
        <w:rPr>
          <w:rFonts w:ascii="Times New Roman" w:hAnsi="Times New Roman"/>
          <w:i/>
          <w:sz w:val="20"/>
        </w:rPr>
        <w:t xml:space="preserve">Kanter Performance Stock Units </w:t>
      </w:r>
    </w:p>
    <w:p>
      <w:pPr>
        <w:pStyle w:val="TextBody"/>
        <w:bidi w:val="0"/>
        <w:spacing w:before="120" w:after="0"/>
        <w:jc w:val="left"/>
        <w:rPr>
          <w:rFonts w:ascii="Times New Roman" w:hAnsi="Times New Roman"/>
          <w:sz w:val="20"/>
        </w:rPr>
      </w:pPr>
      <w:r>
        <w:rPr>
          <w:rFonts w:ascii="Times New Roman" w:hAnsi="Times New Roman"/>
          <w:sz w:val="20"/>
        </w:rPr>
        <w:t xml:space="preserve">Mr. Kanter was granted 573,000 performance stock units (“PSUs”) on August 11, 2023. The award consists of nine tranches, with the first tranche vesting if and when the 30-day volume-weighted closing price of DXL common stock is equal to or greater than $6.50 per share and subject to Mr. Kanter’s continuous employment through each vesting date. Each subsequent tranche will vest upon achievement of the 30-day volume-weighted closing price of DXL common stock in $0.25 increments with the ninth tranche vesting when such price is equal to or greater than $8.50 per share. All 573,000 PSUs remain outstanding and, if unvested, will expire on August 11, 2026. </w:t>
      </w:r>
    </w:p>
    <w:p>
      <w:pPr>
        <w:pStyle w:val="TextBody"/>
        <w:bidi w:val="0"/>
        <w:spacing w:before="240" w:after="0"/>
        <w:jc w:val="left"/>
        <w:rPr>
          <w:rFonts w:ascii="Times New Roman" w:hAnsi="Times New Roman"/>
          <w:sz w:val="20"/>
        </w:rPr>
      </w:pPr>
      <w:r>
        <w:rPr>
          <w:rFonts w:ascii="Times New Roman" w:hAnsi="Times New Roman"/>
          <w:sz w:val="20"/>
        </w:rPr>
        <w:t xml:space="preserve">To date, none of the PSUs have vested. If the proposed merger is consummated and the closing price of the merger equals or exceeds one or more of the average share price vesting thresholds in the PSU award, then any outstanding PSU shares as of the date of a CIC would 100% vest to the same extent as if the average share price had been achieved as of the date of a CIC. However, even if the merger is consummated, the current expected closing merger price is not expected to achieve nor exceed the lowest average share price vesting thresholds and, therefore, no PSU-related payment would be expected to be made on the CIC. In the event Mr. Kanter experiences a Qualifying Termination prior to the CIC (and prior to the Termination Date) and the CIC occurs within thirty (30) days following such Qualifying Termination and the CIC price is at or above any of the vesting threshold share values (which is not expected to occur), any unvested portion of the PSU award will vest based on the higher of performance through the Qualifying Termination and the CIC price.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additional compensation that is based on or otherwise relates to the merger would be payable to the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Payments and Benefits to DXL’s Named Executive Officers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estimates of single trigger and double trigger CIC payments to the DXL named executive officers if the merger is consummated. The “CIC Payment” is a single trigger payment that would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made if the CIC is consummated. The amounts shown below assume, if the merger occurs, (i) the CIC occurred on July 6, 2026, (ii) a stock price of $1.08 (the average closing price per share of DXL common stock during the first five (5) days following the merger announcement), (iii) performance through the CIC as described herein, and (iv) continued employment through the CIC unless otherwise noted. All amounts are estimates. The calculations in the table do not include amounts that DXL’s named executive officers were already vested in as of the date of this proxy statement. As a result of the foregoing assumptions, which may or may not actually occur or be accurate on the relevant date, including the assumptions described in the footnotes to the table, the actual amounts, if any, to be received by a named executive officer may materially differ from the amounts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the CIC is consummated after the Termination Date, Mr. Kanter would not receive any payments and the amounts for Mr. Kanter in the chart below would be zero.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disclosure, “single trigger” refers to payments and benefits that arise solely as a result of the completion of the merger and “double trigger” refers to payments and benefits that require two conditions, which are the completion of the merger and a qualifying termination of employment.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276"/>
        <w:gridCol w:w="229"/>
        <w:gridCol w:w="140"/>
        <w:gridCol w:w="1059"/>
        <w:gridCol w:w="180"/>
        <w:gridCol w:w="273"/>
        <w:gridCol w:w="192"/>
        <w:gridCol w:w="1161"/>
        <w:gridCol w:w="225"/>
        <w:gridCol w:w="273"/>
        <w:gridCol w:w="231"/>
        <w:gridCol w:w="1219"/>
        <w:gridCol w:w="224"/>
        <w:gridCol w:w="273"/>
        <w:gridCol w:w="140"/>
        <w:gridCol w:w="1059"/>
        <w:gridCol w:w="234"/>
      </w:tblGrid>
      <w:tr>
        <w:trPr/>
        <w:tc>
          <w:tcPr>
            <w:tcW w:w="2276"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r>
      <w:tr>
        <w:trPr/>
        <w:tc>
          <w:tcPr>
            <w:tcW w:w="22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29"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($)(1)</w:t>
            </w:r>
          </w:p>
        </w:tc>
        <w:tc>
          <w:tcPr>
            <w:tcW w:w="18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($)(2)</w:t>
            </w:r>
          </w:p>
        </w:tc>
        <w:tc>
          <w:tcPr>
            <w:tcW w:w="22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Perquisites/</w:t>
              <w:br/>
              <w:t>Benefits ($)(3)</w:t>
            </w:r>
          </w:p>
        </w:tc>
        <w:tc>
          <w:tcPr>
            <w:tcW w:w="224"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1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234" w:type="dxa"/>
            <w:tcBorders/>
            <w:vAlign w:val="bottom"/>
          </w:tcPr>
          <w:p>
            <w:pPr>
              <w:pStyle w:val="TableContents"/>
              <w:bidi w:val="0"/>
              <w:spacing w:before="0" w:after="283"/>
              <w:jc w:val="left"/>
              <w:rPr/>
            </w:pPr>
            <w:r>
              <w:rPr/>
              <w:t> </w:t>
            </w:r>
          </w:p>
        </w:tc>
      </w:tr>
      <w:tr>
        <w:trPr/>
        <w:tc>
          <w:tcPr>
            <w:tcW w:w="2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Kanter(4)</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4,613,240</w:t>
            </w:r>
          </w:p>
        </w:tc>
        <w:tc>
          <w:tcPr>
            <w:tcW w:w="18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115,180</w:t>
            </w:r>
          </w:p>
        </w:tc>
        <w:tc>
          <w:tcPr>
            <w:tcW w:w="22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30,416</w:t>
            </w:r>
          </w:p>
        </w:tc>
        <w:tc>
          <w:tcPr>
            <w:tcW w:w="224"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4,758,836</w:t>
            </w:r>
          </w:p>
        </w:tc>
        <w:tc>
          <w:tcPr>
            <w:tcW w:w="234" w:type="dxa"/>
            <w:tcBorders/>
            <w:shd w:fill="CCEEFF" w:val="clear"/>
            <w:vAlign w:val="bottom"/>
          </w:tcPr>
          <w:p>
            <w:pPr>
              <w:pStyle w:val="TableContents"/>
              <w:bidi w:val="0"/>
              <w:spacing w:before="0" w:after="283"/>
              <w:jc w:val="left"/>
              <w:rPr/>
            </w:pPr>
            <w:r>
              <w:rPr/>
              <w:t> </w:t>
            </w:r>
          </w:p>
        </w:tc>
      </w:tr>
      <w:tr>
        <w:trPr/>
        <w:tc>
          <w:tcPr>
            <w:tcW w:w="2276"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795,001</w:t>
            </w:r>
          </w:p>
        </w:tc>
        <w:tc>
          <w:tcPr>
            <w:tcW w:w="18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29,645</w:t>
            </w:r>
          </w:p>
        </w:tc>
        <w:tc>
          <w:tcPr>
            <w:tcW w:w="22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824,646</w:t>
            </w:r>
          </w:p>
        </w:tc>
        <w:tc>
          <w:tcPr>
            <w:tcW w:w="234" w:type="dxa"/>
            <w:tcBorders/>
            <w:vAlign w:val="bottom"/>
          </w:tcPr>
          <w:p>
            <w:pPr>
              <w:pStyle w:val="TableContents"/>
              <w:bidi w:val="0"/>
              <w:spacing w:before="0" w:after="283"/>
              <w:jc w:val="left"/>
              <w:rPr/>
            </w:pPr>
            <w:r>
              <w:rPr/>
              <w:t> </w:t>
            </w:r>
          </w:p>
        </w:tc>
      </w:tr>
      <w:tr>
        <w:trPr/>
        <w:tc>
          <w:tcPr>
            <w:tcW w:w="2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646,288</w:t>
            </w:r>
          </w:p>
        </w:tc>
        <w:tc>
          <w:tcPr>
            <w:tcW w:w="18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21,854</w:t>
            </w:r>
          </w:p>
        </w:tc>
        <w:tc>
          <w:tcPr>
            <w:tcW w:w="22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668,142</w:t>
            </w:r>
          </w:p>
        </w:tc>
        <w:tc>
          <w:tcPr>
            <w:tcW w:w="234" w:type="dxa"/>
            <w:tcBorders/>
            <w:shd w:fill="CCEEFF" w:val="clear"/>
            <w:vAlign w:val="bottom"/>
          </w:tcPr>
          <w:p>
            <w:pPr>
              <w:pStyle w:val="TableContents"/>
              <w:bidi w:val="0"/>
              <w:spacing w:before="0" w:after="283"/>
              <w:jc w:val="left"/>
              <w:rPr/>
            </w:pPr>
            <w:r>
              <w:rPr/>
              <w:t> </w:t>
            </w:r>
          </w:p>
        </w:tc>
      </w:tr>
      <w:tr>
        <w:trPr/>
        <w:tc>
          <w:tcPr>
            <w:tcW w:w="2276"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626,835</w:t>
            </w:r>
          </w:p>
        </w:tc>
        <w:tc>
          <w:tcPr>
            <w:tcW w:w="18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161" w:type="dxa"/>
            <w:tcBorders/>
            <w:vAlign w:val="bottom"/>
          </w:tcPr>
          <w:p>
            <w:pPr>
              <w:pStyle w:val="TableContents"/>
              <w:bidi w:val="0"/>
              <w:spacing w:before="0" w:after="283"/>
              <w:jc w:val="right"/>
              <w:rPr/>
            </w:pPr>
            <w:r>
              <w:rPr/>
              <w:t>21,868</w:t>
            </w:r>
          </w:p>
        </w:tc>
        <w:tc>
          <w:tcPr>
            <w:tcW w:w="22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648,703</w:t>
            </w:r>
          </w:p>
        </w:tc>
        <w:tc>
          <w:tcPr>
            <w:tcW w:w="234" w:type="dxa"/>
            <w:tcBorders/>
            <w:vAlign w:val="bottom"/>
          </w:tcPr>
          <w:p>
            <w:pPr>
              <w:pStyle w:val="TableContents"/>
              <w:bidi w:val="0"/>
              <w:spacing w:before="0" w:after="283"/>
              <w:jc w:val="left"/>
              <w:rPr/>
            </w:pPr>
            <w:r>
              <w:rPr/>
              <w:t> </w:t>
            </w:r>
          </w:p>
        </w:tc>
      </w:tr>
      <w:tr>
        <w:trPr/>
        <w:tc>
          <w:tcPr>
            <w:tcW w:w="2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607,878</w:t>
            </w:r>
          </w:p>
        </w:tc>
        <w:tc>
          <w:tcPr>
            <w:tcW w:w="18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20,976</w:t>
            </w:r>
          </w:p>
        </w:tc>
        <w:tc>
          <w:tcPr>
            <w:tcW w:w="22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sz w:val="4"/>
                <w:szCs w:val="4"/>
              </w:rPr>
            </w:pPr>
            <w:r>
              <w:rPr>
                <w:sz w:val="4"/>
                <w:szCs w:val="4"/>
              </w:rPr>
            </w:r>
          </w:p>
        </w:tc>
        <w:tc>
          <w:tcPr>
            <w:tcW w:w="1219"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628,854</w:t>
            </w:r>
          </w:p>
        </w:tc>
        <w:tc>
          <w:tcPr>
            <w:tcW w:w="23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“Cash” column includes, for each named executive officer and as further detailed in the table below, the (i) the estimated value of the unvested cash Performance-Based LTIP Awards, assuming target, that will be cancelled and paid out, on a pro-rata basis, based on actual achievement through the potential CIC (which amounts are “single-trigger”), (ii) a cash severance payment equal to one (1) times base salary (except for Mr. Kanter, the cash severance payment is equal to two (2) times base salary, plus two (2) times current AIP at target), which amounts are “double-trigger”, and (iii) a cash payment for the pro rata vesting of unvested cash Time-Based LTIP Cash Awards, which amounts are “double-trigger”. For purposes of this table, we are assuming the actual achievement of the performance targets under the Performance-based LTIP Awards will be at target; however, based on current performance it is unlikely that the respective performance targets under either LTIP will be achieved.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981"/>
        <w:gridCol w:w="195"/>
        <w:gridCol w:w="396"/>
        <w:gridCol w:w="2301"/>
        <w:gridCol w:w="60"/>
        <w:gridCol w:w="195"/>
        <w:gridCol w:w="205"/>
        <w:gridCol w:w="1455"/>
        <w:gridCol w:w="60"/>
        <w:gridCol w:w="195"/>
        <w:gridCol w:w="279"/>
        <w:gridCol w:w="1613"/>
        <w:gridCol w:w="60"/>
        <w:gridCol w:w="195"/>
        <w:gridCol w:w="140"/>
        <w:gridCol w:w="993"/>
        <w:gridCol w:w="65"/>
      </w:tblGrid>
      <w:tr>
        <w:trPr/>
        <w:tc>
          <w:tcPr>
            <w:tcW w:w="981"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5" w:type="dxa"/>
            <w:tcBorders/>
            <w:vAlign w:val="bottom"/>
          </w:tcPr>
          <w:p>
            <w:pPr>
              <w:pStyle w:val="TableContents"/>
              <w:bidi w:val="0"/>
              <w:spacing w:before="0" w:after="283"/>
              <w:jc w:val="left"/>
              <w:rPr/>
            </w:pPr>
            <w:r>
              <w:rPr/>
              <w:t>  </w:t>
            </w:r>
          </w:p>
        </w:tc>
        <w:tc>
          <w:tcPr>
            <w:tcW w:w="2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Performance-Based LTIP</w:t>
              <w:br/>
              <w:t>Award</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Severance</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Time-Based LTIP</w:t>
              <w:br/>
              <w:t>Cash Awards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Cash</w:t>
            </w:r>
          </w:p>
        </w:tc>
        <w:tc>
          <w:tcPr>
            <w:tcW w:w="65" w:type="dxa"/>
            <w:tcBorders/>
            <w:vAlign w:val="bottom"/>
          </w:tcPr>
          <w:p>
            <w:pPr>
              <w:pStyle w:val="TableContents"/>
              <w:bidi w:val="0"/>
              <w:spacing w:before="0" w:after="283"/>
              <w:jc w:val="left"/>
              <w:rPr/>
            </w:pPr>
            <w:r>
              <w:rPr/>
              <w:t> </w:t>
            </w:r>
          </w:p>
        </w:tc>
      </w:tr>
      <w:tr>
        <w:trPr/>
        <w:tc>
          <w:tcPr>
            <w:tcW w:w="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19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929,244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455" w:type="dxa"/>
            <w:tcBorders/>
            <w:shd w:fill="CCEEFF" w:val="clear"/>
            <w:vAlign w:val="bottom"/>
          </w:tcPr>
          <w:p>
            <w:pPr>
              <w:pStyle w:val="TableContents"/>
              <w:bidi w:val="0"/>
              <w:spacing w:before="0" w:after="283"/>
              <w:jc w:val="right"/>
              <w:rPr/>
            </w:pPr>
            <w:r>
              <w:rPr/>
              <w:t>3,400,000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w:t>
            </w:r>
          </w:p>
        </w:tc>
        <w:tc>
          <w:tcPr>
            <w:tcW w:w="1613" w:type="dxa"/>
            <w:tcBorders/>
            <w:shd w:fill="CCEEFF" w:val="clear"/>
            <w:vAlign w:val="bottom"/>
          </w:tcPr>
          <w:p>
            <w:pPr>
              <w:pStyle w:val="TableContents"/>
              <w:bidi w:val="0"/>
              <w:spacing w:before="0" w:after="283"/>
              <w:jc w:val="right"/>
              <w:rPr/>
            </w:pPr>
            <w:r>
              <w:rPr/>
              <w:t>283,996</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4,613,240</w:t>
            </w:r>
          </w:p>
        </w:tc>
        <w:tc>
          <w:tcPr>
            <w:tcW w:w="65" w:type="dxa"/>
            <w:tcBorders/>
            <w:shd w:fill="CCEEFF" w:val="clear"/>
            <w:vAlign w:val="bottom"/>
          </w:tcPr>
          <w:p>
            <w:pPr>
              <w:pStyle w:val="TableContents"/>
              <w:bidi w:val="0"/>
              <w:spacing w:before="0" w:after="283"/>
              <w:jc w:val="left"/>
              <w:rPr/>
            </w:pPr>
            <w:r>
              <w:rPr/>
              <w:t> </w:t>
            </w:r>
          </w:p>
        </w:tc>
      </w:tr>
      <w:tr>
        <w:trPr/>
        <w:tc>
          <w:tcPr>
            <w:tcW w:w="981"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19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301" w:type="dxa"/>
            <w:tcBorders/>
            <w:vAlign w:val="bottom"/>
          </w:tcPr>
          <w:p>
            <w:pPr>
              <w:pStyle w:val="TableContents"/>
              <w:bidi w:val="0"/>
              <w:spacing w:before="0" w:after="283"/>
              <w:jc w:val="right"/>
              <w:rPr/>
            </w:pPr>
            <w:r>
              <w:rPr/>
              <w:t>238,177</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455" w:type="dxa"/>
            <w:tcBorders/>
            <w:vAlign w:val="bottom"/>
          </w:tcPr>
          <w:p>
            <w:pPr>
              <w:pStyle w:val="TableContents"/>
              <w:bidi w:val="0"/>
              <w:spacing w:before="0" w:after="283"/>
              <w:jc w:val="right"/>
              <w:rPr/>
            </w:pPr>
            <w:r>
              <w:rPr/>
              <w:t>484,210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w:t>
            </w:r>
          </w:p>
        </w:tc>
        <w:tc>
          <w:tcPr>
            <w:tcW w:w="1613" w:type="dxa"/>
            <w:tcBorders/>
            <w:vAlign w:val="bottom"/>
          </w:tcPr>
          <w:p>
            <w:pPr>
              <w:pStyle w:val="TableContents"/>
              <w:bidi w:val="0"/>
              <w:spacing w:before="0" w:after="283"/>
              <w:jc w:val="right"/>
              <w:rPr/>
            </w:pPr>
            <w:r>
              <w:rPr/>
              <w:t>72,614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795,001</w:t>
            </w:r>
          </w:p>
        </w:tc>
        <w:tc>
          <w:tcPr>
            <w:tcW w:w="65" w:type="dxa"/>
            <w:tcBorders/>
            <w:vAlign w:val="bottom"/>
          </w:tcPr>
          <w:p>
            <w:pPr>
              <w:pStyle w:val="TableContents"/>
              <w:bidi w:val="0"/>
              <w:spacing w:before="0" w:after="283"/>
              <w:jc w:val="left"/>
              <w:rPr/>
            </w:pPr>
            <w:r>
              <w:rPr/>
              <w:t> </w:t>
            </w:r>
          </w:p>
        </w:tc>
      </w:tr>
      <w:tr>
        <w:trPr/>
        <w:tc>
          <w:tcPr>
            <w:tcW w:w="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19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182,063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455" w:type="dxa"/>
            <w:tcBorders/>
            <w:shd w:fill="CCEEFF" w:val="clear"/>
            <w:vAlign w:val="bottom"/>
          </w:tcPr>
          <w:p>
            <w:pPr>
              <w:pStyle w:val="TableContents"/>
              <w:bidi w:val="0"/>
              <w:spacing w:before="0" w:after="283"/>
              <w:jc w:val="right"/>
              <w:rPr/>
            </w:pPr>
            <w:r>
              <w:rPr/>
              <w:t>412,000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w:t>
            </w:r>
          </w:p>
        </w:tc>
        <w:tc>
          <w:tcPr>
            <w:tcW w:w="1613" w:type="dxa"/>
            <w:tcBorders/>
            <w:shd w:fill="CCEEFF" w:val="clear"/>
            <w:vAlign w:val="bottom"/>
          </w:tcPr>
          <w:p>
            <w:pPr>
              <w:pStyle w:val="TableContents"/>
              <w:bidi w:val="0"/>
              <w:spacing w:before="0" w:after="283"/>
              <w:jc w:val="right"/>
              <w:rPr/>
            </w:pPr>
            <w:r>
              <w:rPr/>
              <w:t>52,225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646,288</w:t>
            </w:r>
          </w:p>
        </w:tc>
        <w:tc>
          <w:tcPr>
            <w:tcW w:w="65" w:type="dxa"/>
            <w:tcBorders/>
            <w:shd w:fill="CCEEFF" w:val="clear"/>
            <w:vAlign w:val="bottom"/>
          </w:tcPr>
          <w:p>
            <w:pPr>
              <w:pStyle w:val="TableContents"/>
              <w:bidi w:val="0"/>
              <w:spacing w:before="0" w:after="283"/>
              <w:jc w:val="left"/>
              <w:rPr/>
            </w:pPr>
            <w:r>
              <w:rPr/>
              <w:t> </w:t>
            </w:r>
          </w:p>
        </w:tc>
      </w:tr>
      <w:tr>
        <w:trPr/>
        <w:tc>
          <w:tcPr>
            <w:tcW w:w="981"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19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w:t>
            </w:r>
          </w:p>
        </w:tc>
        <w:tc>
          <w:tcPr>
            <w:tcW w:w="2301" w:type="dxa"/>
            <w:tcBorders/>
            <w:vAlign w:val="bottom"/>
          </w:tcPr>
          <w:p>
            <w:pPr>
              <w:pStyle w:val="TableContents"/>
              <w:bidi w:val="0"/>
              <w:spacing w:before="0" w:after="283"/>
              <w:jc w:val="right"/>
              <w:rPr/>
            </w:pPr>
            <w:r>
              <w:rPr/>
              <w:t>175,691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455" w:type="dxa"/>
            <w:tcBorders/>
            <w:vAlign w:val="bottom"/>
          </w:tcPr>
          <w:p>
            <w:pPr>
              <w:pStyle w:val="TableContents"/>
              <w:bidi w:val="0"/>
              <w:spacing w:before="0" w:after="283"/>
              <w:jc w:val="right"/>
              <w:rPr/>
            </w:pPr>
            <w:r>
              <w:rPr/>
              <w:t>397,580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w:t>
            </w:r>
          </w:p>
        </w:tc>
        <w:tc>
          <w:tcPr>
            <w:tcW w:w="1613" w:type="dxa"/>
            <w:tcBorders/>
            <w:vAlign w:val="bottom"/>
          </w:tcPr>
          <w:p>
            <w:pPr>
              <w:pStyle w:val="TableContents"/>
              <w:bidi w:val="0"/>
              <w:spacing w:before="0" w:after="283"/>
              <w:jc w:val="right"/>
              <w:rPr/>
            </w:pPr>
            <w:r>
              <w:rPr/>
              <w:t>53,564</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3" w:type="dxa"/>
            <w:tcBorders/>
            <w:vAlign w:val="bottom"/>
          </w:tcPr>
          <w:p>
            <w:pPr>
              <w:pStyle w:val="TableContents"/>
              <w:bidi w:val="0"/>
              <w:spacing w:before="0" w:after="283"/>
              <w:jc w:val="right"/>
              <w:rPr/>
            </w:pPr>
            <w:r>
              <w:rPr/>
              <w:t>626,835</w:t>
            </w:r>
          </w:p>
        </w:tc>
        <w:tc>
          <w:tcPr>
            <w:tcW w:w="65" w:type="dxa"/>
            <w:tcBorders/>
            <w:vAlign w:val="bottom"/>
          </w:tcPr>
          <w:p>
            <w:pPr>
              <w:pStyle w:val="TableContents"/>
              <w:bidi w:val="0"/>
              <w:spacing w:before="0" w:after="283"/>
              <w:jc w:val="left"/>
              <w:rPr/>
            </w:pPr>
            <w:r>
              <w:rPr/>
              <w:t> </w:t>
            </w:r>
          </w:p>
        </w:tc>
      </w:tr>
      <w:tr>
        <w:trPr/>
        <w:tc>
          <w:tcPr>
            <w:tcW w:w="9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19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w:t>
            </w:r>
          </w:p>
        </w:tc>
        <w:tc>
          <w:tcPr>
            <w:tcW w:w="2301" w:type="dxa"/>
            <w:tcBorders/>
            <w:shd w:fill="CCEEFF" w:val="clear"/>
            <w:vAlign w:val="bottom"/>
          </w:tcPr>
          <w:p>
            <w:pPr>
              <w:pStyle w:val="TableContents"/>
              <w:bidi w:val="0"/>
              <w:spacing w:before="0" w:after="283"/>
              <w:jc w:val="right"/>
              <w:rPr/>
            </w:pPr>
            <w:r>
              <w:rPr/>
              <w:t>170,684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455" w:type="dxa"/>
            <w:tcBorders/>
            <w:shd w:fill="CCEEFF" w:val="clear"/>
            <w:vAlign w:val="bottom"/>
          </w:tcPr>
          <w:p>
            <w:pPr>
              <w:pStyle w:val="TableContents"/>
              <w:bidi w:val="0"/>
              <w:spacing w:before="0" w:after="283"/>
              <w:jc w:val="right"/>
              <w:rPr/>
            </w:pPr>
            <w:r>
              <w:rPr/>
              <w:t>386,250</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w:t>
            </w:r>
          </w:p>
        </w:tc>
        <w:tc>
          <w:tcPr>
            <w:tcW w:w="1613" w:type="dxa"/>
            <w:tcBorders/>
            <w:shd w:fill="CCEEFF" w:val="clear"/>
            <w:vAlign w:val="bottom"/>
          </w:tcPr>
          <w:p>
            <w:pPr>
              <w:pStyle w:val="TableContents"/>
              <w:bidi w:val="0"/>
              <w:spacing w:before="0" w:after="283"/>
              <w:jc w:val="right"/>
              <w:rPr/>
            </w:pPr>
            <w:r>
              <w:rPr/>
              <w:t>50,944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3" w:type="dxa"/>
            <w:tcBorders/>
            <w:shd w:fill="CCEEFF" w:val="clear"/>
            <w:vAlign w:val="bottom"/>
          </w:tcPr>
          <w:p>
            <w:pPr>
              <w:pStyle w:val="TableContents"/>
              <w:bidi w:val="0"/>
              <w:spacing w:before="0" w:after="283"/>
              <w:jc w:val="right"/>
              <w:rPr/>
            </w:pPr>
            <w:r>
              <w:rPr/>
              <w:t>607,878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column includes the estimated value of the unvested equity-based Time-Based LTIP Awards under DXL’s 2023-2025 LTIP, 2024-2026 LTIP and 2025-2027 LTIP that will vest, on a pro rata basis, in accordance with the terms of the LTIP, as described above, if an executive officer experiences a Qualifying Termination within six (6) months prior or eighteen (18) months following a CIC. Such amounts are “double-trigger”. Additionally, if the merger is consummated and if the closing price on the closing date of the merger equals or exceeds one or more of the average share price vesting thresholds in Mr. Kanter’s PSUs, then any outstanding PSUs will fully vest to the same extent as if the average DXL share price had been achieved as of the date of the CIC. Such amount is “single-trigger”. Using the average of the closing share price during the first five (5) business days following the merger announcement, which is $1.08,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below all applicable thresholds, these PSUs are not expected to vest and so the estimated value of those awards is $0 and are not included in the table and values above.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“Perquisites/Benefits” column includes, for Mr. Kanter, one-year of subsidized COBRA coverage under DXL’s health plan, which amount is “double-trigger”.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11, 2026, DXL notified Mr. Kanter that it does not intend to renew his Amended Employment Agreement. This notification was provided in accordance with Mr. Kanter’s expressed desire to retire, and as required by his Employment Agreement. Accordingly, Mr. Kanter’s Amended Employment Agreement will expire and his employment with DXL will terminate on August 11, 2026. </w:t>
            </w:r>
          </w:p>
        </w:tc>
      </w:tr>
    </w:tbl>
    <w:p>
      <w:pPr>
        <w:pStyle w:val="TextBody"/>
        <w:bidi w:val="0"/>
        <w:spacing w:before="360" w:after="0"/>
        <w:jc w:val="left"/>
        <w:rPr>
          <w:rFonts w:ascii="Times New Roman" w:hAnsi="Times New Roman"/>
          <w:b/>
          <w:sz w:val="20"/>
        </w:rPr>
      </w:pPr>
      <w:bookmarkStart w:id="23" w:name="tx76201_20"/>
      <w:bookmarkEnd w:id="23"/>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merger would be treated by DXL as a reverse acquisition under U.S. generally accepted accounting principles (“GAAP”). For accounting purposes, FBB would be considered to be the accounting acquirer in this transaction even though DXL would be the legal acquirer. </w:t>
      </w:r>
    </w:p>
    <w:p>
      <w:pPr>
        <w:pStyle w:val="TextBody"/>
        <w:bidi w:val="0"/>
        <w:spacing w:before="360" w:after="0"/>
        <w:jc w:val="left"/>
        <w:rPr>
          <w:rFonts w:ascii="Times New Roman" w:hAnsi="Times New Roman"/>
          <w:b/>
          <w:sz w:val="20"/>
        </w:rPr>
      </w:pPr>
      <w:bookmarkStart w:id="24" w:name="tx76201_21"/>
      <w:bookmarkEnd w:id="24"/>
      <w:r>
        <w:rPr>
          <w:rFonts w:ascii="Times New Roman" w:hAnsi="Times New Roman"/>
          <w:b/>
          <w:sz w:val="20"/>
        </w:rPr>
        <w:t xml:space="preserve">Federal Securities Law Consequences; Resale Restrictions </w:t>
      </w:r>
    </w:p>
    <w:p>
      <w:pPr>
        <w:pStyle w:val="TextBody"/>
        <w:bidi w:val="0"/>
        <w:spacing w:before="120" w:after="0"/>
        <w:jc w:val="left"/>
        <w:rPr>
          <w:rFonts w:ascii="Times New Roman" w:hAnsi="Times New Roman"/>
          <w:sz w:val="20"/>
        </w:rPr>
      </w:pPr>
      <w:r>
        <w:rPr>
          <w:rFonts w:ascii="Times New Roman" w:hAnsi="Times New Roman"/>
          <w:sz w:val="20"/>
        </w:rPr>
        <w:t>If the merger is consummated, the issuance of DXL common stock in the merger to FBB stockholders would be effected by means of a private placement, which is exempt from registration under the Securities Act in reliance on Section 4(a)(2) of the Securities Act and Rule 506 of Regulation D promulgated thereunder and such shares would be “restricted securities”. The shares issued in connection with the merger would not be registered under the Securities Act upon issuance and would not be freely transferable. Holders of such shares may not sell their respective shares unless the shares are registered under the Securities Act or an exemption is available under the Securities Act. FBB represented and warranted to DXL in the merger agreement provides that the number of unaccredited investors is less than thirty (30). Additionally, the shares of DXL common stock issued in the merger to certain of FBB stockholders would be subject to the resale restrictions under the lock-up agreements, as further described in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5" w:name="tx76201_22"/>
      <w:bookmarkEnd w:id="25"/>
      <w:r>
        <w:rPr>
          <w:rFonts w:ascii="Times New Roman" w:hAnsi="Times New Roman"/>
          <w:b/>
          <w:sz w:val="20"/>
        </w:rPr>
        <w:t xml:space="preserve">Material U.S. Federal Income Tax Consequences of the Merger and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summarizes certain material U.S. federal income tax considerations of the merger and the reverse stock split that would be expected to apply generally to U.S. Holders (as defined below) of DXL common stock. This summary is based upon current provisions of the Code, existing Treasury Regulations under the Code and current administrative rulings and court decisions, all of which are subject to change or different interpretation. Any change, which may or may not be retroactive, could alter the tax consequences to DXL or its stockholders as described in this summary. No ruling from the U.S. Internal Revenue Service, or the IRS, has been or will be requested in connection with the merger or the reverse stock split and there can be no assurance that the IRS will not challenge the statements and conclusions set forth below or that a court would not sustain any such challenge. </w:t>
      </w:r>
    </w:p>
    <w:p>
      <w:pPr>
        <w:pStyle w:val="TextBody"/>
        <w:bidi w:val="0"/>
        <w:spacing w:before="240" w:after="0"/>
        <w:jc w:val="left"/>
        <w:rPr>
          <w:rFonts w:ascii="Times New Roman" w:hAnsi="Times New Roman"/>
          <w:sz w:val="20"/>
        </w:rPr>
      </w:pPr>
      <w:r>
        <w:rPr>
          <w:rFonts w:ascii="Times New Roman" w:hAnsi="Times New Roman"/>
          <w:sz w:val="20"/>
        </w:rPr>
        <w:t xml:space="preserve">No attempt has been made to address all U.S. federal income tax consequences of the merger or the reverse stock split that may be relevant to particular U.S. Holders, including holders: (i) who are subject to special tax rules such as dealers, brokers and traders in securities, mutual funds, regulated investment companies, real estate investment trusts, insurance companies, banks or other financial institutions or tax-exempt entities; (ii) who acquired their shares in connection with stock options, stock purchase plans or other compensatory transactions; (iii) who hold their shares as a hedge or as part of a hedging, straddle, “conversion transaction”, “synthetic security”, integrated investment or any risk reduction strategy; (iv) who are partnerships, limited liability companies that are not treated as corporations for U.S. federal income tax purposes, S corporations, or other pass-through entities or investors in such pass-through entities; (v) who do not hold their shares as capital assets for U.S. federal income tax purposes (generally, property held for investment within the meaning of Section 1221 of the Code); (vi) who hold their shares through individual retirement or other tax-deferred accounts; (vii) who have a functional currency for United States federal income tax purposes other than the U.S. dollar, (viii) who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under Section 451(b) of the Code to conform the timing of their income to their financial statements; or (ix) who acquired their shares of DXL common stock through the exercise of convertible securities or in a transaction subject to the gain rollover provisions of Section 1045 of the Code.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state, local or non-U.S. tax consequences of the merger or the reverse stock split, the Medicare tax on net investment income, U.S. federal estate and gift tax, the alternative minimum tax, the rules regarding qualified small business stock within the meaning of Section 1202 of the Code, or any other aspect of any U.S. federal tax other than the income tax. The discussion generally assumes that for U.S. federal income tax purposes, neither the merger nor the reverse stock split will be integrated or otherwise treated as part of a unified transaction with any other transaction.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DXL common stock that, for U.S. federal income tax purposes, is or is treated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(or is treated as)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has a valid election in effect under applicable Treasury Regulations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HOLDERS OF DXL COMMON STOCK ARE ADVISED AND EXPECTED TO CONSULT THEIR TAX ADVISORS REGARDING THE U.S. FEDERAL INCOME TAX CONSEQUENCES OF THE MERGER AND THE REVERSE STOCK SPLIT IN LIGHT OF THEIR PERSONAL CIRCUMSTANCES AND THE CONSEQUENCES OF THE MERGER AND REVERSE STOCK SPLIT UNDER STATE, LOCAL AND NON-U.S. TAX LAWS. </w:t>
      </w:r>
    </w:p>
    <w:p>
      <w:pPr>
        <w:pStyle w:val="TextBody"/>
        <w:bidi w:val="0"/>
        <w:spacing w:before="120" w:after="0"/>
        <w:jc w:val="left"/>
        <w:rPr>
          <w:rFonts w:ascii="Times New Roman" w:hAnsi="Times New Roman"/>
          <w:i/>
          <w:sz w:val="20"/>
        </w:rPr>
      </w:pPr>
      <w:r>
        <w:rPr>
          <w:rFonts w:ascii="Times New Roman" w:hAnsi="Times New Roman"/>
          <w:i/>
          <w:sz w:val="20"/>
        </w:rPr>
        <w:t xml:space="preserve">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form of the merger, U.S. Holders of DXL common stock, as of immediately prior to the merger, would not sell, exchange or dispose of any shares of DXL common stock as a result of the merger. Thus, there would be no material U.S. federal income tax consequences to DXL stockholders as a result of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should not recognize gain or loss as a result of the reverse stock split. The aggregate adjusted tax basis in the shares of DXL common stock received pursuant to the reverse stock split should equal the aggregate adjusted tax basis of the shares of DXL common stock exchanged therefor, and each DXL stockholder’s holding period for the shares of DXL common stock received pursuant to the reverse stock split will include the holding period in the shares of DXL common stock exchanged therefor. DXL stockholders that acquired DXL common stock on different dates or at different prices should consult their tax advisors regarding the allocation of the tax basis and holding period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76201_23"/>
      <w:bookmarkEnd w:id="26"/>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27" w:name="tx76201_24"/>
      <w:bookmarkEnd w:id="27"/>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of DXL stockholders will be held at the corporate offices of DXL located at 555 Turnpike Street, Canton, Massachusetts 02021, at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a.m.,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360" w:after="0"/>
        <w:jc w:val="left"/>
        <w:rPr>
          <w:rFonts w:ascii="Times New Roman" w:hAnsi="Times New Roman"/>
          <w:b/>
          <w:sz w:val="20"/>
        </w:rPr>
      </w:pPr>
      <w:bookmarkStart w:id="28" w:name="tx76201_25"/>
      <w:bookmarkEnd w:id="28"/>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special meeting is to consider and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issuance of shares of DXL common stock as the merger consideration pursuant to the terms of the merger agreement and the resulting “change of control” under the Nasdaq rules (“proposal 1” or “issuance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restated certificate of incorporation of DXL to effect a reverse stock split at a ratio of not less than 1-for-2 and not more than 1-for-30 pursuant to the amendment set forth in Section 1 on Annex C to this proxy statement (“proposal 2” or “reverse stock split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and adopt an amendment to the Second Amended and Restated 2016 Incentive Compensation Plan to (a) increase the total number of shares of DXL common stock available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(“proposal 3” or “2016 plan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or postponement of the special meeting for the purpose of soliciting additional proxies with respect to the issuance proposal, the reverse stock split proposal and/or the 2016 plan proposal (“proposal 4” or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DXL Board unanimously recommends that DXL stockholders vote (i) “AGAINST” the issuance proposal, (ii) “FOR” the reverse stock split proposal, (iii) “FOR” the 2016 plan proposal, and (iv)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issuance proposal is a condition to the completion of the merger. Although approval of the reverse stock split proposal is not expressly stated in the merger agreement as a condition to the completion of the merger, the merger agreement does include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x76201_26"/>
      <w:bookmarkEnd w:id="29"/>
      <w:r>
        <w:rPr>
          <w:rFonts w:ascii="Times New Roman" w:hAnsi="Times New Roman"/>
          <w:b/>
          <w:sz w:val="20"/>
        </w:rPr>
        <w:t xml:space="preserve">Record Date; Shares Outstanding and Entitled to Vote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fixed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as the record date for the determination of stockholders entitled to notice of, and to vote at, the special meeting and any adjournment or postponement thereof. Only holders of record of shares of DXL common stock at the close of business on the record date are entitled to notice of, and to vote at, the special meeting. At the close of business on the record date, DXL had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outstanding and entitled to vote at the special meeting. Each holder of record of shares of common stock on the record date will be entitled to one vote for each share held on all matters to be voted upon at the special meeting. </w:t>
      </w:r>
    </w:p>
    <w:p>
      <w:pPr>
        <w:pStyle w:val="TextBody"/>
        <w:bidi w:val="0"/>
        <w:spacing w:before="360" w:after="0"/>
        <w:jc w:val="left"/>
        <w:rPr>
          <w:rFonts w:ascii="Times New Roman" w:hAnsi="Times New Roman"/>
          <w:b/>
          <w:sz w:val="20"/>
        </w:rPr>
      </w:pPr>
      <w:bookmarkStart w:id="30" w:name="tx76201_27"/>
      <w:bookmarkEnd w:id="30"/>
      <w:r>
        <w:rPr>
          <w:rFonts w:ascii="Times New Roman" w:hAnsi="Times New Roman"/>
          <w:b/>
          <w:sz w:val="20"/>
        </w:rPr>
        <w:t xml:space="preserve">Quorum </w:t>
      </w:r>
    </w:p>
    <w:p>
      <w:pPr>
        <w:pStyle w:val="TextBody"/>
        <w:bidi w:val="0"/>
        <w:spacing w:before="120" w:after="0"/>
        <w:jc w:val="left"/>
        <w:rPr>
          <w:rFonts w:ascii="Times New Roman" w:hAnsi="Times New Roman"/>
          <w:sz w:val="20"/>
        </w:rPr>
      </w:pPr>
      <w:r>
        <w:rPr>
          <w:rFonts w:ascii="Times New Roman" w:hAnsi="Times New Roman"/>
          <w:sz w:val="20"/>
        </w:rPr>
        <w:t xml:space="preserve">Under the Fourth Amended and Restated By-Laws of DXL (the “By-Laws”), the holders of a majority of the shares of DXL common stock issued and outstanding and entitled to vote at the meeting, present in person or represented by proxy, shall constitute a quorum at any meeting of stockholders. If less than a quorum is present at a meeting, then the affirmative vote of a majority of the votes cast by DXL stockholders entitled to vote at the meeting, present in person or represented by proxy, shall have power to adjourn the meeting from time to time. The inspector of election appointed for the special meeting will determine whether a quorum is present. Abstentions and broker non-votes will be treated as present for purposes of determining the presence of a quorum. </w:t>
      </w:r>
    </w:p>
    <w:p>
      <w:pPr>
        <w:pStyle w:val="TextBody"/>
        <w:bidi w:val="0"/>
        <w:spacing w:before="240" w:after="0"/>
        <w:jc w:val="left"/>
        <w:rPr>
          <w:rFonts w:ascii="Times New Roman" w:hAnsi="Times New Roman"/>
          <w:sz w:val="20"/>
        </w:rPr>
      </w:pPr>
      <w:r>
        <w:rPr>
          <w:rFonts w:ascii="Times New Roman" w:hAnsi="Times New Roman"/>
          <w:sz w:val="20"/>
        </w:rPr>
        <w:t xml:space="preserve">If a beneficial owner of shares held in “street name” by a bank, broker or other nominee does not provide the organization that holds its shares with specific voting instructions, then, under applicable rules, the organization that holds its shares may generally vote on “discretionary” matters but cannot vote on “non-discretionary” matters. If the organization that holds the beneficial owner’s shares does not receive instructions from such stockholder on how to vote its shares on any proposal to be voted on at the special meeting, that bank, broker or other nominee will inform the inspector of election at the special meeting that it does not have authority to vote on any proposal at the special meeting with respect to such shares, and, furthermore, such shares will be deemed to be in attendance at the meeting. This is generally referred to as a “broker non-vote”. However, if the bank, broker or other nominee receives instructions from such stockholder on how to vote its shares as to at least one proposal but not all of the proposals, the shares will be voted as instructed on any proposal which voting instructions have been given but will not be voted on the other, uninstructed proposal(s). </w:t>
      </w:r>
    </w:p>
    <w:p>
      <w:pPr>
        <w:pStyle w:val="TextBody"/>
        <w:bidi w:val="0"/>
        <w:spacing w:before="360" w:after="0"/>
        <w:jc w:val="left"/>
        <w:rPr>
          <w:rFonts w:ascii="Times New Roman" w:hAnsi="Times New Roman"/>
          <w:b/>
          <w:sz w:val="20"/>
        </w:rPr>
      </w:pPr>
      <w:bookmarkStart w:id="31" w:name="tx76201_28"/>
      <w:bookmarkEnd w:id="31"/>
      <w:r>
        <w:rPr>
          <w:rFonts w:ascii="Times New Roman" w:hAnsi="Times New Roman"/>
          <w:b/>
          <w:sz w:val="20"/>
        </w:rPr>
        <w:t xml:space="preserve">How to Vote Your Shares </w:t>
      </w:r>
    </w:p>
    <w:p>
      <w:pPr>
        <w:pStyle w:val="TextBody"/>
        <w:bidi w:val="0"/>
        <w:spacing w:before="120" w:after="0"/>
        <w:jc w:val="left"/>
        <w:rPr>
          <w:rFonts w:ascii="Times New Roman" w:hAnsi="Times New Roman"/>
          <w:sz w:val="20"/>
        </w:rPr>
      </w:pPr>
      <w:r>
        <w:rPr>
          <w:rFonts w:ascii="Times New Roman" w:hAnsi="Times New Roman"/>
          <w:b/>
          <w:sz w:val="20"/>
        </w:rPr>
        <w:t xml:space="preserve">If you hold your shares in your own name, </w:t>
      </w:r>
      <w:r>
        <w:rPr>
          <w:rFonts w:ascii="Times New Roman" w:hAnsi="Times New Roman"/>
          <w:sz w:val="20"/>
        </w:rPr>
        <w:t xml:space="preserve">you may submit a proxy by telephone, via the internet or by mail or vote by attending the special meeting and voting during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by Telephone</w:t>
            </w:r>
            <w:r>
              <w:rPr>
                <w:rFonts w:ascii="Times New Roman" w:hAnsi="Times New Roman"/>
                <w:sz w:val="20"/>
              </w:rPr>
              <w:t xml:space="preserve">: You can submit a proxy for your shares by telephone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calling the toll-free telephone number on the accompanying proxy card and following the recorded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Submitting a Proxy via the internet</w:t>
            </w:r>
            <w:r>
              <w:rPr>
                <w:rFonts w:ascii="Times New Roman" w:hAnsi="Times New Roman"/>
                <w:sz w:val="20"/>
              </w:rPr>
              <w:t xml:space="preserve">: You can submit a proxy via the internet until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by accessing the web site listed on the accompanying proxy card and following the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Submitting a Proxy by Mail: </w:t>
            </w:r>
            <w:r>
              <w:rPr>
                <w:rFonts w:ascii="Times New Roman" w:hAnsi="Times New Roman"/>
                <w:sz w:val="20"/>
              </w:rPr>
              <w:t xml:space="preserve">If you choose to submit a proxy by mail, simply mark the enclosed proxy card, date and sign it, and return it in the postage paid envelope provided. The envelope requires no additional postage if mailed in the United States. If you intend to submit your proxy by mail, your completed proxy card must be received prior to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casting your vote in any of the three ways listed above, you are authorizing the individuals listed on the proxy to vote your shares in accordance with your instructions. </w:t>
      </w:r>
    </w:p>
    <w:p>
      <w:pPr>
        <w:pStyle w:val="TextBody"/>
        <w:bidi w:val="0"/>
        <w:spacing w:before="240" w:after="0"/>
        <w:jc w:val="left"/>
        <w:rPr>
          <w:rFonts w:ascii="Times New Roman" w:hAnsi="Times New Roman"/>
          <w:sz w:val="20"/>
        </w:rPr>
      </w:pPr>
      <w:r>
        <w:rPr>
          <w:rFonts w:ascii="Times New Roman" w:hAnsi="Times New Roman"/>
          <w:b/>
          <w:sz w:val="20"/>
        </w:rPr>
        <w:t xml:space="preserve">If your shares are held in the name of a bank, broker or other nominee, </w:t>
      </w:r>
      <w:r>
        <w:rPr>
          <w:rFonts w:ascii="Times New Roman" w:hAnsi="Times New Roman"/>
          <w:sz w:val="20"/>
        </w:rPr>
        <w:t xml:space="preserve">you will receive instructions from the holder of record that you must follow for your shares to be voted. Please follow the instructions from the holder of record carefully.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x76201_29"/>
      <w:bookmarkEnd w:id="32"/>
      <w:r>
        <w:rPr>
          <w:rFonts w:ascii="Times New Roman" w:hAnsi="Times New Roman"/>
          <w:b/>
          <w:sz w:val="20"/>
        </w:rPr>
        <w:t xml:space="preserve">How to Change Your Vote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 is solicited on behalf of the DXL Board for use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DXL stockholder of record voting by proxy, other than those DXL stockholders who have executed a voting agreement and irrevocable proxy, has the right to revoke the proxy at any time before the polls close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Re-submitting your vote via the Internet or by telephone, by 11:59 p.m., Eastern Time,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another properly completed proxy card bearing a later date which is received prior to the meeting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Attending the special meeting, notifying the corporate secretary and voting by ballot at the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Submitting a written notice that you are revoking your proxy. The notice must be sent to 555 Turnpike Street, Canton, Massachusetts 02021, Attention: Secretary, and must be received before your DXL common stock has been voted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stockholder of DXL has instructed a broker to vote its shares of DXL common stock that are held in “street name,” the stockholder must follow directions received from its broker to change those instructions. </w:t>
      </w:r>
    </w:p>
    <w:p>
      <w:pPr>
        <w:pStyle w:val="TextBody"/>
        <w:bidi w:val="0"/>
        <w:spacing w:before="360" w:after="0"/>
        <w:jc w:val="left"/>
        <w:rPr>
          <w:rFonts w:ascii="Times New Roman" w:hAnsi="Times New Roman"/>
          <w:b/>
          <w:sz w:val="20"/>
        </w:rPr>
      </w:pPr>
      <w:bookmarkStart w:id="33" w:name="tx76201_30"/>
      <w:bookmarkEnd w:id="33"/>
      <w:r>
        <w:rPr>
          <w:rFonts w:ascii="Times New Roman" w:hAnsi="Times New Roman"/>
          <w:b/>
          <w:sz w:val="20"/>
        </w:rPr>
        <w:t xml:space="preserve">Proxies; Counting Your Vote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issued and outstanding shares entitled to vote at the meeting, present in person or represented by proxy, constitute a quorum at the special meeting. Abstentions and broker non-votes will be included in determining the number of shares present and entitled to vote at the meeting for the purpose of determining the presence of a quorum. Stockholders shall have one vote for each share of stock entitled to vote owned by them as of the record date. Assuming the presence of a quorum at the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issuance proposal requires the affirmative vote of a majority of the votes cast by DXL stockholders. If you fail to vote, mark “ABSTAIN” on your proxy card, or fail to instruct your bank, broker or other nominee with respect to the issuance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reverse stock split proposal requires the affirmative vote of a majority of the votes cast by DXL stockholders. If you fail to vote, mark “ABSTAIN” on your proxy card, or fail to instruct your bank, broker or other nominee with respect to the reverse stock split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2016 plan proposal requires the affirmative vote of a majority of the votes cast by DXL stockholders. If you fail to vote, mark “ABSTAIN” on your proxy card, or fail to instruct your bank, broker or other nominee with respect to the 2016 plan proposal, it will have no effect on the outcome of the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votes cast by DXL stockholders. If you fail to vote, mark “ABSTAIN” on your proxy card, or fail to instruct your bank, broker or other nominee with respect to the adjournment proposal, it will have no effect on the outcome of the proposal. </w:t>
            </w:r>
          </w:p>
        </w:tc>
      </w:tr>
    </w:tbl>
    <w:p>
      <w:pPr>
        <w:pStyle w:val="TextBody"/>
        <w:bidi w:val="0"/>
        <w:spacing w:before="360" w:after="0"/>
        <w:jc w:val="left"/>
        <w:rPr>
          <w:rFonts w:ascii="Times New Roman" w:hAnsi="Times New Roman"/>
          <w:b/>
          <w:sz w:val="20"/>
        </w:rPr>
      </w:pPr>
      <w:bookmarkStart w:id="34" w:name="tx76201_31"/>
      <w:bookmarkEnd w:id="34"/>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DXL stockholders are not entitled to appraisal rights in connection with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76201_32"/>
      <w:bookmarkEnd w:id="35"/>
      <w:r>
        <w:rPr>
          <w:rFonts w:ascii="Times New Roman" w:hAnsi="Times New Roman"/>
          <w:b/>
          <w:sz w:val="20"/>
        </w:rPr>
        <w:t xml:space="preserve">Voting by DXL’s Directors and Certain Stockholders </w:t>
      </w:r>
    </w:p>
    <w:p>
      <w:pPr>
        <w:pStyle w:val="TextBody"/>
        <w:bidi w:val="0"/>
        <w:spacing w:before="120" w:after="0"/>
        <w:jc w:val="left"/>
        <w:rPr>
          <w:rFonts w:ascii="Times New Roman" w:hAnsi="Times New Roman"/>
          <w:sz w:val="20"/>
        </w:rPr>
      </w:pPr>
      <w:r>
        <w:rPr>
          <w:rFonts w:ascii="Times New Roman" w:hAnsi="Times New Roman"/>
          <w:sz w:val="20"/>
        </w:rPr>
        <w:t>Certain DXL stockholders, including the directors and chief financial officer of DXL, own approximately [●]% of DXL’s outstanding common stock as of the record date and are subject to voting agreements, pursuant to which each such stockholder agreed to vote such stockholder’s shares of DXL common stock in favor of the transactions contemplated by the merger agreement. 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Certain of the voting agreements also grant FBB designees an irrevocable proxy and power of attorney, exercisable in specified circumstances if a stockholder party fails to vote in accordance with the applicable voting agreement, to vote the covered shares in accordance with its terms. Please see the section entitled “</w:t>
      </w:r>
      <w:r>
        <w:rPr>
          <w:rFonts w:ascii="Times New Roman" w:hAnsi="Times New Roman"/>
          <w:i/>
          <w:sz w:val="20"/>
        </w:rPr>
        <w:t>Agreements Related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36" w:name="tx76201_33"/>
      <w:bookmarkEnd w:id="36"/>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DXL and FBB will equally share the cost of the printing and filing of this proxy statement and the fees paid to a financial printer or the SEC. DXL will pay any other fees and expenses incurred by it. DXL and FBB may use the services of its directors, officers and other employees to solicit proxies from DXL stockholders without additional compensation. DXL has also retained MacKenzie Partners, Inc., a proxy solicitation firm, to assist in the solicitation of proxies for a fee of $17,500, plus the reimbursement of out-of-pocket expenses incurred by it on DXL’s behalf. Arrangements will also be made with banks, brokers, nominees, custodians and fiduciaries who are record holders of DXL common stock for the forwarding of solicitation materials to the beneficial owners of DXL common stock. Upon request of the record holders, DXL will reimburse these banks, brokers, nominees, custodians and fiduciaries for the reasonable out-of-pocket expenses they incur in connection with the forwarding of solicitation materials.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tx76201_34"/>
      <w:bookmarkEnd w:id="37"/>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DXL urges you to carefully read the merger agreement in its entirety as it is the legal document governing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agreement contains representations and warranties that DXL and the merger subsidiary, on the one hand, and FBB,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such statements made in the representations and warranties prove to be incorrect. In addition, the assertions made in the representations and warranties are qualified by the information in confidential disclosure schedules exchanged by the parties in connection with the signing of the merger agreement. While DXL and FBB do not believe that these disclosure schedules contain information required to be publicly disclosed under the applicable securities laws, other than information that has already been so disclosed, the disclosure schedules contain information that modifies, qualifies and creates exceptions to the representations and warranties set forth in the merger agreement. Accordingly, you should not rely on the representations and warranties as current characterizations of factual information about DXL, FBB or the merger subsidiary, because they were made as of specific dates, may be intended merely as a risk allocation mechanism between DXL and the merger subsidiary, on the one hand, and FBB, on the other hand, and are modified by the disclosure schedules. </w:t>
      </w:r>
    </w:p>
    <w:p>
      <w:pPr>
        <w:pStyle w:val="TextBody"/>
        <w:bidi w:val="0"/>
        <w:spacing w:before="360" w:after="0"/>
        <w:jc w:val="left"/>
        <w:rPr>
          <w:rFonts w:ascii="Times New Roman" w:hAnsi="Times New Roman"/>
          <w:b/>
          <w:sz w:val="20"/>
        </w:rPr>
      </w:pPr>
      <w:bookmarkStart w:id="38" w:name="tx76201_35"/>
      <w:bookmarkEnd w:id="38"/>
      <w:r>
        <w:rPr>
          <w:rFonts w:ascii="Times New Roman" w:hAnsi="Times New Roman"/>
          <w:b/>
          <w:sz w:val="20"/>
        </w:rPr>
        <w:t xml:space="preserve">Structure of the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On the terms and subject to the conditions of the merger agreement, and in accordance with Delaware law, at the effective time of the merger, the merger subsidiary, a wholly owned direct subsidiary of DXL, would merge with and into FBB, with FBB continuing as the surviving corporation in the merger and a wholly owned subsidiary of DXL. </w:t>
      </w:r>
    </w:p>
    <w:p>
      <w:pPr>
        <w:pStyle w:val="TextBody"/>
        <w:bidi w:val="0"/>
        <w:spacing w:before="360" w:after="0"/>
        <w:jc w:val="left"/>
        <w:rPr>
          <w:rFonts w:ascii="Times New Roman" w:hAnsi="Times New Roman"/>
          <w:b/>
          <w:sz w:val="20"/>
        </w:rPr>
      </w:pPr>
      <w:bookmarkStart w:id="39" w:name="tx76201_36"/>
      <w:bookmarkEnd w:id="39"/>
      <w:r>
        <w:rPr>
          <w:rFonts w:ascii="Times New Roman" w:hAnsi="Times New Roman"/>
          <w:b/>
          <w:sz w:val="20"/>
        </w:rPr>
        <w:t xml:space="preserve">Effects of the Merger; Certificate of Incorporation; By-Laws </w:t>
      </w:r>
    </w:p>
    <w:p>
      <w:pPr>
        <w:pStyle w:val="TextBody"/>
        <w:bidi w:val="0"/>
        <w:spacing w:before="120" w:after="0"/>
        <w:jc w:val="left"/>
        <w:rPr>
          <w:rFonts w:ascii="Times New Roman" w:hAnsi="Times New Roman"/>
          <w:sz w:val="20"/>
        </w:rPr>
      </w:pPr>
      <w:r>
        <w:rPr>
          <w:rFonts w:ascii="Times New Roman" w:hAnsi="Times New Roman"/>
          <w:sz w:val="20"/>
        </w:rPr>
        <w:t xml:space="preserve">The merger would have the effects set forth in the merger agreement and as specified in the applicable provisions of Delaware law. From and after the effective time of the merger, all property, rights, privileges, immunities, powers, franchises, licenses and authority of FBB and the merger subsidiary would vest in FBB as the surviving corporation, and all debts, liabilities, obligations, restrictions and duties of FBB and the merger subsidiary would become the debts, liabilities, obligations, restrictions and duties of FBB as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of the effective time of the merger, the certificate of incorporation of FBB would be amended and restated in its entirety and would be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the bylaws of the surviving corporation would be amended and restated to conform to the bylaws of merger subsidiary that is in effect immediately prior to the effective time of the merger, which would conform with the rights and responsibilities of the surviving corporation under the merger agreement, including those rights and responsibilities related to director and officer indemnification and insurance. </w:t>
      </w:r>
    </w:p>
    <w:p>
      <w:pPr>
        <w:pStyle w:val="TextBody"/>
        <w:bidi w:val="0"/>
        <w:spacing w:before="360" w:after="0"/>
        <w:jc w:val="left"/>
        <w:rPr>
          <w:rFonts w:ascii="Times New Roman" w:hAnsi="Times New Roman"/>
          <w:b/>
          <w:sz w:val="20"/>
        </w:rPr>
      </w:pPr>
      <w:bookmarkStart w:id="40" w:name="tx76201_37"/>
      <w:bookmarkEnd w:id="40"/>
      <w:r>
        <w:rPr>
          <w:rFonts w:ascii="Times New Roman" w:hAnsi="Times New Roman"/>
          <w:b/>
          <w:sz w:val="20"/>
        </w:rPr>
        <w:t xml:space="preserve">Directors and Executive Officers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the board of directors of the combined company would be composed of nine members, with four such members designated by DXL, four such members designated by FBB, and one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mutually agreed to by both DXL and FBB. Jim Fogarty would serve as the Chief Executive Officer and Peter H. Stratton, Jr. would serve as the Chief Financial Officer of the combined company. The other officers of DXL at the effective time would be those mutually agreed by DXL and FBB through a process overseen by Mr. Fogarty in consultation with the directors designated by each of DXL and FBB for the combined company. The directors and officers of the combined company would hold office in accordance with the restated certificate of incorporation, as amended, of the combined company until their earlier resignation or removal or until their respective successors are duly elected or appointed and qualified. </w:t>
      </w:r>
    </w:p>
    <w:p>
      <w:pPr>
        <w:pStyle w:val="TextBody"/>
        <w:bidi w:val="0"/>
        <w:spacing w:before="360" w:after="0"/>
        <w:jc w:val="left"/>
        <w:rPr>
          <w:rFonts w:ascii="Times New Roman" w:hAnsi="Times New Roman"/>
          <w:b/>
          <w:sz w:val="20"/>
        </w:rPr>
      </w:pPr>
      <w:bookmarkStart w:id="41" w:name="tx76201_38"/>
      <w:bookmarkEnd w:id="41"/>
      <w:r>
        <w:rPr>
          <w:rFonts w:ascii="Times New Roman" w:hAnsi="Times New Roman"/>
          <w:b/>
          <w:sz w:val="20"/>
        </w:rPr>
        <w:t xml:space="preserve">Closing of the Merger; Effective Time </w:t>
      </w:r>
    </w:p>
    <w:p>
      <w:pPr>
        <w:pStyle w:val="TextBody"/>
        <w:bidi w:val="0"/>
        <w:spacing w:before="0" w:after="0"/>
        <w:jc w:val="left"/>
        <w:rPr>
          <w:rFonts w:ascii="Times New Roman" w:hAnsi="Times New Roman"/>
          <w:sz w:val="20"/>
        </w:rPr>
      </w:pPr>
      <w:r>
        <w:rPr>
          <w:rFonts w:ascii="Times New Roman" w:hAnsi="Times New Roman"/>
          <w:sz w:val="20"/>
        </w:rPr>
        <w:t xml:space="preserve">Unless earlier terminated in accordance with the terms of the merger agreement, the closing of the merger would take place on the third (3rd) business day following the satisfaction or (to the extent permitted by law) waiver of all of the closing conditions set forth in the merger agreement (other than those conditions that by their nature are to be satisfied at the closing of the merger, but subject to the satisfaction or waiver of those conditions), or at such other place, time and date agreed to in writing by DXL and FBB,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would become effective upon the filing of a certificate of merger with the Secretary of State of the State of Delaware, or such later date and time as may be specified in the certificate of merger in accordance with Delaware law. </w:t>
      </w:r>
    </w:p>
    <w:p>
      <w:pPr>
        <w:pStyle w:val="TextBody"/>
        <w:bidi w:val="0"/>
        <w:spacing w:before="360" w:after="0"/>
        <w:jc w:val="left"/>
        <w:rPr>
          <w:rFonts w:ascii="Times New Roman" w:hAnsi="Times New Roman"/>
          <w:b/>
          <w:sz w:val="20"/>
        </w:rPr>
      </w:pPr>
      <w:bookmarkStart w:id="42" w:name="tx76201_39"/>
      <w:bookmarkEnd w:id="42"/>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share of FBB common stock outstanding immediately prior to the effective time of the merger (other than (i) “Excluded Shares”, (ii) “Appraisal Shares”, and (iii) “Unaccredited Investor Shares”) would be converted into the right to receive that number of fully paid and nonassessable shares of DXL common stock equal to the exchange ratio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DXL common stock would be issued in connection with the merger. Any and all fractional shares of DXL common stock that a holder of FBB common stock would otherwise be entitled to receive pursuant to the merger agreement would be aggregated and would be rounded up to the nearest whole number of shares of DXL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Excluded Shares” means shares of FBB capital stock directly owned by (i) FBB as treasury stock or otherwise, (ii) DXL or merger subsidiary, or (iii) any subsidiary of FBB, DXL or merger subsidiary immediately prior to the effective time of the merger. At the effective time of the merger, all Excluded Shares would be cancelled and cease to exist, and no consideration would be delivered in exchange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Appraisal Shares” means shares of FBB capital stock that are issued and outstanding immediately prior to the effective time of the merger (other than the Excluded Shares) that are held by holders who have not voted in favor of or consented to the adoption of the merger agreement who have properly exercised their appraisal rights. At the effective time of the merger, the Appraisal Shares (if any) would not be converted into the right to receive the merger consideration, and holders of any Appraisal Shares would be entitled to receive payment of the fair value of Appraisal Shares in accordance with Delaware law, unless and until any such holder fails to perfect or effectively withdraws or loses its rights to appraisal and payment under Delaware law. If, after the effective time of the merger, any such holder fails to perfect or effectively withdraws or loses such rights, the Appraisal Shares would be treated as if they had been converted into, at the effective time of the merger, the right to receive the merger consideration (without any interest) and the surviving corporation would remain liable for payment of the merger consideration for such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Unaccredited Investor Shares” means shares of FBB common stock held immediately prior to the effective time of the merger by a FBB stockholder that is an unaccredited investor. Immediately prior to the effective time of the merger, Unaccredited Investor Shares would be converted into the right to receive the cash consideration for the Unaccredited Investor Shares, without any interest thereon.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3" w:name="tx76201_40"/>
      <w:bookmarkEnd w:id="43"/>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defined as the new issuance of DXL shares divided by the number of FBB common stock issued and outstanding as of immediately prior to the effective time of the merger. The new issuance of DXL shares would be the number of shares equal to the fully diluted DXL shares multiplied by the quotient of fifty-five percent (55%) divided by forty-five percent (45%). The exchange ratio may be adjusted in certain limited circumstances relating to the capital structure of the parties. </w:t>
      </w:r>
    </w:p>
    <w:p>
      <w:pPr>
        <w:pStyle w:val="TextBody"/>
        <w:bidi w:val="0"/>
        <w:spacing w:before="360" w:after="0"/>
        <w:jc w:val="left"/>
        <w:rPr>
          <w:rFonts w:ascii="Times New Roman" w:hAnsi="Times New Roman"/>
          <w:b/>
          <w:sz w:val="20"/>
        </w:rPr>
      </w:pPr>
      <w:bookmarkStart w:id="44" w:name="tx76201_41"/>
      <w:bookmarkEnd w:id="44"/>
      <w:r>
        <w:rPr>
          <w:rFonts w:ascii="Times New Roman" w:hAnsi="Times New Roman"/>
          <w:b/>
          <w:sz w:val="20"/>
        </w:rPr>
        <w:t xml:space="preserve">Treatment of Unaccredited Investor Shares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FBB common stock held immediately prior to the effective time by an FBB stockholder that is an unaccredited investor would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ten (10) consecutive trading days immediately preceding the trading day two (2) days before the closing date of the merger. No unaccredited investor would receive any stock consideration in the merger. </w:t>
      </w:r>
    </w:p>
    <w:p>
      <w:pPr>
        <w:pStyle w:val="TextBody"/>
        <w:bidi w:val="0"/>
        <w:spacing w:before="360" w:after="0"/>
        <w:jc w:val="left"/>
        <w:rPr>
          <w:rFonts w:ascii="Times New Roman" w:hAnsi="Times New Roman"/>
          <w:b/>
          <w:sz w:val="20"/>
        </w:rPr>
      </w:pPr>
      <w:bookmarkStart w:id="45" w:name="tx76201_42"/>
      <w:bookmarkEnd w:id="45"/>
      <w:r>
        <w:rPr>
          <w:rFonts w:ascii="Times New Roman" w:hAnsi="Times New Roman"/>
          <w:b/>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w:t>
      </w:r>
    </w:p>
    <w:p>
      <w:pPr>
        <w:pStyle w:val="TextBody"/>
        <w:bidi w:val="0"/>
        <w:spacing w:before="360" w:after="0"/>
        <w:jc w:val="left"/>
        <w:rPr>
          <w:rFonts w:ascii="Times New Roman" w:hAnsi="Times New Roman"/>
          <w:b/>
          <w:sz w:val="20"/>
        </w:rPr>
      </w:pPr>
      <w:bookmarkStart w:id="46" w:name="tx76201_43"/>
      <w:bookmarkEnd w:id="46"/>
      <w:r>
        <w:rPr>
          <w:rFonts w:ascii="Times New Roman" w:hAnsi="Times New Roman"/>
          <w:b/>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would remain issued and outstanding and would be unaffected by the merger, other than adjustments for the reverse stock split and those shares subject to acceleration upon the consummation of the merger. The DXL performance stock unit award would be treated in accordance with its existing terms.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outstanding under the LTIP at the effective time of the merger (a) would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would be made in a combination of cash (up to a maximum aggregate value of $1.4 million) and the remainder in shares of DXL common stock. Based on current performance, it is unlikely that the respective performance targets under either LTIP would be achieved. The time-vested portion of the current LTIP awards would be treated in accordance with their existing terms following the effective time of the merger and would continue to vest accordingly. </w:t>
      </w:r>
    </w:p>
    <w:p>
      <w:pPr>
        <w:pStyle w:val="TextBody"/>
        <w:bidi w:val="0"/>
        <w:spacing w:before="360" w:after="0"/>
        <w:jc w:val="left"/>
        <w:rPr>
          <w:rFonts w:ascii="Times New Roman" w:hAnsi="Times New Roman"/>
          <w:b/>
          <w:sz w:val="20"/>
        </w:rPr>
      </w:pPr>
      <w:bookmarkStart w:id="47" w:name="tx76201_44"/>
      <w:bookmarkEnd w:id="47"/>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As soon as reasonably practicable after the effective time of the merger, DXL would cause the exchange agent to mail to each holder of record of FBB common stock entitled to receive the merger consideration a letter of transmittal which would include instructions for effecting the surrender of certificates or book-entry shares representing FBB common stock in exchange for the merger consideration. Upon proper surrender, the holder of the certificate or book-entry share would be entitled to receive either (i) the cash consideration for the Unaccredited Investor Shares or (ii) a physical certificate or uncertificated book entry representing the number of whole DXL common stock that such holder has the right to receive, together with a check representing any dividends or distributions that the holder has the right to receive, and the surrendered certificate or book-entry share would be immediately cancelled. No interest would be paid or would accrue on any cash payable upon surrender of any certificate or book entry-share.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merger consideration issued or paid upon surrender of such certificates or book-entry shares would be deemed to have been issued or paid in full satisfaction of all rights pertaining to the shares of FBB common stock. From and after the effective time of the merger, all holder of FBB common stock would cease to have any rights as stockholders of FBB, other than the right to receive the merger consideration and any dividends or other distributions that holders have the right to receive upon surrender of such certificates of book-entry shares (without interest) and the share registry of FBB would be closed with respect to all FBB common stock outstanding immediately prior to the effective time of the merger. </w:t>
      </w:r>
    </w:p>
    <w:p>
      <w:pPr>
        <w:pStyle w:val="TextBody"/>
        <w:bidi w:val="0"/>
        <w:spacing w:before="240" w:after="0"/>
        <w:jc w:val="left"/>
        <w:rPr>
          <w:rFonts w:ascii="Times New Roman" w:hAnsi="Times New Roman"/>
          <w:sz w:val="20"/>
        </w:rPr>
      </w:pPr>
      <w:r>
        <w:rPr>
          <w:rFonts w:ascii="Times New Roman" w:hAnsi="Times New Roman"/>
          <w:sz w:val="20"/>
        </w:rPr>
        <w:t>From and after the effective time of the merger, there would be no further registration of transfers on the share registry of the surviving corporation of FBB common stock that were outstanding immediately prior to the effective time of the merger and FBB common stock outstanding immediately prior to the effective time of the merger would, from and after the effective time of the merger, be deemed to evidence only the right to receive the allocable merger consideration in accordance with the terms of the merger agreement. If, after the effective time of the merger, any certificates or book entry-shares formerly representing FBB common stock are presented to DXL, the surviving corporation or the exchange agent for any reason, such certificates or book entry-shares would be canceled and exchanged, as provided in the merger agreement.</w:t>
      </w:r>
    </w:p>
    <w:p>
      <w:pPr>
        <w:pStyle w:val="TextBody"/>
        <w:bidi w:val="0"/>
        <w:spacing w:before="240" w:after="0"/>
        <w:jc w:val="left"/>
        <w:rPr>
          <w:rFonts w:ascii="Times New Roman" w:hAnsi="Times New Roman"/>
          <w:sz w:val="20"/>
        </w:rPr>
      </w:pPr>
      <w:r>
        <w:rPr>
          <w:rFonts w:ascii="Times New Roman" w:hAnsi="Times New Roman"/>
          <w:sz w:val="20"/>
        </w:rPr>
        <w:t xml:space="preserve">None of DXL, merger subsidiary, FBB or the exchange agent would be liable to any person for any portion of the exchange fund or the merger consideration delivered to a public official pursuant to any applicable abandoned property, escheat or similar law. Each of DXL, the exchange agent, or anyone on their behalf would be entitled to deduct and withhold from any consideration otherwise payable or deliverable to any person pursuant to the merger agreement such amounts as may be required to be deducted and withheld with respect to the making of such payment under any applicable tax law. </w:t>
      </w:r>
    </w:p>
    <w:p>
      <w:pPr>
        <w:pStyle w:val="TextBody"/>
        <w:bidi w:val="0"/>
        <w:spacing w:before="360" w:after="0"/>
        <w:jc w:val="left"/>
        <w:rPr>
          <w:rFonts w:ascii="Times New Roman" w:hAnsi="Times New Roman"/>
          <w:b/>
          <w:sz w:val="20"/>
        </w:rPr>
      </w:pPr>
      <w:bookmarkStart w:id="48" w:name="tx76201_45"/>
      <w:bookmarkEnd w:id="48"/>
      <w:r>
        <w:rPr>
          <w:rFonts w:ascii="Times New Roman" w:hAnsi="Times New Roman"/>
          <w:b/>
          <w:sz w:val="20"/>
        </w:rPr>
        <w:t xml:space="preserve">Termination of Exchange Fund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effective time of the merger, DXL would deposit the DXL common stock (in certificated or book-entry form) with the exchange agent in the exchange fund, for the benefit of holders of FBB common stock certificates or book-entry shares, to be delivered as merger consideration. Any portion of the exchange fund that remains unclaimed or undistributed by the date that is twelve (12) months after the effective time of the merger would be delivered to DXL, upon demand. Any holder of FBB common stock certificates or book-entry shares would thereafter only look to DXL for satisfaction of its claim for the merger consideration and any cash in respect of dividends or distributions that the holder has the right to receive. </w:t>
      </w:r>
    </w:p>
    <w:p>
      <w:pPr>
        <w:pStyle w:val="TextBody"/>
        <w:bidi w:val="0"/>
        <w:spacing w:before="360" w:after="0"/>
        <w:jc w:val="left"/>
        <w:rPr>
          <w:rFonts w:ascii="Times New Roman" w:hAnsi="Times New Roman"/>
          <w:b/>
          <w:sz w:val="20"/>
        </w:rPr>
      </w:pPr>
      <w:bookmarkStart w:id="49" w:name="tx76201_46"/>
      <w:bookmarkEnd w:id="49"/>
      <w:r>
        <w:rPr>
          <w:rFonts w:ascii="Times New Roman" w:hAnsi="Times New Roman"/>
          <w:b/>
          <w:sz w:val="20"/>
        </w:rPr>
        <w:t xml:space="preserve">Lost, Stolen or Destroyed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any certificate representing FBB common stock have been lost, stolen or destroyed, upon making an affidavit by the person claiming such certificate to be lost, stolen or destroyed and, if reasonably required by the exchange agent, the posting of a bond (as indemnity against any claim that may be made against it with respect to such certificate), the exchange agent would deliver, in exchange for such lost, stolen or destroyed certificate, the merger consideration and any cash in respect of any dividends or distributions that the holder has the right to receive. </w:t>
      </w:r>
    </w:p>
    <w:p>
      <w:pPr>
        <w:pStyle w:val="TextBody"/>
        <w:bidi w:val="0"/>
        <w:spacing w:before="360" w:after="0"/>
        <w:jc w:val="left"/>
        <w:rPr>
          <w:rFonts w:ascii="Times New Roman" w:hAnsi="Times New Roman"/>
          <w:b/>
          <w:sz w:val="20"/>
        </w:rPr>
      </w:pPr>
      <w:bookmarkStart w:id="50" w:name="tx76201_47"/>
      <w:bookmarkEnd w:id="5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and substantially reciprocal representations and warranties of DXL and the merger subsidiary, on the one hand, and FBB, on the other, that are subject, in some cases, to specified exceptions and qualifications contained in confidential disclosure schedules and, in the case of the representations and warranties of DXL, are also qualified, in some cases, by certain reports, registrations, schedules, forms, statements and other documents filed by DXL before December 9, 2025 (excluding forward-looking disclosures contained in the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Risk Factors</w:t>
      </w:r>
      <w:r>
        <w:rPr>
          <w:rFonts w:ascii="Times New Roman" w:hAnsi="Times New Roman"/>
          <w:sz w:val="20"/>
        </w:rPr>
        <w:t xml:space="preserve">” sections of such reports, and any other statements or disclosures that are similarly predictive or forward looking in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reciprocal representations and warranties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and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absence of certain changes or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taxes and tax returns;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and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internal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affiliate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leasehold;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anti-corruption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other representations or warranties;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non-reliance.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and the merger subsidiary made additional representations and warranties to FBB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fairness opinion.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made additional representations and warranties to DXL and the merger subsidiary relating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pre-closing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None of the representations, warranties, covenants and agreements in the merger agreement would survive the effective time of the merger. </w:t>
      </w:r>
    </w:p>
    <w:p>
      <w:pPr>
        <w:pStyle w:val="TextBody"/>
        <w:bidi w:val="0"/>
        <w:spacing w:before="360" w:after="0"/>
        <w:jc w:val="left"/>
        <w:rPr>
          <w:rFonts w:ascii="Times New Roman" w:hAnsi="Times New Roman"/>
          <w:b/>
          <w:sz w:val="20"/>
        </w:rPr>
      </w:pPr>
      <w:bookmarkStart w:id="51" w:name="tx76201_48"/>
      <w:bookmarkEnd w:id="5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each of DXL and FBB agreed that, except (i) as required by law, (ii) as expressly contemplated or permitted by the merger agreement, (iii) as set forth in the confidential disclosure schedules, (iv) certain necessary corporate actions of FBB required under the merger agreement, or (v) as consented to in writing by the other party (such consent not to be unreasonably withheld, conditioned or delayed), that during the period from after the date of the merger agreement to the effective time of the merger or the earlier termination of the merger agreement, it will, and will cause each of their respective subsidiaries to, use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 its business solely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available the services of current officers and employees;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and preserve intact its business organization and advantageous business relationships.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agreed that, except (i) as required by law, (ii) as expressly contemplated by the merger agreement, (iii) as set forth in its confidential disclosure schedule, or (iv) consented to in writing by the other party (such consent not to be unreasonably withheld, conditioned or delayed), it will not, and will not permit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any indebtedness in excess of $250,000 in the aggregate, or make any loan or advance to any person (other than advances of expenses to employees in the ordinary course of business) or enter into any swap or hedging transaction, subject to certain exceptions in the case of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declare or pay any dividend, or make any other distribution (including interest) on, or directly or indirectly redeem, purchase or otherwise acquire, any equity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reclassify, combine, split, subdivide or issue, deliver, sell, grant, pledge (other than equity interests that are required to be pledged in accordance with any existing loan document) or otherwise encumber or subject to any lien (i) any of its (or its subsidiaries’) equity interests or any of its voting debt or (ii) any rights that are linked in any way to the price of any share capital of, or to the value of or of any part of, or to any dividends or distributions paid on any share capital of, its (or its subsidiaries’) share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under the terms of any benefit plan or contract that are in effect on the date of the merger agreement (i) materially increase the compensation or benefits of any of its directors, officers or employees, other than increases to current employees and officers (x) in connection with a promotion or change in responsibilities, (y) in the ordinary course of business consistent with past practice or (z) the payment of incentive compensation for completed performance periods, (ii) engage any independent contractor that is a natural person, subject to certain exceptions, (iii) enter into, establish, adopt, amend or terminate any benefit plan other than as required by applicable law or pursuant to the terms of such benefit plan as in effect on the date of the merger agreement, subject to certain exceptions, (iv) accelerate the time of payment or vesting of, or the lapsing of restrictions with respect to, or fund or otherwise secure the payment of, any compensation or benefits under any benefit plan, (v) terminate the employment or services of any restricted employee, other than for cause, (vi) hire or promote any individual who would be a restricted employee, other than as a replacement hire receiving substantially similar terms of employment as the departed employee, (vii) change any actuarial or other assumptions used to calculate funding obligations with respect to any benefit plan or change the manner in which contributions to such plans are made or the basis on which such contributions are determined, except as may be required by GAAP, (viii) pay, grant or award any equity awards or other incentive awards, or (ix) loan or advance any money or other property to any current or former employee or other service provider (other than advances for reimbursable employee expenses in the ordinary course of business and in accordance with its expense reimbursement policies);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effectuate (i) a “plant closing” (as defined in WARN or any similar applicable law) affecting any site of employment of one or more facilities or operating units within any site of employment or facility, or (ii) a “mass layoff” or collective dismissal (as defined in WARN, or any similar applicable law) affecting any site of employment or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sell, transfer, mortgage, encumber or otherwise dispose of any of its tangible properties or assets in any transaction or series of transactions to any person other than in the ordinary course of business consistent with past practice, or (ii) cancel, release or assign to any such person any material indebtedness or any material claim, other than in the ordinary course of business consistent with past practice;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assign, pledge, license, convey, subject to any lien (other than permitted liens) or otherwise dispose of any intellectual property rights, other than non-exclusive licenses granted to its (or its subsidiaries’) contractor or service provider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amend any of its (or its subsidiaries’) data privacy or information security policies or practices, except as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new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any claim, action or proceeding requiring payment of an amount in excess of $100,000 individually or $250,000 in the aggregate, or would obligate it or its subsidiary to admit any wrongdoing, to grant any material rights, to take any material action or impose any material restrictions or material liabilities on the business, or would not provide a full release from any and all liability arising in connection with any such claim, action or proceeding;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as set forth in the capex budget, make any capital expenditures in excess of $1,000,000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amend the charter, except as contemplated by the merger agreement, or (ii) in the case of DXL, otherwise take any action to exempt any person (other than FBB), or any action taken by any such person, from any takeover statute or similarly restrictive provisions of its organizational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implement or adopt any material change in its tax accounting or financial accounting policies, practices or methods, other than as may be required by applicable law or GAAP or regulatory guidelines or to consummate the transactions contemplated by the merger agreement or (ii) make, change or revoke any material tax election, except,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 to keep or cause to be kept its material existing insurance policies (or substantial equivalents) in such amounts substantially as in force as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 commit, resolve or propose to take any of the actions prohibited by any of the foregoing. </w:t>
            </w:r>
          </w:p>
        </w:tc>
      </w:tr>
    </w:tbl>
    <w:p>
      <w:pPr>
        <w:pStyle w:val="TextBody"/>
        <w:bidi w:val="0"/>
        <w:spacing w:before="360" w:after="0"/>
        <w:jc w:val="left"/>
        <w:rPr>
          <w:rFonts w:ascii="Times New Roman" w:hAnsi="Times New Roman"/>
          <w:b/>
          <w:sz w:val="20"/>
        </w:rPr>
      </w:pPr>
      <w:bookmarkStart w:id="52" w:name="tx76201_49"/>
      <w:bookmarkEnd w:id="52"/>
      <w:r>
        <w:rPr>
          <w:rFonts w:ascii="Times New Roman" w:hAnsi="Times New Roman"/>
          <w:b/>
          <w:sz w:val="20"/>
        </w:rPr>
        <w:t xml:space="preserve">Required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The issuance proposal, the reverse stock split proposal and the 2016 plan proposal each requires the affirmative vote of a majority of the votes cast by DXL stockholders at the special meeting. Approval of the issuance proposal is a condition to the completion of the merger. Although approval of the reverse stock split proposal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Approval of the 2016 plan proposal and the adjournment proposal is not a condition to the completion of the merger with FBB. However, the DXL Board believes approval of the 2016 plan proposal is important to ensure that a sufficient number of shares of DXL common stock are available for issuance to participants under the 2016 plan to support DXL’s ongoing compensation programs, regardless of whether the merger is consummated. </w:t>
      </w:r>
    </w:p>
    <w:p>
      <w:pPr>
        <w:pStyle w:val="TextBody"/>
        <w:bidi w:val="0"/>
        <w:spacing w:before="360" w:after="0"/>
        <w:jc w:val="left"/>
        <w:rPr>
          <w:rFonts w:ascii="Times New Roman" w:hAnsi="Times New Roman"/>
          <w:b/>
          <w:sz w:val="20"/>
        </w:rPr>
      </w:pPr>
      <w:bookmarkStart w:id="53" w:name="tx76201_50"/>
      <w:bookmarkEnd w:id="53"/>
      <w:r>
        <w:rPr>
          <w:rFonts w:ascii="Times New Roman" w:hAnsi="Times New Roman"/>
          <w:b/>
          <w:sz w:val="20"/>
        </w:rPr>
        <w:t xml:space="preserve">Board Recommendation </w:t>
      </w:r>
    </w:p>
    <w:p>
      <w:pPr>
        <w:pStyle w:val="TextBody"/>
        <w:bidi w:val="0"/>
        <w:spacing w:before="120" w:after="0"/>
        <w:jc w:val="left"/>
        <w:rPr>
          <w:rFonts w:ascii="Times New Roman" w:hAnsi="Times New Roman"/>
          <w:sz w:val="20"/>
        </w:rPr>
      </w:pPr>
      <w:r>
        <w:rPr>
          <w:rFonts w:ascii="Times New Roman" w:hAnsi="Times New Roman"/>
          <w:sz w:val="20"/>
        </w:rPr>
        <w:t>The merger agreement contains a representation by DXL that the DXL Board has determined to recommend, upon the terms and subject to the conditions set forth in the merger agreement, that DXL stockholders provide the required DXL stockholder vote. The merger agreement further provides that, subject to certain procedures set forth in the merger agreement and described below, neither the DXL Board nor any committee thereof will withhold, withdraw, amend, modify, change or propose or resolve to withhold, withdraw, amend, modify or change, in each case in a manner materially adverse to FBB or which would prevent or delay consummation of the merger, the recommendation of the DXL Board that DXL stockholders provide the required DXL stockholder vote. Please see the section entitled “—</w:t>
      </w:r>
      <w:r>
        <w:rPr>
          <w:rFonts w:ascii="Times New Roman" w:hAnsi="Times New Roman"/>
          <w:i/>
          <w:sz w:val="20"/>
        </w:rPr>
        <w:t>Non-Solicitation of Acquisition Proposals</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However,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w:t>
      </w:r>
    </w:p>
    <w:p>
      <w:pPr>
        <w:pStyle w:val="TextBody"/>
        <w:bidi w:val="0"/>
        <w:spacing w:before="360" w:after="0"/>
        <w:jc w:val="left"/>
        <w:rPr>
          <w:rFonts w:ascii="Times New Roman" w:hAnsi="Times New Roman"/>
          <w:b/>
          <w:sz w:val="20"/>
        </w:rPr>
      </w:pPr>
      <w:bookmarkStart w:id="54" w:name="tx76201_51"/>
      <w:bookmarkEnd w:id="54"/>
      <w:r>
        <w:rPr>
          <w:rFonts w:ascii="Times New Roman" w:hAnsi="Times New Roman"/>
          <w:b/>
          <w:sz w:val="20"/>
        </w:rPr>
        <w:t xml:space="preserve">Non-Solicitation of Acquisition Proposals </w:t>
      </w:r>
    </w:p>
    <w:p>
      <w:pPr>
        <w:pStyle w:val="TextBody"/>
        <w:bidi w:val="0"/>
        <w:spacing w:before="120" w:after="0"/>
        <w:jc w:val="left"/>
        <w:rPr>
          <w:rFonts w:ascii="Times New Roman" w:hAnsi="Times New Roman"/>
          <w:sz w:val="20"/>
        </w:rPr>
      </w:pPr>
      <w:r>
        <w:rPr>
          <w:rFonts w:ascii="Times New Roman" w:hAnsi="Times New Roman"/>
          <w:sz w:val="20"/>
        </w:rPr>
        <w:t xml:space="preserve">FBB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an FBB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FBB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has agreed that it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FBB has agreed to promptly (but in any event within forty-eight (48) hours) (i) notify DXL in writing in the event that FBB or any of its subsidiaries or representatives receives an FBB Takeover Proposal and (ii) provide to DXL (x) an unredacted copy of any FBB Takeover Proposal made in writing and unredacted copies of all other material written materials exchanged between FBB (or any of its subsidiaries or representatives) and such person (or any of its affiliates or its or their representatives) or otherwise received by FBB (or any of its subsidiaries or representatives or any stockholder of FBB) and (y) a written summary of all material terms and conditions of any such FBB Takeover Proposal if not made in writing. From and after such notification, FBB has agreed to keep DXL informed on a prompt basis (and in any event within forty-eight (48) hours) of any material developments with respect to any such FBB Takeover Proposal or any material substantive discussions or negotiations. FBB has agreed to not, and will cause its subsidiaries not to, enter into any confidentiality or similar agreement with any person that prohibits FBB from providing to DXL any of the information required to be provided to DXL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“FBB Takeover Proposal” means, in each case other than an Excluded Transaction (as described below),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(ii) direct or indirect acquisition or sale of outstanding or newly issued FBB common stock or other securities of FBB representing (after giving effect to such acquisition) 20% or more of the outstanding FBB common stock or of the outstanding voting power of FBB, or any other direct or indirect acquisition of 20% or more of the outstanding voting power of FBB, (iii) tender offer or exchange offer that if consummated would result, directly or indirectly, in any person or group (or the stockholders of any person or group) beneficially owning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“Excluded Transaction” means any direct or indirect acquisition or sale of outstanding or newly issued FBB common stock by FBB, including pursuant to the pre-closing investment.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not, will cause its subsidiaries not to, and will cause each of its representatives not to, and on becoming aware of it will use its reasonable best efforts to stop any such person from continuing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facilitate any communications, inquiries, requests, proposals or offers that constitute, or that would reasonably be expected to lead to, a DXL Takeover Proposal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which is referred to as a “DXL Acquisition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 has agreed that it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DXL has agreed to promptly (but in any event within forty-eight (48) hours) (i) notify FBB in writing in the event that DXL or any of its subsidiaries or representatives receives a DXL Takeover Proposal and (ii) provide to FBB (x) an unredacted copy of any DXL Takeover Proposal made in writing and unredacted copies of all other material written materials exchanged between DXL (or any of its subsidiaries or representatives) and such person (or any of its affiliates or its or their representatives) or otherwise received by DXL (or any of its subsidiaries or representatives or any stockholder of DXL) and (y) a written summary of all material terms and conditions of any such DXL Takeover Proposal if not made in writing. From and after such notification, DXL has agreed to keep FBB informed on a prompt basis (and in any event within forty-eight (48) hours) of any material developments with respect to any such DXL Takeover Proposal or any material substantive discussions or negotiations. DXL has agreed to not, and will cause its subsidiaries not to, enter into any confidentiality or similar agreement with any person that prohibits DXL from providing to FBB any of the information required to be provided to FBB under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a “DXL Takeover Proposal”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(ii) direct or indirect acquisition or sale of outstanding or newly issued DXL common stock or other securities of DXL representing (after giving effect to such acquisition) 20% or more of the outstanding DXL common stock or of the outstanding voting power of DXL, or any other direct or indirect acquisition of 20% or more of the outstanding voting power of DXL, (iii) tender offer or exchange offer that if consummated would result, directly or indirectly, in any Person or group (or the stockholders of any person or group) beneficially owning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power).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if at any time before obtaining the required DXL stockholder vote, the DXL stockholders, DXL or any of its subsidiaries or representatives receives a bona fide written DXL Takeover Proposal and the DXL Board determines in good faith (after consultation with its financial advisor and outside counsel) that such DXL Takeover Proposal constitutes or would reasonably likely lead to a DXL Superior Proposal (as described below) and the failure to take the actions in (x) or (y) below would reasonably be expected to violate the fiduciary duties of DXL’s directors under applicable law, then DXL, its subsidiaries and its representatives may, following written notice to FBB: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(x) enter into an acceptable confidentiality agreement with the person or group making the DXL Takeover Proposal and thereafter furnish information to the person or group making such DXL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Takeover Proposal; provided, that DXL agrees to promptly (but in any event within forty-eight (48) hours) provide to FBB any written information that is provided to any person or group which was not previously provided to FBB;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 engage in or otherwise participate in discussions or negotiations with the person or group making such DXL Takeover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merger agreement, “DXL Superior Proposal” means any bona fide written DXL Takeover Proposal made by a third party and which, if consummated, would result in such third party acquiring, directly or indirectly, more than 50% of the voting power of DXL and the issued and outstanding DXL capital stock or more than 50% of the consolidated assets of DXL and its subsidiaries (based on the fair market value), including through the acquisition of one or more DXL subsidiaries owning such assets, for consideration consisting of cash and/or securities that the DXL Board determines in good faith (after consultation with its financial advisor and outside counsel) would be more favorable from a financial point of view to DXL stockholders than the transactions contemplated in the merger agreement, taking into account (i) any changes to the terms of the merger transactions irrevocably and timely proposed by FBB in response to such offer, (ii) all legal, regulatory, financial and other aspects of such proposal and of the merger agreement deemed relevant by the DXL Board in good faith and (iii) the obligation to pay the applicable termination fee to DXL.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DXL has also agreed that the DXL Board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any of the following (each, individually, a “DXL Adverse Recommendation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withhold, withdraw or modify in a manner adverse to FBB the recommendation to stockholders of DXL that they give the required DXL stockholder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 or approve the approval of, or publicly propose to recommend or approve the approval of, any DXL Takeover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refrain from recommending against any DXL Takeover Proposal that is a tender offer or exchange offer within ten (10) business days after the commencement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or propose publicly to execute or enter into a DXL Acquisition Agreement (other than any acceptable confidentiality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in the merger agreement, before the required DXL stockholder vote is obtained, the DXL Board may (i) make a DXL Adverse Recommendation Change or (ii) cause DXL to enter into a DXL Acquisition Agreement with respect to a DXL Takeover Proposal, in either case if the DXL Board determines in good faith (after consultation with its financial advisor and outside counsel) that (x) to do otherwise would be reasonably expected to violate the fiduciary duties of DXL’s directors under applicable law, and (y) in the case of clause (i) where the DXL Adverse Recommendation Change is made in response to a DXL Takeover Proposal or in the case of both clauses (i) and (ii), such DXL Takeover Proposal constitutes a DXL Superior Proposal. The DXL Board has agreed to not, and will cause DXL not to, take any action set forth in clause (i) or clause (ii)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provided written notice to FBB advising FBB that the DXL Board intends to take such action and the reasons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such notice of DXL Takeover Proposal, such notice specifies the material terms and conditions of such DXL Takeover Proposal, and includes a copy of the most current version of the agreement or proposal and all material related documentation with respect to such DXL Takeover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will require a new notice and an additional four (4) business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requested by FBB, DXL has negotiated, and has caused its subsidiaries and representatives to negotiate, in good faith with FBB during such five (5) business day period (as may be extended) with respect to any changes to the terms of the merger agreement proposed by FBB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into account any changes to the terms of the merger agreement irrevocably and timely proposed by FBB, the DXL Board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the merger agreement pursuant to this sentence will be void and of no force and effect unless the termination is in accordance with the termination provisions of the merger agreement and DXL pays the applicable termination fee to FBB. </w:t>
            </w:r>
          </w:p>
        </w:tc>
      </w:tr>
    </w:tbl>
    <w:p>
      <w:pPr>
        <w:pStyle w:val="TextBody"/>
        <w:bidi w:val="0"/>
        <w:spacing w:before="360" w:after="0"/>
        <w:jc w:val="left"/>
        <w:rPr>
          <w:rFonts w:ascii="Times New Roman" w:hAnsi="Times New Roman"/>
          <w:b/>
          <w:sz w:val="20"/>
        </w:rPr>
      </w:pPr>
      <w:bookmarkStart w:id="55" w:name="tx76201_52"/>
      <w:bookmarkEnd w:id="55"/>
      <w:r>
        <w:rPr>
          <w:rFonts w:ascii="Times New Roman" w:hAnsi="Times New Roman"/>
          <w:b/>
          <w:sz w:val="20"/>
        </w:rPr>
        <w:t xml:space="preserve">Employee Benefits Matters </w:t>
      </w:r>
    </w:p>
    <w:p>
      <w:pPr>
        <w:pStyle w:val="TextBody"/>
        <w:bidi w:val="0"/>
        <w:spacing w:before="120" w:after="0"/>
        <w:jc w:val="left"/>
        <w:rPr>
          <w:rFonts w:ascii="Times New Roman" w:hAnsi="Times New Roman"/>
          <w:sz w:val="20"/>
        </w:rPr>
      </w:pPr>
      <w:r>
        <w:rPr>
          <w:rFonts w:ascii="Times New Roman" w:hAnsi="Times New Roman"/>
          <w:sz w:val="20"/>
        </w:rPr>
        <w:t xml:space="preserve">Commencing on the effective time of the merger and thereafter during the periods specified below, unless otherwise mutually determined by FBB and DXL, DXL would provide, or would cause the DXL subsidiaries (including, without limitation, the surviving corporation) to provide to each DXL employee and each FBB employee who at the effective time of the merger are an employee of DXL or the DXL subsidiaries (including, without limitation, the surviving corporation) (each, a “continuing employee”) with the following compensation and benefits: (i) for the period commencing at the effective time of the merger and ending on the one-year anniversary of the closing date of the merger, (A) a base salary or base wage rate that is no less favorable than the base salary or base wage rate provided to such continuing employee immediately prior to the effective time of the merger, and (B) annual cash or other short-term incentive compensation opportunities that are no less favorable than the annual cash or other short-term incentive compensation opportunities provided to such continuing employee immediately prior to the effective time of the merger and (ii) for the period commencing on the effective time of the merger until the surviving corporation in the merger and DXL adopt the new benefit plans,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of the merger; provided that DXL may satisfy these obligations for a transitional period through the end of the year in which the closing of the merger occurs by providing (x) for continuing employees who were FBB employees immediately prior to the closing, employee benefits under the FBB benefit plans in effect as of the closing; and (y) for continuing employees who were DXL employees immediately prior to the closing, employee benefits under the DXL benefit plans in effect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of the merger, FBB and DXL agree to cooperate in reviewing, evaluating and analyzing the DXL benefit plans and FBB benefit plans with a view towards developing appropriate new benefit plans with respect to continuing employees, which would, to the extent permitted by applicable law, and among other things, (A) treat similarly situated employees on a substantially equivalent basis, taking into account all relevant factors, and (B) not discriminate between employees who were covered by DXL benefit plans, on the one hand, and those covered by FBB benefit plans,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the closing date of the merger, DXL and DXL subsidiaries (including, without limitation, the surviving corporation) agree to recognize all service of each continuing employee prior to the closing date of the merger to the same extent such service was recognized by DXL and FBB, respectively, for purposes of eligibility, participation, vesting and level of benefits (other than benefit accrued under any defined benefit plan or vesting under any equity or equity-based compensation plan, or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effective time, DXL has agreed to waive pre-existing condition exclusions, actively at work requirements and waiting periods under applicable welfare benefit plans and provide appropriate credit for deductibles and out-of-pocket expenses incurred prior to the effective time, in each case, to the extent provided in the merger agreement. </w:t>
      </w:r>
    </w:p>
    <w:p>
      <w:pPr>
        <w:pStyle w:val="TextBody"/>
        <w:bidi w:val="0"/>
        <w:spacing w:before="360" w:after="0"/>
        <w:jc w:val="left"/>
        <w:rPr>
          <w:rFonts w:ascii="Times New Roman" w:hAnsi="Times New Roman"/>
          <w:b/>
          <w:sz w:val="20"/>
        </w:rPr>
      </w:pPr>
      <w:bookmarkStart w:id="56" w:name="tx76201_53"/>
      <w:bookmarkEnd w:id="56"/>
      <w:r>
        <w:rPr>
          <w:rFonts w:ascii="Times New Roman" w:hAnsi="Times New Roman"/>
          <w:b/>
          <w:sz w:val="20"/>
        </w:rPr>
        <w:t xml:space="preserve">Directors’ and Officers’ Indemnification and Insurance </w:t>
      </w:r>
    </w:p>
    <w:p>
      <w:pPr>
        <w:pStyle w:val="TextBody"/>
        <w:bidi w:val="0"/>
        <w:spacing w:before="120" w:after="0"/>
        <w:jc w:val="left"/>
        <w:rPr>
          <w:rFonts w:ascii="Times New Roman" w:hAnsi="Times New Roman"/>
          <w:sz w:val="20"/>
        </w:rPr>
      </w:pPr>
      <w:r>
        <w:rPr>
          <w:rFonts w:ascii="Times New Roman" w:hAnsi="Times New Roman"/>
          <w:sz w:val="20"/>
        </w:rPr>
        <w:t xml:space="preserve">DXL and the merger subsidiary agree that all rights to indemnification, advancement of expenses and exculpation from liabilities for acts or omissions occurring at or prior to the effective time of the merger in favor of any person who was or becomes prior to the effective time of the merger a current or former director, officer or employee of FBB (including any person who is or was serving at the request of FBB as a current or former officer, director or employee of a subsidiary of FBB) would survive the merger and would continue in full force and effect in accordance with their terms. For a period of six years from the effective time of the merger, the surviving corporation would, and DXL would cause the surviving corporation to, (i) cause the surviving corporation’s charter documents and the charter documents of any subsidiary of FBB to contain indemnification, exculpation and advancement of expenses provisions that are at least as favorable as those provisions contained in the charter documents of FBB and (ii) maintain any indemnification agreements of FBB and its subsidiaries with any such indemnified party existing prior to the date of the merger agreement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at or prior to the effective time of the merger, FBB would, with DXL’s prior written consent (not to be unreasonably withheld), purchase a six year “tail” policy with terms, conditions, and coverage that are no less favorable than the terms, conditions and coverage provided to the indemnified parties under FBB’s existing policies as of the date of the merger agreement. The surviving corporation and DXL would cause the tail policy to be maintained in full force and effect, for its full term; provided that, if the tail policy becomes unavailable, DXL would cause the surviving corporation to obtain the greatest coverage available for a cost not exceeding an annual premium equal to the foregoing maximum premium. </w:t>
      </w:r>
    </w:p>
    <w:p>
      <w:pPr>
        <w:pStyle w:val="TextBody"/>
        <w:bidi w:val="0"/>
        <w:spacing w:before="360" w:after="0"/>
        <w:jc w:val="left"/>
        <w:rPr>
          <w:rFonts w:ascii="Times New Roman" w:hAnsi="Times New Roman"/>
          <w:b/>
          <w:sz w:val="20"/>
        </w:rPr>
      </w:pPr>
      <w:bookmarkStart w:id="57" w:name="tx76201_54"/>
      <w:bookmarkEnd w:id="57"/>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closing, FBB agrees to use its reasonable best efforts to take, or cause to be taken, all reasonable actions and do, or cause to be done, all things necessary, proper or advisable to consummate the pre-closing investment contemplated by the commitment and subscription agreements and use its reasonable best efforts to satisfy all conditions and covenants applicable to FBB and comply with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closing of the merger, the combined company is expected to have a capital structure that includes (i) FBB’s existing term loan facility, which has been amended and restated pursuant to an executed amended and restated credit agreement that will become effective upon the occurrence of specified conditions at closing (the “A&amp;R Term Loan Facility”), and (ii) a new combined asset-based revolving credit facility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The amendment and restatement governing the A&amp;R Term Loan Facility has been executed and would become effective upon the satisfaction of specified closing conditions, including the consummation of the merger. Upon effectiveness, DXL and certain of its material domestic subsidiaries would become guarantors under the A&amp;R Term Loan Facility, and the obligations thereunder would be secured by substantially all assets of the combined company, including its material U.S. subsidiaries, subject to customary exceptions. The A&amp;R Term Loan Facility would mature in August 22, 2029 and would bear interest at a rate equal to term SOFR (subject to a 1.00%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 0.15% credit spread adjustment) plus 7.50% per annum or, at the borrower’s option, an alternate base rate plus 6.50% per annum. The A&amp;R Term Loan Facility contains customary affirmative and negative covenants, including limitations on indebtedness, liens, restricted payments, investments and asset sales, and would include a financial maintenance covenant requiring compliance with a maximum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would use the proceeds from the transactions contemplated by the commitment and subscription agreements to reduce outstanding indebtedness under the A&amp;R Term Loan Facility at closing.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the closing of the merger, DXL and FBB intend to establish the Combined ABL Facility for the surviving company and its subsidiaries, pursuant to the terms of the Bank of America Commitment Letter. The Combined ABL Facility is expected to provide revolving commitments subject to a borrowing base based primarily on eligible inventory and accounts receivable and to contain customary representations, covenants and events of default consistent with comparable asset-based revolving facilities for similarly situated retail companies, including a springing minimum fixed charge coverage ratio that becomes operative when borrowing availability falls below a specified threshold.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of DXL and FBB has agreed, and has agreed to cause its respective subsidiaries, to use reasonable best efforts to cooperate with the other party in connection with (i) the effectiveness of the A&amp;R Term Loan Facility and (ii) the documentation and closing of the Combined ABL Facility for the surviving company and its subsidiaries on the closing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Each of DXL and FBB has further agreed, and has agreed to cause its respective subsidiaries, to use reasonable best efforts to (i) furnish the other party and debt financing sources with reasonably requested financial, corporate, organizational, and collateral information in connection with the preparation of the loan facilities, (ii) provide customary certificates, organizational documents, schedules, instruments and other deliverables reasonably requested by lenders, (iii) reasonably participate in customary diligence, (iv) all documentation and information reasonably requested in writing in connection with applicable “know-your-customer” and anti-money laundering rules and regulations, and (v) execute and deliver as of the closing of the merger any guarantee, pledge and security documents, other definitive financing documents, or other certificates or documents reasonably requested by the leading party or the debt financing sources. </w:t>
      </w:r>
    </w:p>
    <w:p>
      <w:pPr>
        <w:pStyle w:val="TextBody"/>
        <w:bidi w:val="0"/>
        <w:spacing w:before="360" w:after="0"/>
        <w:jc w:val="left"/>
        <w:rPr>
          <w:rFonts w:ascii="Times New Roman" w:hAnsi="Times New Roman"/>
          <w:b/>
          <w:sz w:val="20"/>
        </w:rPr>
      </w:pPr>
      <w:bookmarkStart w:id="58" w:name="tx76201_55"/>
      <w:bookmarkEnd w:id="58"/>
      <w:r>
        <w:rPr>
          <w:rFonts w:ascii="Times New Roman" w:hAnsi="Times New Roman"/>
          <w:b/>
          <w:sz w:val="20"/>
        </w:rPr>
        <w:t xml:space="preserve">Nasdaq Listing </w:t>
      </w:r>
    </w:p>
    <w:p>
      <w:pPr>
        <w:pStyle w:val="TextBody"/>
        <w:bidi w:val="0"/>
        <w:spacing w:before="120" w:after="0"/>
        <w:jc w:val="left"/>
        <w:rPr>
          <w:rFonts w:ascii="Times New Roman" w:hAnsi="Times New Roman"/>
          <w:sz w:val="20"/>
        </w:rPr>
      </w:pPr>
      <w:r>
        <w:rPr>
          <w:rFonts w:ascii="Times New Roman" w:hAnsi="Times New Roman"/>
          <w:sz w:val="20"/>
        </w:rPr>
        <w:t xml:space="preserve">If the issuance proposal is approved, prior to the effective time of the merger, DXL has agreed to prepare and submit to Nasdaq a listing application or notification, as applicable, covering the shares of DXL common stock to be issued as merger consideration, and will use its reasonable best efforts to cause the DXL common stock to be issued as merger consideration to be authorized for listing on Nasdaq, subject to official notice of issuance, and FBB has agreed to reasonably cooperate with DXL in connection with the foregoing. </w:t>
      </w:r>
    </w:p>
    <w:p>
      <w:pPr>
        <w:pStyle w:val="TextBody"/>
        <w:bidi w:val="0"/>
        <w:spacing w:before="360" w:after="0"/>
        <w:jc w:val="left"/>
        <w:rPr>
          <w:rFonts w:ascii="Times New Roman" w:hAnsi="Times New Roman"/>
          <w:b/>
          <w:sz w:val="20"/>
        </w:rPr>
      </w:pPr>
      <w:bookmarkStart w:id="59" w:name="tx76201_56"/>
      <w:bookmarkEnd w:id="59"/>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Each party’s obligations to effect the merger is subject to the satisfaction or waiver by each of the parties,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by the holders of (i) a majority of the voting power of the outstanding FBB capital stock, (ii) a majority of the outstanding FBB preferred stock and (iii) a majority of the liquidation preference of all of the shares of FBB preferred stock, to approve and adopt the merger agreement, the merger, the amendment of the FBB charter and the amendment of the certificate of designation of the FBB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the affirmative vote of a majority of the votes cast at a meeting of the holders of DXL common stock to approve the issuance of shares of DXL common stock as the merger consideration pursuant to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common stock to be issued as merger consideration has been authorized for listing on Nasdaq, subject to official notice of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pre-closing investment has been consummated pursuant to, and in the amounts set forth in, the commitment and subscription agreements;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injunction preventing the consummation of the merger or any of the other transactions contemplated by the merger agreement has been in effect and no statute, rule, regulation or injunction has been enacted, entered, promulgated or enforced by any governmental entity that prohibits or makes the consummation of the merger illegal.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DXL’s obligation to effect the merger is subject to the satisfaction, or waiver by DXL,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FBB’s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FBB has delivered to DXL a certificate certifying the satisfaction of the conditions set forth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of the merger, FBB will have (i) amended the FBB charter to increase the total number of authorized shares sufficient to permit the consummation of the pre-closing investment, (ii) amended the certificate of designation of the FBB preferred stock to cause the conversion of all issued and outstanding shares of FBB preferred stock into shares of FBB common stock and (iii) taken all actions necessary to cause the conversion of all issued and outstanding shares of FBB preferred stock into shares of FBB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FBB’s obligation to effect the merger is subject to the satisfaction, or waiver by FBB, at or prior to the effective time of the merger,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in all material respects, of DXL’s representations and warranties relating to corporate organization, capitalization, authority; no violation, advisors’ fees, absence of certain changes or events, as of the date of the merger agreement and as of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performed in all material respects all obligations required to be performed by it under the merger agreement at or prior to the closing date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date of the merger agreement, no event or events or developments have occurred that have had or would reasonably be expected to have, individually or in the aggregate, a material adverse effect on DXL;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chief executive officer or chief financial officer of DXL has delivered to FBB a certificate certifying the satisfaction of the conditions set forth above. </w:t>
            </w:r>
          </w:p>
        </w:tc>
      </w:tr>
    </w:tbl>
    <w:p>
      <w:pPr>
        <w:pStyle w:val="TextBody"/>
        <w:bidi w:val="0"/>
        <w:spacing w:before="360" w:after="0"/>
        <w:jc w:val="left"/>
        <w:rPr>
          <w:rFonts w:ascii="Times New Roman" w:hAnsi="Times New Roman"/>
          <w:b/>
          <w:sz w:val="20"/>
        </w:rPr>
      </w:pPr>
      <w:bookmarkStart w:id="60" w:name="tx76201_57"/>
      <w:bookmarkEnd w:id="60"/>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of the merger, whether before or after receipt of the FBB stockholder approval or the required DXL stockholder vote, by action taken or authorized by the board of directors of the terminating party or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mutual consent of DXL and FBB in a written instrument;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DXL or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governmental entity of competent jurisdiction has issued a final and non-appealable order permanently enjoining or otherwise prohibiting the consummation of the merger or the other transactions contemplated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required DXL stockholder vote has not been obtained at the DXL stockholders meeting or any adjournment or postponement;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FBB stockholder approval has not been obtained within five (5) calendar days of the date of the merger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merger has not been consummated on or before September 11, 2026, subject to extension in accordance with the provisions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any of its representations and warranties or failed to perform any of its covenants or agreements such that the conditions to DXL’s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FBB has breached or failed to perform any of its covenants and agreements to consummate the pre-closing investment and take the necessary corporate actions with respect thereto, such that the conditions to DXL’s obligation to consummate the merger would not be satisfied, and such breach has not been cured within the specified cure period or is incapable of being cured;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connection with accepting a DXL Superior Proposal and entering into a DXL Acquisition Agreement; provided, that DXL concurrently pays FBB the applicable termination fee (as set forth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DXL has breached any of its representations and warranties or failed to perform any of its covenants or agreements such that the conditions to FBB’s obligation to consummate the merger would not be satisfied, and such breach has not been cured within the specified cure period or is incapable of being 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Nasdaq has informed FBB or DXL, whether orally or in writing, that Nasdaq will not list the merger consideration upon consummation of the merger and otherwise at the effective time of the merger;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prior to the receipt of the required DXL stockholder vote in the event of a DXL Adverse Recommendation Change by the DXL Board or any committee thereof. </w:t>
            </w:r>
          </w:p>
        </w:tc>
      </w:tr>
    </w:tbl>
    <w:p>
      <w:pPr>
        <w:pStyle w:val="TextBody"/>
        <w:bidi w:val="0"/>
        <w:spacing w:before="360" w:after="0"/>
        <w:jc w:val="left"/>
        <w:rPr>
          <w:rFonts w:ascii="Times New Roman" w:hAnsi="Times New Roman"/>
          <w:b/>
          <w:sz w:val="20"/>
        </w:rPr>
      </w:pPr>
      <w:bookmarkStart w:id="61" w:name="tx76201_58"/>
      <w:bookmarkEnd w:id="61"/>
      <w:r>
        <w:rPr>
          <w:rFonts w:ascii="Times New Roman" w:hAnsi="Times New Roman"/>
          <w:b/>
          <w:sz w:val="20"/>
        </w:rPr>
        <w:t xml:space="preserve">Termination Fee; Expense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pursuant to accepting a DXL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FBB pursuant to a change in DXL Adverse Recommendation Change by the DXL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DXL Takeover Proposal has been publicly announced and (i) the merger agreement is terminated due to failure to obtain the required DXL stockholder vote, lapse of end date of closing of the merger, or a breach by DXL, and (ii) DXL enters into an agreement to consummate a subsequent transaction in respect of the DXL Takeover Proposal within twelve (12) months after the termination of the merger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pay FBB a termination fee equal to $2,500,000.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is terminated by DXL or FBB pursuant to the failure to obtain the required DXL stockholder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DXL has paid the termination fee of $2,500,000 as set forth above;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DXL will reimburse FBB for all reasonable out-of-pocket fees and expenses incurred by FBB in connection with the negotiation of the merger agreement, up to a maximum of $950,000.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merger agreement is terminated by DXL due to FBB’s breach or failure to consummate the pre-closing investment and take the necessary corporate actions, then FBB will pay DXL a termination fee equal to $2,500,000 and FBB will reimburse DXL for all reasonable out-of-pocket fees and expenses incurred by DXL in connection with the negotiation of the merger agreement, up to a maximum of $950,000. </w:t>
      </w:r>
    </w:p>
    <w:p>
      <w:pPr>
        <w:pStyle w:val="TextBody"/>
        <w:bidi w:val="0"/>
        <w:spacing w:before="360" w:after="0"/>
        <w:jc w:val="left"/>
        <w:rPr>
          <w:rFonts w:ascii="Times New Roman" w:hAnsi="Times New Roman"/>
          <w:b/>
          <w:sz w:val="20"/>
        </w:rPr>
      </w:pPr>
      <w:bookmarkStart w:id="62" w:name="tx76201_59"/>
      <w:bookmarkEnd w:id="62"/>
      <w:r>
        <w:rPr>
          <w:rFonts w:ascii="Times New Roman" w:hAnsi="Times New Roman"/>
          <w:b/>
          <w:sz w:val="20"/>
        </w:rPr>
        <w:t xml:space="preserve">Amendments; Extensions; Waivers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the merger agreement may be amended by DXL, merger subsidiary and FBB, by action taken or authorized by their respective boards of directors, at any time before or after the FBB stockholder approval or the required DXL stockholder vote; provided that (i) after the FBB stockholder approval has been obtained, any amendment of the merger agreement that by applicable law requires the further approval by the stockholders of FBB will be effective only with the approval of such stockholders and (ii) after the required DXL stockholder vote has been obtained, any amendment of the merger agreement that by applicable law requires the further approval by the stockholders of DXL will be effective only with the approval of such stockholders. The merger agreement may not be amended except by an instrument in writing signed on behalf of each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the effective time of the merger, DXL (on behalf of itself and the merger subsidiary) and FBB may, to the extent legally allowed, (a) extend the time for the performance of any of the obligations or other acts of DXL or the merger subsidiary, in the case of FBB, or FBB, in the case of DXL, (b) waive any inaccuracies in the representations and warranties of DXL or the merger subsidiary, in the case of FBB, or FBB, in the case of DXL, contained in the merger agreement, and (c) waive compliance by DXL or the merger subsidiary, in the case of FBB, or FBB, in the case of DXL, with any of the agreements or conditions contained in the merger agreement. Any agreement on the part of a party to any such extension or waiver will be valid only if set forth in a written instrument signed by an authorized officer of such party. </w:t>
      </w:r>
    </w:p>
    <w:p>
      <w:pPr>
        <w:pStyle w:val="TextBody"/>
        <w:bidi w:val="0"/>
        <w:spacing w:before="360" w:after="0"/>
        <w:jc w:val="left"/>
        <w:rPr>
          <w:rFonts w:ascii="Times New Roman" w:hAnsi="Times New Roman"/>
          <w:b/>
          <w:sz w:val="20"/>
        </w:rPr>
      </w:pPr>
      <w:bookmarkStart w:id="63" w:name="tx76201_60"/>
      <w:bookmarkEnd w:id="63"/>
      <w:r>
        <w:rPr>
          <w:rFonts w:ascii="Times New Roman" w:hAnsi="Times New Roman"/>
          <w:b/>
          <w:sz w:val="20"/>
        </w:rPr>
        <w:t xml:space="preserve">Assignment </w:t>
      </w:r>
    </w:p>
    <w:p>
      <w:pPr>
        <w:pStyle w:val="TextBody"/>
        <w:bidi w:val="0"/>
        <w:spacing w:before="120" w:after="0"/>
        <w:jc w:val="left"/>
        <w:rPr>
          <w:rFonts w:ascii="Times New Roman" w:hAnsi="Times New Roman"/>
          <w:sz w:val="20"/>
        </w:rPr>
      </w:pPr>
      <w:r>
        <w:rPr>
          <w:rFonts w:ascii="Times New Roman" w:hAnsi="Times New Roman"/>
          <w:sz w:val="20"/>
        </w:rPr>
        <w:t xml:space="preserve">Neither the merger agreement, nor any of the rights, interests or obligations under the merger agreement, may be assigned, in whole or in part, by operation of law or otherwise by any of the parties without the prior written consent of the other parties. Any purported assignment without such consent will be void. </w:t>
      </w:r>
    </w:p>
    <w:p>
      <w:pPr>
        <w:pStyle w:val="TextBody"/>
        <w:bidi w:val="0"/>
        <w:spacing w:before="360" w:after="0"/>
        <w:jc w:val="left"/>
        <w:rPr>
          <w:rFonts w:ascii="Times New Roman" w:hAnsi="Times New Roman"/>
          <w:b/>
          <w:sz w:val="20"/>
        </w:rPr>
      </w:pPr>
      <w:bookmarkStart w:id="64" w:name="tx76201_61"/>
      <w:bookmarkEnd w:id="64"/>
      <w:r>
        <w:rPr>
          <w:rFonts w:ascii="Times New Roman" w:hAnsi="Times New Roman"/>
          <w:b/>
          <w:sz w:val="20"/>
        </w:rPr>
        <w:t xml:space="preserve">Entire Agreement; No Third-Party Beneficiaries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together with the mutual confidentiality and non-disclosure agreement dated as of February 12, 2024 (as amended), constitutes the entire agreement among the parties with respect to the merger and the other transactions contemplated in the merger agreement, and is not intended to, and does not, confer upon any person any rights or remedies, other than, following the effective time of the merger, (i) the provisions of Article II of the merger agreement relating to the payment of the merger consideration and any dividends or other distributions payable will be enforceable by holders of FBB capital stock at the effective time of the merger as provided in the merger agreement, (ii) the FBB selling stockholders are intended third party beneficiaries of Section 6.02 of the merger agreement governing such selling stockholders’ resale registration rights, and (iii) the indemnified directors and officers are intended third party beneficiaries of Section 6.11(a)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providing for rights to indemnification, advancement of expenses and exculpation of liabilities to such indemnified parties. </w:t>
      </w:r>
    </w:p>
    <w:p>
      <w:pPr>
        <w:pStyle w:val="TextBody"/>
        <w:bidi w:val="0"/>
        <w:spacing w:before="360" w:after="0"/>
        <w:jc w:val="left"/>
        <w:rPr>
          <w:rFonts w:ascii="Times New Roman" w:hAnsi="Times New Roman"/>
          <w:b/>
          <w:sz w:val="20"/>
        </w:rPr>
      </w:pPr>
      <w:bookmarkStart w:id="65" w:name="tx76201_62"/>
      <w:bookmarkEnd w:id="65"/>
      <w:r>
        <w:rPr>
          <w:rFonts w:ascii="Times New Roman" w:hAnsi="Times New Roman"/>
          <w:b/>
          <w:sz w:val="20"/>
        </w:rPr>
        <w:t xml:space="preserve">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explicitly provided in the merger agreement, all costs and expenses incurred in connection with the merger agreement, the merger and the other transactions contemplated thereby will be paid by the party incurring such costs and expenses. </w:t>
      </w:r>
    </w:p>
    <w:p>
      <w:pPr>
        <w:pStyle w:val="TextBody"/>
        <w:bidi w:val="0"/>
        <w:spacing w:before="360" w:after="0"/>
        <w:jc w:val="left"/>
        <w:rPr>
          <w:rFonts w:ascii="Times New Roman" w:hAnsi="Times New Roman"/>
          <w:b/>
          <w:sz w:val="20"/>
        </w:rPr>
      </w:pPr>
      <w:bookmarkStart w:id="66" w:name="tx76201_63"/>
      <w:bookmarkEnd w:id="66"/>
      <w:r>
        <w:rPr>
          <w:rFonts w:ascii="Times New Roman" w:hAnsi="Times New Roman"/>
          <w:b/>
          <w:sz w:val="20"/>
        </w:rPr>
        <w:t xml:space="preserve">Specific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acknowledge and agree that irreparable damage would occur in the event that any of the provisions of the merger agreement were not performed in accordance with their specific terms or were otherwise breached, and that monetary damages, even if available, would not be an adequate remedy therefor and therefore fully intend for specific performance to be an available remedy for breaches of the merger agreement. It is accordingly agreed that the parties will be entitled to an injunction or injunctions to prevent breaches of the merger agreement and to enforce specifically the performance of terms and provisions of the merger agreement, without proof of actual damages, in addition to any other remedy to which they are 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w:t>
      </w:r>
    </w:p>
    <w:p>
      <w:pPr>
        <w:pStyle w:val="TextBody"/>
        <w:bidi w:val="0"/>
        <w:spacing w:before="360" w:after="0"/>
        <w:jc w:val="left"/>
        <w:rPr>
          <w:rFonts w:ascii="Times New Roman" w:hAnsi="Times New Roman"/>
          <w:b/>
          <w:sz w:val="20"/>
        </w:rPr>
      </w:pPr>
      <w:bookmarkStart w:id="67" w:name="tx76201_64"/>
      <w:bookmarkEnd w:id="67"/>
      <w:r>
        <w:rPr>
          <w:rFonts w:ascii="Times New Roman" w:hAnsi="Times New Roman"/>
          <w:b/>
          <w:sz w:val="20"/>
        </w:rPr>
        <w:t xml:space="preserve">Governing Law and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is governed by the laws of the State of Delaware, without giving effect to any choice of law or conflict of law provision or rule (whether of the State of Delaware or otherwise) that would cause the application of the laws of any other jurisdiction. The parties have agreed that any dispute arising out of or relating to the merger agreement or the transactions contemplated by the merger agreement will be brought and determined exclusively in the Delaware Court of Chancery or, if (and only if) such court finds it lacks jurisdiction, the State or Federal courts of the United States of America sitting in Delaware, and any appellate court from any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8" w:name="tx76201_65"/>
      <w:bookmarkEnd w:id="68"/>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bookmarkStart w:id="69" w:name="tx76201_66"/>
      <w:bookmarkEnd w:id="69"/>
      <w:r>
        <w:rPr>
          <w:rFonts w:ascii="Times New Roman" w:hAnsi="Times New Roman"/>
          <w:b/>
          <w:sz w:val="20"/>
        </w:rPr>
        <w:t xml:space="preserve">Voting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the directors and chief financial officer of DXL and PLP entered into a voting agreement with FBB pursuant to which such directors, chief financial officer and PLP agreed, among other things, at any meeting of the stockholders of DXL and in connection with any action proposed to be taken by written consent of the stockholders of DXL, that such directors, chief financial officer and PLP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appear at each meeting or otherwise cause all shares held by such directors, chief financial officer and PLP to be counted as present for the purpose of determining a quorum;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present (in person or by proxy) and vote (or cause to be voted), or deliver (or cause to be delivered) a written consent with respect to, all shares held by such directors, chief financial officer and PLP: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favor of (i) the issuance of DXL common stock as the merger consideration pursuant to the terms of the merger agreement and (ii) any other matters that would reasonably be expected to facilitate the merger, including any proposal to adjourn or postpone any meeting of the stockholders of DXL to a later date, notwithstanding the DXL Board’s current recommendation against the issuance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against any Adverse Proposal (described below), except as permitted under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the voting agreements, “Adverse Proposal” means (i) any DXL Takeover Proposal (as described above); (ii) any change in the present capitalization of DXL or any amendment or change to the DXL charter or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in the merger agreement or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directors and chief financial officer of DXL agreed not to transfer any DXL shares held by such directors, and any transferee pursuant to an involuntary transfer will agree to hold such DXL shares subject to the restrictions, obligations, liabilities and rights under the voting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voting agreement terminates upon the earliest to occur of: (i) the effective time of the merger, (ii) the termination of the merger agreement in accordance with its terms, and (iii) the termination of the voting agreement by mutual written consent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directors and chief financial officer of DXL and PLP hold, in the aggregate, voting shares representing [●]% of the issued and outstanding shares of DXL common stock as of the record date and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of the votes entitled to be cast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These voting agreements were entered into in connection with the execution of the merger agreement, prior to the DXL Board’s ongoing evaluation of the merger and updated determination to recommend that DXL stockholders vote against the issuance proposal. The voting agreements remain binding on the stockholders subject thereto, notwithstanding the updated position of the DXL Board, unless and until they terminate in accordance with their terms. </w:t>
      </w:r>
    </w:p>
    <w:p>
      <w:pPr>
        <w:pStyle w:val="TextBody"/>
        <w:bidi w:val="0"/>
        <w:spacing w:before="360" w:after="0"/>
        <w:jc w:val="left"/>
        <w:rPr>
          <w:rFonts w:ascii="Times New Roman" w:hAnsi="Times New Roman"/>
          <w:b/>
          <w:sz w:val="20"/>
        </w:rPr>
      </w:pPr>
      <w:bookmarkStart w:id="70" w:name="tx76201_67"/>
      <w:bookmarkEnd w:id="70"/>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certain stockholders of FBB expected to represent approximately [●]% of the outstanding shares of DXL common stock as of immediately following the merger, entered into lock-up agreements, pursuant to which they accepted certain restrictions on transfers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DXL common stock to be held by such stockholders for a 90-day period following the closing date of the merger. If the merger agreement is terminated in accordance with its terms, the stockholders party to the lock-up agreements will be automatically released from their obligations and liabilities under the lock-up agreements. </w:t>
      </w:r>
    </w:p>
    <w:p>
      <w:pPr>
        <w:pStyle w:val="TextBody"/>
        <w:bidi w:val="0"/>
        <w:spacing w:before="360" w:after="0"/>
        <w:jc w:val="left"/>
        <w:rPr>
          <w:rFonts w:ascii="Times New Roman" w:hAnsi="Times New Roman"/>
          <w:b/>
          <w:sz w:val="20"/>
        </w:rPr>
      </w:pPr>
      <w:bookmarkStart w:id="71" w:name="tx76201_68"/>
      <w:bookmarkEnd w:id="71"/>
      <w:r>
        <w:rPr>
          <w:rFonts w:ascii="Times New Roman" w:hAnsi="Times New Roman"/>
          <w:b/>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private placement investors, pursuant to which the private placement investors agreed to purchase, and FBB agreed to sell, shares of FBB common stock for an aggregate purchase price of approximately $92 million. In addition, in connection with the private placement, the private placement investors were granted certain registration rights with respect to the shares of FBB common stock purchased in the private placement, which would be exchanged for shares of DXL common stock at the effective time. Such registration rights would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below listed private placement investors purchasing private placement shares are expected to beneficially own or be affiliates of holders of more than 5% of the combined company’s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55"/>
        <w:gridCol w:w="547"/>
        <w:gridCol w:w="160"/>
        <w:gridCol w:w="1499"/>
        <w:gridCol w:w="278"/>
      </w:tblGrid>
      <w:tr>
        <w:trPr/>
        <w:tc>
          <w:tcPr>
            <w:tcW w:w="4455"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4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Private Placement Investor</w:t>
            </w:r>
          </w:p>
        </w:tc>
        <w:tc>
          <w:tcPr>
            <w:tcW w:w="547" w:type="dxa"/>
            <w:tcBorders/>
            <w:vAlign w:val="bottom"/>
          </w:tcPr>
          <w:p>
            <w:pPr>
              <w:pStyle w:val="TableContents"/>
              <w:bidi w:val="0"/>
              <w:spacing w:before="0" w:after="283"/>
              <w:jc w:val="left"/>
              <w:rPr/>
            </w:pPr>
            <w:r>
              <w:rPr/>
              <w:t>  </w:t>
            </w:r>
          </w:p>
        </w:tc>
        <w:tc>
          <w:tcPr>
            <w:tcW w:w="16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 Class</w:t>
            </w:r>
          </w:p>
        </w:tc>
        <w:tc>
          <w:tcPr>
            <w:tcW w:w="278"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Oaktree Capital Management(1)</w:t>
            </w:r>
          </w:p>
        </w:tc>
        <w:tc>
          <w:tcPr>
            <w:tcW w:w="54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26.94</w:t>
            </w:r>
          </w:p>
        </w:tc>
        <w:tc>
          <w:tcPr>
            <w:tcW w:w="278"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Charlesbank Capital Partners(2)</w:t>
            </w:r>
          </w:p>
        </w:tc>
        <w:tc>
          <w:tcPr>
            <w:tcW w:w="547"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499" w:type="dxa"/>
            <w:tcBorders/>
            <w:vAlign w:val="bottom"/>
          </w:tcPr>
          <w:p>
            <w:pPr>
              <w:pStyle w:val="TableContents"/>
              <w:bidi w:val="0"/>
              <w:spacing w:before="0" w:after="283"/>
              <w:jc w:val="right"/>
              <w:rPr/>
            </w:pPr>
            <w:r>
              <w:rPr/>
              <w:t>11.17</w:t>
            </w:r>
          </w:p>
        </w:tc>
        <w:tc>
          <w:tcPr>
            <w:tcW w:w="278"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Arbour Lane Capital Management(3)</w:t>
            </w:r>
          </w:p>
        </w:tc>
        <w:tc>
          <w:tcPr>
            <w:tcW w:w="547"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499" w:type="dxa"/>
            <w:tcBorders/>
            <w:shd w:fill="CCEEFF" w:val="clear"/>
            <w:vAlign w:val="bottom"/>
          </w:tcPr>
          <w:p>
            <w:pPr>
              <w:pStyle w:val="TableContents"/>
              <w:bidi w:val="0"/>
              <w:spacing w:before="0" w:after="283"/>
              <w:jc w:val="right"/>
              <w:rPr/>
            </w:pPr>
            <w:r>
              <w:rPr/>
              <w:t>8.90</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Opps FB Holdings I, L.P., (ii) Opps FB Holdings II, L.P., (iii) Opps FB Holdings III, L.P., (iv) Opps FB Holdings IV, L.P., (v) Opps FB Holdings V, L.P., (vi) Opps FB Holdings VI, LP, (vii) Opps FB Holdings VII, L.P., (viii) Opps FB Holdings VIII, L.P., (ix) VOF FB Holdings I, LLC, (x) VOF FB Holdings II, LLC, (xi) VOF FB Holdings III, LLC and (xii) VOF FB Holdings IV, LLC. Steven Tesoriere, a member of the combined company’s Board, is a managing director at Oaktree Capital Management. Mr. Tesoriere has voting or dispositive power with respect to shares held by Oaktree Capital Management, including the entities set forth in (i) through (xii).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Hudson Post Credit Opportunities SPV-F, LP, (ii) Hudson Point II-B Financing LLC, (iii) Hudson Point Credit Opportunities Aggregator III-B, LLC and (iv) Hudson Point Credit Dislocation Overage Financing-B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ALCOF II NUBT, L.P. and (ii) ALCOF III NUBT, L.P.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2" w:name="tx76201_69"/>
      <w:bookmarkEnd w:id="72"/>
      <w:r>
        <w:rPr>
          <w:rFonts w:ascii="Times New Roman" w:hAnsi="Times New Roman"/>
          <w:b/>
          <w:sz w:val="20"/>
        </w:rPr>
        <w:t xml:space="preserve">PROPOSAL 1 </w:t>
      </w:r>
    </w:p>
    <w:p>
      <w:pPr>
        <w:pStyle w:val="TextBody"/>
        <w:bidi w:val="0"/>
        <w:spacing w:before="120" w:after="0"/>
        <w:jc w:val="center"/>
        <w:rPr>
          <w:rFonts w:ascii="Times New Roman" w:hAnsi="Times New Roman"/>
          <w:b/>
          <w:sz w:val="20"/>
        </w:rPr>
      </w:pPr>
      <w:r>
        <w:rPr>
          <w:rFonts w:ascii="Times New Roman" w:hAnsi="Times New Roman"/>
          <w:b/>
          <w:sz w:val="20"/>
        </w:rPr>
        <w:t xml:space="preserve">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DXL stockholders are being asked to approve the issuance of shares of DXL common stock as the merger consideration pursuant to the terms of the merger agreement and the resulting “change of control” of DXL under the Nasdaq rules. As described elsewhere in this proxy statement and previously announced, the DXL Board has, in accordance with the merger agreement, withdrawn its prior recommendation in favor of the merger and the issuance proposal and now recommends that stockholders vote “AGAINST” the issuance proposal. The discussion in this proxy statement of the transactions and the principal terms of the merger agreement is subject to, and qualified in its entirety by reference to, the merger agreement, which is attached as Annex A to this proxy statement. </w:t>
      </w:r>
    </w:p>
    <w:p>
      <w:pPr>
        <w:pStyle w:val="TextBody"/>
        <w:bidi w:val="0"/>
        <w:spacing w:before="240" w:after="0"/>
        <w:jc w:val="left"/>
        <w:rPr>
          <w:rFonts w:ascii="Times New Roman" w:hAnsi="Times New Roman"/>
          <w:sz w:val="20"/>
        </w:rPr>
      </w:pPr>
      <w:r>
        <w:rPr>
          <w:rFonts w:ascii="Times New Roman" w:hAnsi="Times New Roman"/>
          <w:sz w:val="20"/>
        </w:rPr>
        <w:t>You should carefully read this proxy statement in its entirety for more detailed information concerning the merger agreement. Please see the sections titled “</w:t>
      </w:r>
      <w:r>
        <w:rPr>
          <w:rFonts w:ascii="Times New Roman" w:hAnsi="Times New Roman"/>
          <w:i/>
          <w:sz w:val="20"/>
        </w:rPr>
        <w:t>Merger</w:t>
      </w:r>
      <w:r>
        <w:rPr>
          <w:rFonts w:ascii="Times New Roman" w:hAnsi="Times New Roman"/>
          <w:sz w:val="20"/>
        </w:rPr>
        <w:t>” and “</w:t>
      </w:r>
      <w:r>
        <w:rPr>
          <w:rFonts w:ascii="Times New Roman" w:hAnsi="Times New Roman"/>
          <w:i/>
          <w:sz w:val="20"/>
        </w:rPr>
        <w:t>The</w:t>
      </w:r>
      <w:r>
        <w:rPr>
          <w:rFonts w:ascii="Times New Roman" w:hAnsi="Times New Roman"/>
          <w:sz w:val="20"/>
        </w:rPr>
        <w:t xml:space="preserve"> </w:t>
      </w:r>
      <w:r>
        <w:rPr>
          <w:rFonts w:ascii="Times New Roman" w:hAnsi="Times New Roman"/>
          <w:i/>
          <w:sz w:val="20"/>
        </w:rPr>
        <w:t>Merger Agreement</w:t>
      </w:r>
      <w:r>
        <w:rPr>
          <w:rFonts w:ascii="Times New Roman" w:hAnsi="Times New Roman"/>
          <w:sz w:val="20"/>
        </w:rPr>
        <w:t xml:space="preserve">” beginning on pages 65 and 121, respectively, for additional information and a summary of certain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for Submitting the Issuance Proposal for Stockholder Vote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if the merger is consummated, DXL would issue shares of DXL common stock to FBB stockholders as merger consideration. DXL common stock is listed on The Nasdaq Global Market, and, as such, DXL is subject to Nasdaq Listing Rule 5635. Under Nasdaq Listing Rule 5635(a), stockholder approval is required prior to the issuance of common stock, among other things, in connection with the acquisition of another company’s stock, if the number of shares of common stock to be issued is in excess of 20% of the number of shares of common stock then outstanding. Under Nasdaq Listing Rule 5635(b), a company listed on Nasdaq is required to obtain stockholder approval prior to an issuance of stock that would result in a “change of control” of the listed company. Based on the structure of the merger and the expected ownership of DXL common stock if the merger is consummated, the issuance of shares of DXL common stock would result in a “change of control” of DXL for purposes of Nasdaq Listing Rule 5635(b).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the merger, if completed, the number of shares of DXL common stock to be issued would be based on, among other factors, the reverse stock split ratio and the total number of outstanding shares of DXL common stock, on a fully diluted basis using the treasury stock method. Based on the assumptions set forth in this proxy statement, if the merger is consummated, DXL would be expected to issue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million shares of DXL common stock on a fully diluted basis, and DXL common stock to be issued pursuant to the merger agreement would represent greater than 20% of its voting stock. Such issuance would also be expected to result in a change of control under the Nasdaq rules.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the merger is consummated, because the issuance of DXL common stock in connection with the merger would exceed these thresholds and would be expected to result in a change of control under the Nasdaq rules, stockholder approval is required to authorize the issuance of shares of DXL common stock as the merger consideration in connection with the merger and the resulting “change of control” of DXL under the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If proposal 1 and, to a lesser extent, proposal 3 are approved, existing DXL stockholders will experience significant dilution in ownership interests and voting rights as a result of the issuance of shares of DXL common stock in connection with the merger. The number of shares of DXL common stock to be issued will be based on, among other factors, the reverse stock split ratio and the total number of outstanding shares of DXL common stock, on a fully-diluted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1 by DXL stockholders is a separate vote from approval of the amendment to the restated certificate of incorporation of DXL to effect a reverse stock split contemplated by proposal 2, and from approval of the amendment to the Second Amended and Restated 2016 Incentive Compensation Plan contemplated by proposal 3. Accordingly, DXL stockholders may vote for proposal 2 and proposal 3 and vote against proposal 1. However, if DXL stockholders do not approve this proposal 1, DXL will not have satisfied the condition precedent to the completion of the merger under the merger agreement, even if proposal 2 and proposal 3 are approved by DXL stockholders.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1 is not approved by DXL stockholders at the special meeting, the merger will not be consummated. In that event, proposal 2 and proposal 3 may still be implemented, in the DXL Board’s discretion. Because the DXL Board believes those proposals are important to DXL’s ongoing operations and capital structure, the DXL Board expects to implement proposal 2 and proposal 3, if approved by the DXL stockholders,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issuance proposal. Abstentions, the failure to vote, and broker non-votes, if any, will have no effect on the outcome of the issuance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“AGAINST” THE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3" w:name="tx76201_70"/>
      <w:bookmarkEnd w:id="73"/>
      <w:r>
        <w:rPr>
          <w:rFonts w:ascii="Times New Roman" w:hAnsi="Times New Roman"/>
          <w:b/>
          <w:sz w:val="20"/>
        </w:rPr>
        <w:t xml:space="preserve">PROPOSAL 2 </w:t>
      </w:r>
    </w:p>
    <w:p>
      <w:pPr>
        <w:pStyle w:val="TextBody"/>
        <w:bidi w:val="0"/>
        <w:spacing w:before="120" w:after="0"/>
        <w:jc w:val="center"/>
        <w:rPr>
          <w:rFonts w:ascii="Times New Roman" w:hAnsi="Times New Roman"/>
          <w:b/>
          <w:sz w:val="20"/>
        </w:rPr>
      </w:pPr>
      <w:r>
        <w:rPr>
          <w:rFonts w:ascii="Times New Roman" w:hAnsi="Times New Roman"/>
          <w:b/>
          <w:sz w:val="20"/>
        </w:rPr>
        <w:t xml:space="preserve">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On July 17, 2026, the DXL Board approved, and is recommending that its stockholders approve, an amendment (the “amendment”) to DXL’s restated certificate of incorporation, as amended (the “charter”), to effect a reverse stock split of the issued and outstanding shares of DXL common stock at a ratio of not less than 1-for-2 and not more than 1-for-30, such ratio, and the implementation and timing of such reverse stock split, to be determined in the sole discretion of the DXL Board and announced by DXL before this certificate of amendment is filed with the Secretary of State of the State of Delaware (the “reverse stock split”). As part of proposal 2, DXL stockholders are also being asked to authorize the DXL Board to elect, in its sole discretion and without further action by the DXL stockholders, to abandon the proposed amendment and not effect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If approved by DXL stockholders, the final decision of whether to proceed with the reverse stock split and the effective time of the reverse stock split will be determined by the DXL Board in its sole discretion and announced by DXL before this certificate of amendment is filed with the Secretary of State of the State of Delaware. Approval of proposal 2 includes the authorization of the DXL Board such that, even if approved by its stockholders, the DXL Board may elect, in its sole discretion and without further action by the DXL stockholders, to abandon the proposed amendment and not effect the reverse stock split. Also, if the DXL Board does not implement the reverse stock split within the one-year anniversary of the date on which the reverse stock split is approved by the DXL stockholders at the special meeting or any adjournment or postponement thereto,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amendment to effect the reverse stock split, if any, will include the split ratio fixed by the DXL Board, within the range approved by its stockholders at the special meeting. The ratio, if any, selected by the DXL Board for the reverse stock split would be publicly disclosed by DXL to its stockholders on or before the date on which the amendment reflecting the reverse stock split is filed with the Secretary of State of the State of Delaware. The text of the proposed amendment is set forth in Section 1 in the form attached as Annex C to this proxy statement. Upon the effectiveness of the amendment, all issued and outstanding shares of DXL common stock and treasury shares will be reclassified by combining them into a lesser number of shares, such that one share of DXL common stock will be issued and outstanding in lieu of a specified number of shares within the approved reverse stock split range. </w:t>
      </w:r>
    </w:p>
    <w:p>
      <w:pPr>
        <w:pStyle w:val="TextBody"/>
        <w:bidi w:val="0"/>
        <w:spacing w:before="240" w:after="0"/>
        <w:jc w:val="left"/>
        <w:rPr>
          <w:rFonts w:ascii="Times New Roman" w:hAnsi="Times New Roman"/>
          <w:sz w:val="20"/>
        </w:rPr>
      </w:pPr>
      <w:r>
        <w:rPr>
          <w:rFonts w:ascii="Times New Roman" w:hAnsi="Times New Roman"/>
          <w:sz w:val="20"/>
        </w:rPr>
        <w:t xml:space="preserve">If this proposal 2 is approved by DXL stockholders at the special meeting, no further approval or authorization of DXL stockholders will be required to effect (or abandon) the reverse stock split. However, if the DXL Board does not implement the reverse stock split within the one-year anniversary of the date on which the reverse stock split is approved by the DXL stockholders, the authority granted in this proposal to implement the reverse stock split will terminate.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the amendment to effect the reverse stock split, as more fully described below, will effect the reverse stock split but will not change the number of authorized shares of DXL common stock or preferred stock, or the par value of DXL common stock or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DXL is Seeking Approval of the Reverse Stock Split Proposal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Nasdaq under the symbol “DXLG”. The DXL Board has approved the proposed amendment to the charter to effect the reverse stock split, and believes the reverse stock split proposal is important to DXL independent of the merger, for the following reasons: </w:t>
      </w:r>
    </w:p>
    <w:p>
      <w:pPr>
        <w:pStyle w:val="TextBody"/>
        <w:bidi w:val="0"/>
        <w:spacing w:before="360" w:after="0"/>
        <w:jc w:val="left"/>
        <w:rPr>
          <w:rFonts w:ascii="Times New Roman" w:hAnsi="Times New Roman"/>
          <w:i/>
          <w:sz w:val="20"/>
        </w:rPr>
      </w:pPr>
      <w:r>
        <w:rPr>
          <w:rFonts w:ascii="Times New Roman" w:hAnsi="Times New Roman"/>
          <w:i/>
          <w:sz w:val="20"/>
        </w:rPr>
        <w:t xml:space="preserve">Maintain its Listing on Nasdaq, Whether or Not the Merger is Consummated </w:t>
      </w:r>
    </w:p>
    <w:p>
      <w:pPr>
        <w:pStyle w:val="TextBody"/>
        <w:bidi w:val="0"/>
        <w:spacing w:before="120" w:after="0"/>
        <w:jc w:val="left"/>
        <w:rPr>
          <w:rFonts w:ascii="Times New Roman" w:hAnsi="Times New Roman"/>
          <w:sz w:val="20"/>
        </w:rPr>
      </w:pPr>
      <w:r>
        <w:rPr>
          <w:rFonts w:ascii="Times New Roman" w:hAnsi="Times New Roman"/>
          <w:sz w:val="20"/>
        </w:rPr>
        <w:t xml:space="preserve">By potentially increasing the trading price of DXL common stock, the reverse stock split would reduce the risk that DXL common stock could be delisted from Nasdaq before the effective time of the merger or in the event the merger is not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Nasdaq has continued listing standards that DXL must maintain to avoid delisting, including, among others, a minimum bid price requirement of $1.00 per share (the “minimum bid price requirement”). On February 4, 2026, DXL received a letter from the Listing Qualifications staff of Nasdaq indicating that, based upon the closing bid price of DXL common stock for the last 30 consecutive business days, it was not in compliance with the minimum bid price requirement. At that time, DXL was provided a compliance period of 180 calendar days, or until August 3, 2026, to regain compliance with the minimum bid price requirement. If DXL is unable to regain compliance within the initial 180-day period, it may be eligible for an additional compliance period of 180 calendar days to regain compliance if it meets certain requirements, including if it (i) transfers its listing to The Nasdaq Capital Market and (ii) meets the continued listing requirement for market value of publicly held shares and all other initial listing standards for The Nasdaq Capital Market, with the exception of the bid price requirement, and provides written notice to Nasdaq of its intent to cure the deficiency during this second compliance period, by effecting a reverse stock split, if necessary. However, if Nasdaq concludes that DXL will not be able to cure the deficiency, or if DXL determines not to submit a transfer application or make the required representation, Nasdaq will provide notice to DXL that its common stock will be subject to delisting. On June 30, 2026, DXL (i) submitted a transfer application to Nasdaq to transfer to The Nasdaq Capital Market and (ii) provided written notice to Nasdaq requesting an additional compliance period of 180 calendar days, advising Nasdaq that it submitted a transfer application, and advising Nasdaq that it meets the continued listing requirement for market value of publicly held shares and all other initial listing standards for The Nasdaq Capital Market, with the exception of the bid price requirement. </w:t>
      </w:r>
    </w:p>
    <w:p>
      <w:pPr>
        <w:pStyle w:val="TextBody"/>
        <w:bidi w:val="0"/>
        <w:spacing w:before="240" w:after="0"/>
        <w:jc w:val="left"/>
        <w:rPr>
          <w:rFonts w:ascii="Times New Roman" w:hAnsi="Times New Roman"/>
          <w:sz w:val="20"/>
        </w:rPr>
      </w:pPr>
      <w:r>
        <w:rPr>
          <w:rFonts w:ascii="Times New Roman" w:hAnsi="Times New Roman"/>
          <w:sz w:val="20"/>
        </w:rPr>
        <w:t xml:space="preserve">A reason DXL is seeking stockholder approval for this reverse stock split is to provide the DXL Board the ability, if necessary, to increase the price of DXL common stock in order to meet the minimum bid price requirement for continued listing of DXL common stock on Nasdaq should DXL be unable to regain compliance during the initial compliance period or any additional compliance period provided by Nasdaq. A reverse stock split may also make DXL common stock more attractive to a broader range of investors who may prefer to invest in shares that trade at higher share prices and, therefore, potentially increase the trading volume and liquidity of DXL common stock. If the DXL Board does not implement the reverse stock split within the one-year anniversary of the date on which the reverse stock split is approved by the DXL stockholders, the authority granted in this proposal to implement the reverse stock split will terminate. Accordingly, the DXL Board believes that authority to effect the reverse stock split is in the best interests of DXL and its stockholders and is important to support DXL’s continued Nasdaq listing, liquidity and capital markets flexibility, regardless of whether the merger is consummated. </w:t>
      </w:r>
    </w:p>
    <w:p>
      <w:pPr>
        <w:pStyle w:val="TextBody"/>
        <w:bidi w:val="0"/>
        <w:spacing w:before="240" w:after="0"/>
        <w:jc w:val="left"/>
        <w:rPr>
          <w:rFonts w:ascii="Times New Roman" w:hAnsi="Times New Roman"/>
          <w:sz w:val="20"/>
        </w:rPr>
      </w:pPr>
      <w:r>
        <w:rPr>
          <w:rFonts w:ascii="Times New Roman" w:hAnsi="Times New Roman"/>
          <w:sz w:val="20"/>
        </w:rPr>
        <w:t>In evaluating the reverse stock split, the DXL Board took into consideration a number of positive and negative factors commonly associated with reverse stock splits, including those discussed below under the section entitled “—</w:t>
      </w:r>
      <w:r>
        <w:rPr>
          <w:rFonts w:ascii="Times New Roman" w:hAnsi="Times New Roman"/>
          <w:i/>
          <w:sz w:val="20"/>
        </w:rPr>
        <w:t>Certain Risks and Potential Disadvantages Associated with the Reverse Stock Split”</w:t>
      </w:r>
      <w:r>
        <w:rPr>
          <w:rFonts w:ascii="Times New Roman" w:hAnsi="Times New Roman"/>
          <w:sz w:val="20"/>
        </w:rPr>
        <w:t xml:space="preserve">. The DXL Board determined, however, that the potential negative factors were significantly outweighed by the potential benefits, and believes that the increase of the per-share market price of DXL common stock that may result from the reverse stock split may allow DXL to maintain or regain compliance with Nasdaq listing requirements, support the continued listing of DXL common stock on The Nasdaq Capital Market or another tier of Nasdaq, encourage greater interest in DXL common stock from market participants, and enhance the liquidity and marketability of DXL common stock. If the merger were to be completed, the reverse stock split may also assist in satisfying applicable Nasdaq listing requirements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Reducing the number of issued and outstanding shares of DXL common stock through the reverse stock split is intended, absent other factors, to increase the per-share market price of DXL common stock. However, other factors, such as DXL’s financial results, market conditions and the market perception of its business may adversely affect the market price of DXL common stock. In addition, the reverse stock split will result in additional authorized and unissued shares becoming available for general corporate purposes as the DXL Board may determine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maintaining the current number of authorized shares of DXL common stock, irrespective of the reverse stock split, is necessary to provide DXL with the flexibility to act in the future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raising additional financing, potential strategic collaborations and other corporate purposes without the delay and expense associated with obtaining special stockholder approval each time an opportunity requiring the issuance of shares of DXL common stock may arise. Such a delay might deny DXL the flexibility that the DXL Board views as important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reverse stock split, if completed, will result in the intended benefits described above, that the market price of DXL common stock will increase following the reverse stock split, that the market price of DXL common stock will not decrease in the future, or that DXL common stock will achieve a high enough price per share to consummate the merger or permit its continued listing on Nasdaq. </w:t>
      </w:r>
    </w:p>
    <w:p>
      <w:pPr>
        <w:pStyle w:val="TextBody"/>
        <w:bidi w:val="0"/>
        <w:spacing w:before="360" w:after="0"/>
        <w:jc w:val="left"/>
        <w:rPr>
          <w:rFonts w:ascii="Times New Roman" w:hAnsi="Times New Roman"/>
          <w:i/>
          <w:sz w:val="20"/>
        </w:rPr>
      </w:pPr>
      <w:r>
        <w:rPr>
          <w:rFonts w:ascii="Times New Roman" w:hAnsi="Times New Roman"/>
          <w:i/>
          <w:sz w:val="20"/>
        </w:rPr>
        <w:t xml:space="preserve">Meet the Initial Listing Requirements on Nasdaq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DXL intends to file an initial listing application pursuant to the terms of the merger agreement in connection with the merger. The initial listing requirements are more difficult to achieve than Nasdaq’s continued listing requirements. 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 listing standards of Nasdaq will require DXL (following the merger, if consummated) to have, among other things, a $4.00 per share minimum bid/closing price for a certain number of trading days preceding the closing of the merger, unless it effects a reverse stock split. On [●], 2026, the last practicable date before the printing of the proxy statement, the closing price per share of DXL common stock as reported on Nasdaq was $[●] per share. Accordingly, the reverse stock split may be necessary in order to satisfy applicable Nasdaq requirements in the event the merger is consummated. In addition to the minimum bid price requirement, Nasdaq’s initial listing standards require, among other things, that DXL (following the merger, if consummated) satisfy minimum standards relating to stockholders’ equity, market value of listed securities, and number of round lot stockholders. Based on the unaudited pro forma condensed combined financial information included elsewhere in this proxy statement, DXL currently expects to satisfy these additional initial listing requirements; however, there can be no assurance that Nasdaq will approve any such listing application. </w:t>
      </w:r>
    </w:p>
    <w:p>
      <w:pPr>
        <w:pStyle w:val="TextBody"/>
        <w:bidi w:val="0"/>
        <w:spacing w:before="240" w:after="0"/>
        <w:jc w:val="left"/>
        <w:rPr>
          <w:rFonts w:ascii="Times New Roman" w:hAnsi="Times New Roman"/>
          <w:sz w:val="20"/>
        </w:rPr>
      </w:pPr>
      <w:r>
        <w:rPr>
          <w:rFonts w:ascii="Times New Roman" w:hAnsi="Times New Roman"/>
          <w:sz w:val="20"/>
        </w:rPr>
        <w:t>In addition, it is a condition to the closing of the merger that the Nasdaq listing application for the combined company be approved by Nasdaq. If the reverse stock split proposal is not approved and DXL is unable to otherwise effect the reverse stock split, such condition to closing the merger may not be satisfied. Please see the section entitled “</w:t>
      </w:r>
      <w:r>
        <w:rPr>
          <w:rFonts w:ascii="Times New Roman" w:hAnsi="Times New Roman"/>
          <w:i/>
          <w:sz w:val="20"/>
        </w:rPr>
        <w:t>The Merger Agreement—Conditions to the</w:t>
      </w:r>
      <w:r>
        <w:rPr>
          <w:rFonts w:ascii="Times New Roman" w:hAnsi="Times New Roman"/>
          <w:sz w:val="20"/>
        </w:rPr>
        <w:t xml:space="preserve"> </w:t>
      </w:r>
      <w:r>
        <w:rPr>
          <w:rFonts w:ascii="Times New Roman" w:hAnsi="Times New Roman"/>
          <w:i/>
          <w:sz w:val="20"/>
        </w:rPr>
        <w:t>Closing of the Merger</w:t>
      </w:r>
      <w:r>
        <w:rPr>
          <w:rFonts w:ascii="Times New Roman" w:hAnsi="Times New Roman"/>
          <w:sz w:val="20"/>
        </w:rPr>
        <w:t xml:space="preserve">” for additional information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Certain Risks and Potential Disadvantages Associated with the Reverse Stock Split </w:t>
      </w:r>
    </w:p>
    <w:p>
      <w:pPr>
        <w:pStyle w:val="TextBody"/>
        <w:bidi w:val="0"/>
        <w:spacing w:before="120" w:after="0"/>
        <w:jc w:val="left"/>
        <w:rPr>
          <w:rFonts w:ascii="Times New Roman" w:hAnsi="Times New Roman"/>
          <w:sz w:val="20"/>
        </w:rPr>
      </w:pPr>
      <w:r>
        <w:rPr>
          <w:rFonts w:ascii="Times New Roman" w:hAnsi="Times New Roman"/>
          <w:sz w:val="20"/>
        </w:rPr>
        <w:t>Before voting on this proposal, you should consider the risks and potential disadvantages associated with the implementation of the reverse stock split discussed under the section entitled “</w:t>
      </w:r>
      <w:r>
        <w:rPr>
          <w:rFonts w:ascii="Times New Roman" w:hAnsi="Times New Roman"/>
          <w:i/>
          <w:sz w:val="20"/>
        </w:rPr>
        <w:t>Risk Factors—Risks Related to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Board Discretion to Effect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reverse stock split proposal is approved by the DXL stockholders, the DXL Board will have the discretion to implement the reverse stock split or to not effect the reverse stock split at all. The DXL Board intends to effect the reverse stock split if it determines, in its sole discretion, that effecting such reverse stock split is necessary to regain compliance with the minimum bid price requirement. If the DXL Board does not implement the reverse stock split within the one-year anniversary of the date on which the reverse stock split is approved by the DXL stockholders, the authority granted in this proposal to implement the reverse stock split will terminate. Following the reverse stock split, if implemented, there can be no assurance that the market price of DXL common stock will rise in proportion to the reduction in the number of outstanding shares resulting from the reverse stock split or that the market price of the post-split common stock can be maintained above $1.00. There can also be no assurance that the DXL common stock will not be delisted from The Nasdaq Capital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DXL stockholders approve the reverse stock split proposal, the reverse stock split will be effected, if at all, in the event that the DXL Board, in its sole discretion, determines that effecting such reverse stock split is in the best interests of DXL and the DXL stockholders and is necessary to regain compliance with the minimum bid price requirement. No further action on the part of the DXL stockholders will be required to either effect or abandon the reverse stock split. If the DXL Board does not implement the reverse stock split prior to the one-year anniversary of the date on which the reverse stock split is approved by the DXL stockholders at the special meeting, the authority granted in this proposal to implement the reverse stock split will terminate and the certificate of amendment will be abandoned.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the DXL common stock is dependent upon DXL’s performance and other factors, some of which are unrelated to the number of shares outstanding. If the reverse stock split is effected and the market price of the DXL common stock declines, the percentage decline as an absolute number and as a percentage of DXL’s overall market capitalization may be greater than what would occur in the absence of the reverse stock split. Furthermore, the reduced number of shares that would be outstanding after the reverse stock split could significantly reduce the trading volume and otherwise adversely affect the liquidity of DXL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 xml:space="preserve">SEC rules require disclosure and discussion of the effects of any proposal that could be used as an anti-takeover device. This proposal, if adopted and implemented, will result in a relative increase in the number of authorized but unissued shares of DXL common stock vis-à-vis the outstanding shares of DXL common stock and could, under certain circumstances, have an anti-takeover effect, although that is not the purpose or intent of the proposal. A relative increase in the number of authorized but unissued shares of DXL common stock could have other effects on DXL stockholders, depending upon the exact nature and circumstances of any actual issuances of authorized shares. A relative increase in the authorized but unissued shares of DXL common stock could potentially deter takeovers, including takeovers that the DXL Board determines are not in the best interest of its stockholders, in that additional shares could be issued (within the limits imposed by applicable law) in one or more transactions that could make a change in control or takeover more difficult. Other than in connection with the merger, the DXL Board is not aware of any attempt to take control of the DXL business, and the DXL Board has not considered the reverse stock split to be a tool to be utilized as a type of anti-takeover device. Other than in connection with the merger, DXL currently has no plans, proposals or arrangements to issue any shares of DXL common stock that would become newly available for issuance as a result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Outstanding DXL Common Stock; Procedure for Effecting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of DXL approve the reverse stock split, and if the DXL Board elects to proceed with the reverse stock split, the DXL Board will determine the ratio of the reverse stock split to be implemented within the range approved by its stockholders and will file the amendment to the certificate of incorporation, in Section 1 of the form attached as Annex C to this proxy statement, with the Secretary of State of the State of Delaware reflecting the designated ratio. The DXL Board may decide not to effect the reverse stock split without resoliciting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illustrates a range of the possible reverse stock split ratios with the implied number of issued and outstanding shares of DXL common stock resulting from the reverse stock split, based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of DXL common stock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t>
      </w:r>
    </w:p>
    <w:p>
      <w:pPr>
        <w:pStyle w:val="TextBody"/>
        <w:bidi w:val="0"/>
        <w:spacing w:before="0" w:after="0"/>
        <w:jc w:val="left"/>
        <w:rPr/>
      </w:pPr>
      <w:r>
        <w:rPr/>
        <w:t> </w:t>
      </w:r>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10:1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15:1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2825" w:type="dxa"/>
        <w:jc w:val="center"/>
        <w:tblInd w:w="0" w:type="dxa"/>
        <w:tblLayout w:type="fixed"/>
        <w:tblCellMar>
          <w:top w:w="0" w:type="dxa"/>
          <w:left w:w="0" w:type="dxa"/>
          <w:bottom w:w="0" w:type="dxa"/>
          <w:right w:w="0" w:type="dxa"/>
        </w:tblCellMar>
      </w:tblPr>
      <w:tblGrid>
        <w:gridCol w:w="935"/>
        <w:gridCol w:w="120"/>
        <w:gridCol w:w="74"/>
        <w:gridCol w:w="1521"/>
        <w:gridCol w:w="60"/>
        <w:gridCol w:w="120"/>
        <w:gridCol w:w="260"/>
        <w:gridCol w:w="1065"/>
        <w:gridCol w:w="155"/>
        <w:gridCol w:w="60"/>
        <w:gridCol w:w="291"/>
        <w:gridCol w:w="884"/>
        <w:gridCol w:w="155"/>
        <w:gridCol w:w="120"/>
        <w:gridCol w:w="285"/>
        <w:gridCol w:w="500"/>
        <w:gridCol w:w="155"/>
        <w:gridCol w:w="120"/>
        <w:gridCol w:w="77"/>
        <w:gridCol w:w="1518"/>
        <w:gridCol w:w="60"/>
        <w:gridCol w:w="120"/>
        <w:gridCol w:w="260"/>
        <w:gridCol w:w="1065"/>
        <w:gridCol w:w="155"/>
        <w:gridCol w:w="60"/>
        <w:gridCol w:w="514"/>
        <w:gridCol w:w="901"/>
        <w:gridCol w:w="155"/>
        <w:gridCol w:w="120"/>
        <w:gridCol w:w="285"/>
        <w:gridCol w:w="500"/>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5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Prior to Reverse Stock Split</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7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Immediately After Reverse Stock Split</w:t>
            </w:r>
          </w:p>
        </w:tc>
        <w:tc>
          <w:tcPr>
            <w:tcW w:w="155" w:type="dxa"/>
            <w:tcBorders/>
            <w:vAlign w:val="bottom"/>
          </w:tcPr>
          <w:p>
            <w:pPr>
              <w:pStyle w:val="TableContents"/>
              <w:bidi w:val="0"/>
              <w:spacing w:before="0" w:after="283"/>
              <w:jc w:val="left"/>
              <w:rPr/>
            </w:pPr>
            <w:r>
              <w:rPr/>
              <w:t> </w:t>
            </w:r>
          </w:p>
        </w:tc>
      </w:tr>
      <w:tr>
        <w:trPr/>
        <w:tc>
          <w:tcPr>
            <w:tcW w:w="93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Proposed Ratio</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pPr>
            <w:r>
              <w:rPr>
                <w:b/>
              </w:rPr>
              <w:t>Closing</w:t>
              <w:br/>
              <w:t>Stock Price</w:t>
              <w:b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Authorized</w:t>
              <w:br/>
              <w:t>Shares of</w:t>
              <w:b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Outstanding</w:t>
              <w:br/>
              <w:t>Shares of</w:t>
              <w:br/>
              <w:t>Common</w:t>
              <w:br/>
              <w:t>Stock, Net of</w:t>
              <w:br/>
              <w:t>Treasury</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Closing Stock</w:t>
              <w:br/>
              <w:t>Price</w:t>
            </w:r>
            <w:r>
              <w:rPr/>
              <w:br/>
            </w:r>
            <w:r>
              <w:rPr>
                <w:b/>
              </w:rPr>
              <w:t>at</w:t>
            </w:r>
            <w:r>
              <w:rPr/>
              <w:br/>
            </w:r>
            <w:r>
              <w:rPr>
                <w:b/>
              </w:rPr>
              <w:t>[</w:t>
            </w:r>
            <w:r>
              <w:rPr/>
              <w:t>●</w:t>
            </w:r>
            <w:r>
              <w:rPr>
                <w:b/>
              </w:rPr>
              <w:t>], 2026</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w:t>
            </w:r>
          </w:p>
        </w:tc>
        <w:tc>
          <w:tcPr>
            <w:tcW w:w="155" w:type="dxa"/>
            <w:tcBorders/>
            <w:vAlign w:val="bottom"/>
          </w:tcPr>
          <w:p>
            <w:pPr>
              <w:pStyle w:val="TableContents"/>
              <w:bidi w:val="0"/>
              <w:spacing w:before="0" w:after="283"/>
              <w:jc w:val="left"/>
              <w:rPr/>
            </w:pP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r>
        <w:trPr/>
        <w:tc>
          <w:tcPr>
            <w:tcW w:w="935" w:type="dxa"/>
            <w:tcBorders/>
          </w:tcPr>
          <w:p>
            <w:pPr>
              <w:pStyle w:val="TableContents"/>
              <w:bidi w:val="0"/>
              <w:spacing w:before="0" w:after="0"/>
              <w:jc w:val="left"/>
              <w:rPr>
                <w:rFonts w:ascii="Times New Roman" w:hAnsi="Times New Roman"/>
                <w:sz w:val="18"/>
              </w:rPr>
            </w:pPr>
            <w:r>
              <w:rPr>
                <w:rFonts w:ascii="Times New Roman" w:hAnsi="Times New Roman"/>
                <w:sz w:val="18"/>
              </w:rPr>
              <w:t>25:1</w:t>
            </w:r>
          </w:p>
        </w:tc>
        <w:tc>
          <w:tcPr>
            <w:tcW w:w="12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21"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84" w:type="dxa"/>
            <w:tcBorders/>
            <w:vAlign w:val="bottom"/>
          </w:tcPr>
          <w:p>
            <w:pPr>
              <w:pStyle w:val="TableContents"/>
              <w:bidi w:val="0"/>
              <w:spacing w:before="0" w:after="283"/>
              <w:jc w:val="right"/>
              <w:rPr/>
            </w:pPr>
            <w:r>
              <w:rPr/>
              <w:t>0.</w:t>
            </w: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518"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w:t>
            </w:r>
          </w:p>
        </w:tc>
        <w:tc>
          <w:tcPr>
            <w:tcW w:w="901"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c>
          <w:tcPr>
            <w:tcW w:w="12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500" w:type="dxa"/>
            <w:tcBorders/>
            <w:vAlign w:val="bottom"/>
          </w:tcPr>
          <w:p>
            <w:pPr>
              <w:pStyle w:val="TableContents"/>
              <w:bidi w:val="0"/>
              <w:spacing w:before="0" w:after="283"/>
              <w:jc w:val="right"/>
              <w:rPr/>
            </w:pPr>
            <w:r>
              <w:rPr>
                <w:b/>
              </w:rPr>
              <w:t>[</w:t>
            </w:r>
            <w:r>
              <w:rPr/>
              <w:t>●</w:t>
            </w:r>
          </w:p>
        </w:tc>
        <w:tc>
          <w:tcPr>
            <w:tcW w:w="155" w:type="dxa"/>
            <w:tcBorders/>
            <w:vAlign w:val="bottom"/>
          </w:tcPr>
          <w:p>
            <w:pPr>
              <w:pStyle w:val="TableContents"/>
              <w:bidi w:val="0"/>
              <w:spacing w:before="0" w:after="283"/>
              <w:jc w:val="left"/>
              <w:rPr/>
            </w:pPr>
            <w:r>
              <w:rPr>
                <w:b/>
              </w:rPr>
              <w:t>]</w:t>
            </w:r>
            <w:r>
              <w:rPr/>
              <w:t> </w:t>
            </w:r>
          </w:p>
        </w:tc>
      </w:tr>
      <w:tr>
        <w:trPr/>
        <w:tc>
          <w:tcPr>
            <w:tcW w:w="93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30:1</w:t>
            </w:r>
          </w:p>
        </w:tc>
        <w:tc>
          <w:tcPr>
            <w:tcW w:w="12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21"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84" w:type="dxa"/>
            <w:tcBorders/>
            <w:shd w:fill="CCEEFF" w:val="clear"/>
            <w:vAlign w:val="bottom"/>
          </w:tcPr>
          <w:p>
            <w:pPr>
              <w:pStyle w:val="TableContents"/>
              <w:bidi w:val="0"/>
              <w:spacing w:before="0" w:after="283"/>
              <w:jc w:val="right"/>
              <w:rPr/>
            </w:pPr>
            <w:r>
              <w:rPr/>
              <w:t>0.</w:t>
            </w: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518"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c>
          <w:tcPr>
            <w:tcW w:w="12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500" w:type="dxa"/>
            <w:tcBorders/>
            <w:shd w:fill="CCEEFF" w:val="clear"/>
            <w:vAlign w:val="bottom"/>
          </w:tcPr>
          <w:p>
            <w:pPr>
              <w:pStyle w:val="TableContents"/>
              <w:bidi w:val="0"/>
              <w:spacing w:before="0" w:after="283"/>
              <w:jc w:val="right"/>
              <w:rPr/>
            </w:pPr>
            <w:r>
              <w:rPr>
                <w:b/>
              </w:rPr>
              <w:t>[</w:t>
            </w:r>
            <w:r>
              <w:rPr/>
              <w:t>●</w:t>
            </w:r>
          </w:p>
        </w:tc>
        <w:tc>
          <w:tcPr>
            <w:tcW w:w="155" w:type="dxa"/>
            <w:tcBorders/>
            <w:shd w:fill="CCEEFF" w:val="clear"/>
            <w:vAlign w:val="bottom"/>
          </w:tcPr>
          <w:p>
            <w:pPr>
              <w:pStyle w:val="TableContents"/>
              <w:bidi w:val="0"/>
              <w:spacing w:before="0" w:after="283"/>
              <w:jc w:val="left"/>
              <w:rPr/>
            </w:pPr>
            <w:r>
              <w:rPr>
                <w:b/>
              </w:rPr>
              <w:t>]</w:t>
            </w: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Beneficial Owners of DXL Common Stock / Shares Held in “Street Name” </w:t>
      </w:r>
    </w:p>
    <w:p>
      <w:pPr>
        <w:pStyle w:val="TextBody"/>
        <w:bidi w:val="0"/>
        <w:spacing w:before="120" w:after="0"/>
        <w:jc w:val="left"/>
        <w:rPr>
          <w:rFonts w:ascii="Times New Roman" w:hAnsi="Times New Roman"/>
          <w:sz w:val="20"/>
        </w:rPr>
      </w:pPr>
      <w:r>
        <w:rPr>
          <w:rFonts w:ascii="Times New Roman" w:hAnsi="Times New Roman"/>
          <w:sz w:val="20"/>
        </w:rPr>
        <w:t xml:space="preserve">Upon the implementation of the reverse stock split, DXL intends to treat shares held by stockholders in “street name” through a bank, broker or other nominee in the same manner as registered stockholders whose shares are registered in their names. Banks, brokers and other nominees will be instructed to effect the reverse stock split for their beneficial holders holding DXL common stock in street name. However, these banks, brokers and other nominees may have different procedures than registered stockholders for processing the reverse stock split. If a stockholder holds shares of DXL common stock with a bank, broker or other nominee and has any questions about the reverse stock split, the stockholder is encouraged to contact their bank, broker or nominee.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Certain registered holders of DXL common stock hold some or all of their shares electronically in book-entry form with DXL’s transfer agent, EQ, LLC. These stockholders do not hold physical stock certificates evidencing their ownership of DXL common stock. Instead, they are provided with a statement reflecting the number of shares of DXL common stock registered in their accounts. If a stockholder holds registered shares in book-entry form with DXL’s transfer agent, no action needs to be taken to receive post-reverse stock split shares. If a stockholder is entitled to post-reverse stock split shares, a transaction statement will automatically be sent to the stockholder’s address of record indicating the number of shares of DXL common stock held following the reverse stock split.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Certificated Shares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 certain shares of DXL common stock were held in certificated form. Beginning at the effective time of the reverse stock split, each certificate representing shares of DXL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DXL common stock in certificated form will also be sent a transmittal letter by DXL’s transfer agent after the effective time. The transmittal letter will be accompanied by instructions on how a stockholder should exchange his, her or its certificates representing the pre-split shares of DXL common stock for a statement of holding. When a stockholder submits their certificates representing the pre-split shares of DXL common stock, the post-split shares of DXL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DXL will no longer issue physical stock certificates unless a stockholder makes a specific request for a share certificate representing your post-split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NOT DESTROY ANY STOCK CERTIFICATES AND SHOULD NOT SUBMIT THEIR STOCK CERTIFICATES UNLESS AND UNTIL THEY RECEIVE A TRANSMITTAL FORM FROM DXL’S TRANSFER AGENT.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Fractions of shares of DXL common stock resulting from the reverse stock split will be issued in connection with the reverse stock split. In addition, DXL will issue that number of fractions of shares of DXL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necessary for each stockholder that has a fractional interest resulting from the reverse stock split to hold stock, on a certificate-by-certificate basis and after giving effect to the reverse stock split and such additional fractional issuances, in the amount of the next higher whole number of shares of DXL common stock (the “fractional issuance”). As a result, each stockholder (on a certificate-by-certificate basis) will hold the same percentage of the outstanding DXL common stock immediately following the reverse stock split as that stockholder did immediately prior to the reverse stock split, except for minor adjustment due to the fractional issuance. Each certificate representing a fraction of a share outstanding immediately following the effectiveness of the reverse stock split shall represent the next higher whole number of shares of the DXL common stock, and no separate certificates shall be issued for fractions of shares to be issued in the fractional issuance. The DXL Board has determined that the decreased administrative burdens and benefits of efficiency and accuracy in maintaining its capitalization records represent sufficient consideration for the fractional issuance, such that DXL stockholders receiving fractions of shares of DXL common stock in the fractional issue will not be required to make any additional cash payment for such fractions.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Authorized but Unissued Shares of DXL Capital Stock </w:t>
      </w:r>
    </w:p>
    <w:p>
      <w:pPr>
        <w:pStyle w:val="TextBody"/>
        <w:bidi w:val="0"/>
        <w:spacing w:before="120" w:after="0"/>
        <w:jc w:val="left"/>
        <w:rPr>
          <w:rFonts w:ascii="Times New Roman" w:hAnsi="Times New Roman"/>
          <w:sz w:val="20"/>
        </w:rPr>
      </w:pPr>
      <w:r>
        <w:rPr>
          <w:rFonts w:ascii="Times New Roman" w:hAnsi="Times New Roman"/>
          <w:sz w:val="20"/>
        </w:rPr>
        <w:t xml:space="preserve">Currently, DXL is authorized to issue up to a total of 125,000,000 shares of DXL common stock, of which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issued,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held as treasury stock and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shares were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which is the record date, and 1,000,000 shares of DXL preferred stock, par value $0.01 per share, of which no shares were issued and outstanding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The reverse stock split, if approved and effected, will not have any effect on the authorized number of shares of DXL common stock or DXL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not change the existing terms of DXL common stock. After the reverse stock split, the shares of DXL common stock will have the same voting rights and rights to dividends and distributions and will be identical in all other respects to the DXL common stock now authorized. The DXL common stock that remains issued following the reverse stock split will continue to be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As of the effective time of the reverse stock split, the number of shares subject to all outstanding options, restricted stock units, performance stock units, deferred stock units and other rights to acquire DXL common stock will automatically be proportionately reduced in the same ratio as the reduction in the number of shares of issued common stock, and any fractional shares will be rounded down to the nearest whole share of DXL common stock in order to comply with the requirements of Sections 409A and 424 of the Code.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DXL will proportionately decrease the total number of shares of DXL common stock that remain available for future grants under DXL’s Second Amended and Restated 2016 Incentive Compensation Plan and the Seventh Amended and Restated Non-Employee Director Compensation Plan.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Registration and Stock Trading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currently registered under Section 12(b) of the Exchange Act, and DXL is subject to the periodic reporting and other requirements of the Exchange Act. The proposed reverse stock split will not affect the registration of DXL common stock under the Exchange Act. If the reverse stock split is approved and effected, DXL common stock will receive a new CUSIP number.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Consequences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not affect the par value of DXL common stock per share, which will remain par value $0.01 per share. As a result, as of the effective time of the reverse stock split, the stated capital attributable to DXL common stock will be reduced proportionally based on the reverse stock split ratio and the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paid-in capital account on its balance sheet will be credited with the amount by which the stated capital is reduced. Reported per share net income or loss will be higher because there will be fewer shares of DXL common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No Going Private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decrease in the number of outstanding shares following the implementation of the reverse stock split, the DXL Board does not intend for this transaction to be the first step in a “going private transaction” within the meaning of Rule 13e-3 of the Exchange Act, and DXL will continue to be subject to the periodic reporting and other requirements of the Exchange Act after giving effect to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No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stockholders will not be entitled to appraisal rights with respect to the proposed amendment to effect the reverse stock split, and DXL does not intend to provide stockholders with any such rights.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Certain Persons in this Proposal 2 </w:t>
      </w:r>
    </w:p>
    <w:p>
      <w:pPr>
        <w:pStyle w:val="TextBody"/>
        <w:bidi w:val="0"/>
        <w:spacing w:before="120" w:after="0"/>
        <w:jc w:val="left"/>
        <w:rPr>
          <w:rFonts w:ascii="Times New Roman" w:hAnsi="Times New Roman"/>
          <w:sz w:val="20"/>
        </w:rPr>
      </w:pPr>
      <w:r>
        <w:rPr>
          <w:rFonts w:ascii="Times New Roman" w:hAnsi="Times New Roman"/>
          <w:sz w:val="20"/>
        </w:rPr>
        <w:t xml:space="preserve">Certain of DXL’s officers and directors have an interest in this proposal as a result of their ownership of shares of DXL common stock. However, DXL does not believe that such officers or directors have interests in this proposal that are different from or greater than those of any of DXL’s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U.S. Federal Income Tax Consequences of the Reverse Stock Split </w:t>
      </w:r>
    </w:p>
    <w:p>
      <w:pPr>
        <w:pStyle w:val="TextBody"/>
        <w:bidi w:val="0"/>
        <w:spacing w:before="120" w:after="0"/>
        <w:jc w:val="left"/>
        <w:rPr>
          <w:rFonts w:ascii="Times New Roman" w:hAnsi="Times New Roman"/>
          <w:sz w:val="20"/>
        </w:rPr>
      </w:pPr>
      <w:r>
        <w:rPr>
          <w:rFonts w:ascii="Times New Roman" w:hAnsi="Times New Roman"/>
          <w:sz w:val="20"/>
        </w:rPr>
        <w:t>For a summary of the material U.S. federal income tax consequences of the proposed reverse stock split to holders of DXL common stock, please see the section entitled “</w:t>
      </w:r>
      <w:r>
        <w:rPr>
          <w:rFonts w:ascii="Times New Roman" w:hAnsi="Times New Roman"/>
          <w:i/>
          <w:sz w:val="20"/>
        </w:rPr>
        <w:t>Material U.S. Federal Income Tax Consequences of the Merger and the Reverse Stock Split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2 by DXL stockholders is a separate vote from approval of the share issuance as contemplated by proposal 1, and from the approval of the amendment to the Second Amended and Restated 2016 Incentive Compensation Plan as contemplated by proposal 3. Accordingly, DXL stockholders may vote for proposal 2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Although approval of the reverse stock split proposal is not expressly stated in the merger agreement as a condition to the completion of the merger, the merger agreement includes a condition to the merger that the DXL common stock to be issued as merger consideration be authorized for listing on Nasdaq, subject to official notice of issuance. In order to consummate the merger with FBB, DXL must satisfy the Nasdaq initial listing standards, which require, among other things, a minimum bid price of $4.00 per share.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practicable date before the printing of the proxy statement, the closing price per share of DXL common stock as reported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Accordingly, although not expressly stated in the merger agreement as a condition precedent to the completion of the merger, approval of the reverse stock split proposal is expected to be necessary to enable DXL to meet the minimum bid price requirement for Nasdaq listing and to satisfy the related Nasdaq-listing condition to the completion of the merger. In addition, regardless of whether the issuance proposal is approved and the merger is consummated, the reverse stock split proposal is imperative to provide DXL with flexibility to regain and maintain compliance with the minimum bid price requirement for continued listing on Nasdaq. If DXL is unable to regain and maintain compliance with Nasdaq listing standards, DXL common stock would become subject to delisting, which would adversely affect the liquidity and marketability of DXL common stock. Accordingly, the DXL Board believes that approval of the reverse stock split proposal is necessary to support DXL’s ongoing capital markets profile and strategic flexibility, regardless of whether the merger is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reverse stock split proposal. Abstentions, the failure to vote, and broker non-votes, if any, will have no effect on the outcome of the reverse stock split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4" w:name="tx76201_71"/>
      <w:bookmarkEnd w:id="74"/>
      <w:r>
        <w:rPr>
          <w:rFonts w:ascii="Times New Roman" w:hAnsi="Times New Roman"/>
          <w:b/>
          <w:sz w:val="20"/>
        </w:rPr>
        <w:t xml:space="preserve">PROPOSAL 3 </w:t>
      </w:r>
    </w:p>
    <w:p>
      <w:pPr>
        <w:pStyle w:val="TextBody"/>
        <w:bidi w:val="0"/>
        <w:spacing w:before="120" w:after="0"/>
        <w:jc w:val="center"/>
        <w:rPr>
          <w:rFonts w:ascii="Times New Roman" w:hAnsi="Times New Roman"/>
          <w:b/>
          <w:sz w:val="20"/>
        </w:rPr>
      </w:pPr>
      <w:r>
        <w:rPr>
          <w:rFonts w:ascii="Times New Roman" w:hAnsi="Times New Roman"/>
          <w:b/>
          <w:sz w:val="20"/>
        </w:rPr>
        <w:t xml:space="preserve">2016 PLAN PROPOSAL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DXL stockholders are being asked to approve and adopt an amendment to the Second Amended and Restated 2016 Incentive Compensation Plan (as amended, effective August 8, 2024, the “2016 plan”) to (a) increase the total number of shares of DXL common stock authorized for issuance under the 2016 plan by 13,500,000 shares; (b) increase the total number of shares of DXL common stock available for issuance upon the exercise of incentive stock options granted under the 2016 plan by 13,500,000 shares; (c) change the share fungible rate from 1.9 shares to 1.5 shares; and (d) remove the annual per participant limitations with respect to the share amount and/or dollar value of awards that can be granted under the 2016 plan. Based on the closing price of DXL common stock on Nasdaq on May 1, 2026 of $0.62 per share, the maximum aggregate market value of these additional shares would be approximately $8.4 million. The 2016 plan was originally approved by DXL stockholders on August 4, 2016. The DXL stockholders subsequently approved amendments to increase the number of shares of common stock authorized for issuance under the 2016 plan, as follows: on August 8, 2019, to increase the number of shares of common stock by 2,800,000 shares; on August 12, 2020, to increase the number of shares of common stock by 1,740,000 shares; on August 5, 2021, to increase the number of shares of common stock by 4,855,000 shares; and on August 8, 2024, to increase the number of shares of common stock by 6,150,000 shares. If DXL stockholders approve the amendments to the 2016 plan, the maximum number of shares that may be issued for awards granted under the 2016 plan will be 34,245,000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its terms, the 2016 plan will terminate at the earliest of (a) such time as no shares remain available for issuance, (b) termination of the 2016 plan by the DXL Board, or (c) the tenth (10th) anniversary from the date the DXL stockholders approve the amended 2016 plan. If the DXL stockholders approve this proposal 3, the tenth (10th) anniversary of the 2016 plan (as most recently amended herein) will be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2036. If the DXL stockholders do not approve this proposal 3, the 2016 plan will remain in effect, but no further awards may be granted under the 2016 plan after August 8, 2034. </w:t>
      </w:r>
    </w:p>
    <w:p>
      <w:pPr>
        <w:pStyle w:val="TextBody"/>
        <w:bidi w:val="0"/>
        <w:spacing w:before="240" w:after="0"/>
        <w:jc w:val="left"/>
        <w:rPr>
          <w:rFonts w:ascii="Times New Roman" w:hAnsi="Times New Roman"/>
          <w:sz w:val="20"/>
        </w:rPr>
      </w:pPr>
      <w:r>
        <w:rPr>
          <w:rFonts w:ascii="Times New Roman" w:hAnsi="Times New Roman"/>
          <w:sz w:val="20"/>
        </w:rPr>
        <w:t xml:space="preserve">A copy of the proposed amendment to the Second Amended and Restated 2016 Incentive Compensation Plan is attached as Annex D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Historical Awards Under the 2016 Plan </w:t>
      </w:r>
    </w:p>
    <w:p>
      <w:pPr>
        <w:pStyle w:val="TextBody"/>
        <w:bidi w:val="0"/>
        <w:spacing w:before="120" w:after="0"/>
        <w:jc w:val="left"/>
        <w:rPr>
          <w:rFonts w:ascii="Times New Roman" w:hAnsi="Times New Roman"/>
          <w:sz w:val="20"/>
        </w:rPr>
      </w:pPr>
      <w:r>
        <w:rPr>
          <w:rFonts w:ascii="Times New Roman" w:hAnsi="Times New Roman"/>
          <w:sz w:val="20"/>
        </w:rPr>
        <w:t xml:space="preserve">Since fiscal 2010, DXL’s primary use of equity compensation has been tied to awards granted pursuant to DXL’s long-term incentive plan program (“LTIP”), which is a sub-plan under the 2016 plan. More recently, the LTIP has been comprised of multiple components consisting of both performance-based and time-based awards. DXL has used LTIPs as a means to provide a source of equity compensation to attract, retain and reward its management team. The 2016 plan provides DXL the ability to give participants important incentive and reward opportunities designed to enhance its profitable growth. Awards granted under the 2016 plan are also used for new hire incentives. The increase in the shares available under the 2016 plan will enable DXL to continue to attract new talent and retain and reward management. The 2016 plan has been a vital component of our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2016 plan is also needed for the independent directors to satisfy the requirement under the Non-Employee Director Compensation Plan (the “Director Plan”) that its directors receive 60% of their annual retainer in the form of equity (“Required Equity”) if they have not met an ownership of three times their annual retainer. Pursuant to Nasdaq rules, shares under the Director Plan are not available for this purpose; therefore, DXL can only issue Required Equity to DXL directors from a stockholder-approved plan, which is the 2016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Purpose of Share Request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this proposal is important to DXL independent of the merger, for the reasons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DXL Board believes that the ability to grant equity awards is essential to attracting, retaining, and motivating the talented employees and directors who drive DXL’s long-term success. Equity compensation aligns the interests of DXL’s workforce with those of DXL stockholders and supports a performance-driven culture.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under the 2016 plan is no longer sufficient to support DXL’s ongoing equity programs. Due to a lower stock price, fiscal 2025 share utilization was higher than in prior years, accelerating depletion of the remaining shares. At current stock-price levels, DXL will be unable to continue providing competitive equity-based long-term incentive opportunities without an increase in the number of authorized shares. </w:t>
      </w:r>
    </w:p>
    <w:p>
      <w:pPr>
        <w:pStyle w:val="TextBody"/>
        <w:bidi w:val="0"/>
        <w:spacing w:before="240" w:after="0"/>
        <w:jc w:val="left"/>
        <w:rPr>
          <w:rFonts w:ascii="Times New Roman" w:hAnsi="Times New Roman"/>
          <w:sz w:val="20"/>
        </w:rPr>
      </w:pPr>
      <w:r>
        <w:rPr>
          <w:rFonts w:ascii="Times New Roman" w:hAnsi="Times New Roman"/>
          <w:sz w:val="20"/>
        </w:rPr>
        <w:t xml:space="preserve">Additional shares are needed to support DXL’s annual equity awards for employees and executives, which are a central component of DXL’s retention and performance-based compensation strategy. The requested increase is also necessary to support DXL’s director compensation program. As noted above, under the Director Plan, non-employee directors must satisfy a minimum equity ownership requirement, which mandates that 60% of their retainer be paid in equity until the requirement is met. Because shares issued for this mandatory equity component must be drawn from the 2016 plan, director compensation further contributes to the need for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If DXL stockholders do not approve this proposal to increase the total number of shares of DXL common stock authorized for issuance under the 2016 plan, DXL will be unable to settle outstanding performance awards in shares if earned, and would instead be required to settle such awards in cash. Moreover, DXL’s ability to attract, retain, and incentivize key talent would be significantly impaired, limiting DXL’s ability to execute its strategic priorities and drive long-term stockholder value. In addition, DXL would have to eliminate the required equity component of its director compensation program.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under the 2016 plan for DXL. If the merger were to be consummated, additional equity awards may be required in connection with integration and workforce management; however, the DXL Board believes approval of this proposal is important to support DXL’s ongoing compensation programs regardless of whether the merger is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Impact on Dilution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recognizes the impact of dilution on stockholders and weighs the goal of motivating DXL’s leadership and employees with equity grants against stockholder dilution. If proposal 3 is approved, the issuance of the additional shares would dilute the holdings of stockholders by approximately 9.3%, assuming that all shares granted from the 2016 plan were options or stock appreciation rights, as explained in more detail below. </w:t>
      </w:r>
    </w:p>
    <w:p>
      <w:pPr>
        <w:pStyle w:val="TextBody"/>
        <w:bidi w:val="0"/>
        <w:spacing w:before="360" w:after="0"/>
        <w:jc w:val="left"/>
        <w:rPr>
          <w:rFonts w:ascii="Times New Roman" w:hAnsi="Times New Roman"/>
          <w:b/>
          <w:sz w:val="20"/>
        </w:rPr>
      </w:pPr>
      <w:r>
        <w:rPr>
          <w:rFonts w:ascii="Times New Roman" w:hAnsi="Times New Roman"/>
          <w:b/>
          <w:sz w:val="20"/>
        </w:rPr>
        <w:t xml:space="preserve">Expected Duration of Share Reserve </w:t>
      </w:r>
    </w:p>
    <w:p>
      <w:pPr>
        <w:pStyle w:val="TextBody"/>
        <w:bidi w:val="0"/>
        <w:spacing w:before="120" w:after="0"/>
        <w:jc w:val="left"/>
        <w:rPr>
          <w:rFonts w:ascii="Times New Roman" w:hAnsi="Times New Roman"/>
          <w:sz w:val="20"/>
        </w:rPr>
      </w:pPr>
      <w:r>
        <w:rPr>
          <w:rFonts w:ascii="Times New Roman" w:hAnsi="Times New Roman"/>
          <w:sz w:val="20"/>
        </w:rPr>
        <w:t xml:space="preserve">DXL expects that the increased number of shares being requested, if DXL stockholders approve this proposal 3, will be sufficient for one year. Expectations and assumptions regarding future share usage could be impacted by award type, executive hires and promotions, forfeiture of existing grants, and the impact of the merger between DXL and FBB. The share pool was increased in 2024 by 6,150,000 shares. </w:t>
      </w:r>
    </w:p>
    <w:p>
      <w:pPr>
        <w:pStyle w:val="TextBody"/>
        <w:bidi w:val="0"/>
        <w:spacing w:before="360" w:after="0"/>
        <w:jc w:val="left"/>
        <w:rPr>
          <w:rFonts w:ascii="Times New Roman" w:hAnsi="Times New Roman"/>
          <w:b/>
          <w:sz w:val="20"/>
        </w:rPr>
      </w:pPr>
      <w:r>
        <w:rPr>
          <w:rFonts w:ascii="Times New Roman" w:hAnsi="Times New Roman"/>
          <w:b/>
          <w:sz w:val="20"/>
        </w:rPr>
        <w:t xml:space="preserve">Adjustments Upon Certain Changes </w:t>
      </w:r>
    </w:p>
    <w:p>
      <w:pPr>
        <w:pStyle w:val="TextBody"/>
        <w:bidi w:val="0"/>
        <w:spacing w:before="120" w:after="0"/>
        <w:jc w:val="left"/>
        <w:rPr>
          <w:rFonts w:ascii="Times New Roman" w:hAnsi="Times New Roman"/>
          <w:sz w:val="20"/>
        </w:rPr>
      </w:pPr>
      <w:r>
        <w:rPr>
          <w:rFonts w:ascii="Times New Roman" w:hAnsi="Times New Roman"/>
          <w:sz w:val="20"/>
        </w:rPr>
        <w:t xml:space="preserve">If proposal 2 is approved and there is a decrease in the number of issued shares of DXL common stock as a result of the reverse stock split, the number of shares of common stock authorized for issuance under the 2016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price per share of common stock covered by an outstanding non-qualified stock option shall be proportionately adjusted. The changes to the number of shares in the pool that would occur if the merger is approved do not affect the number of shares being requested in this proposal 3. DXL has no outstanding incentive stock options. </w:t>
      </w:r>
    </w:p>
    <w:p>
      <w:pPr>
        <w:pStyle w:val="TextBody"/>
        <w:bidi w:val="0"/>
        <w:spacing w:before="360" w:after="0"/>
        <w:jc w:val="left"/>
        <w:rPr>
          <w:rFonts w:ascii="Times New Roman" w:hAnsi="Times New Roman"/>
          <w:b/>
          <w:sz w:val="20"/>
        </w:rPr>
      </w:pPr>
      <w:r>
        <w:rPr>
          <w:rFonts w:ascii="Times New Roman" w:hAnsi="Times New Roman"/>
          <w:b/>
          <w:sz w:val="20"/>
        </w:rPr>
        <w:t>Change in Control</w:t>
      </w:r>
    </w:p>
    <w:p>
      <w:pPr>
        <w:pStyle w:val="TextBody"/>
        <w:bidi w:val="0"/>
        <w:spacing w:before="120" w:after="0"/>
        <w:jc w:val="left"/>
        <w:rPr>
          <w:rFonts w:ascii="Times New Roman" w:hAnsi="Times New Roman"/>
          <w:sz w:val="20"/>
        </w:rPr>
      </w:pPr>
      <w:r>
        <w:rPr>
          <w:rFonts w:ascii="Times New Roman" w:hAnsi="Times New Roman"/>
          <w:sz w:val="20"/>
        </w:rPr>
        <w:t xml:space="preserve">If proposal 1 is approved, the transaction would meet the conditions of a Change in Control pursuant to the terms of the 2016 plan. Each share of DXL common stock, each option to purchase DXL common stock, each DXL restricted stock unit award, and DXL performance stock unit that is issued and outstanding at the effective time of the merger would remain issued and outstanding and would be unaffected by the merger, other than adjustments for the reverse stock split and those shares subject to acceleration upon the consummation of the merger. The DXL compensation committee did not take any action with respect to outstanding DXL performance stock unit awards or the time-vested portion of the current LTIP, which awards would be treated in accordance with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Share Reserve </w:t>
      </w:r>
    </w:p>
    <w:p>
      <w:pPr>
        <w:pStyle w:val="TextBody"/>
        <w:bidi w:val="0"/>
        <w:spacing w:before="120" w:after="0"/>
        <w:jc w:val="left"/>
        <w:rPr>
          <w:rFonts w:ascii="Times New Roman" w:hAnsi="Times New Roman"/>
          <w:sz w:val="20"/>
        </w:rPr>
      </w:pPr>
      <w:r>
        <w:rPr>
          <w:rFonts w:ascii="Times New Roman" w:hAnsi="Times New Roman"/>
          <w:sz w:val="20"/>
        </w:rPr>
        <w:t xml:space="preserve">At May 2, 2026, 3,700,396 shares of DXL common stock remained available for issuance under the 2016 plan. </w:t>
      </w:r>
    </w:p>
    <w:p>
      <w:pPr>
        <w:pStyle w:val="TextBody"/>
        <w:bidi w:val="0"/>
        <w:spacing w:before="240" w:after="0"/>
        <w:jc w:val="left"/>
        <w:rPr>
          <w:rFonts w:ascii="Times New Roman" w:hAnsi="Times New Roman"/>
          <w:sz w:val="20"/>
        </w:rPr>
      </w:pPr>
      <w:r>
        <w:rPr>
          <w:rFonts w:ascii="Times New Roman" w:hAnsi="Times New Roman"/>
          <w:sz w:val="20"/>
        </w:rPr>
        <w:t>DXL recommends approval of the amendments to the 2016 plan so that it may continue to provide equity compensation to attract, motivate, retain and reward high-quality executives and other key employees, officers and directors. For a description of DXL’s long-term incentive program, please refer to the section entitled “</w:t>
      </w:r>
      <w:r>
        <w:rPr>
          <w:rFonts w:ascii="Times New Roman" w:hAnsi="Times New Roman"/>
          <w:i/>
          <w:sz w:val="20"/>
        </w:rPr>
        <w:t>Compensation Discussion and Analysis—Long-Term Incentive Plans</w:t>
      </w:r>
      <w:r>
        <w:rPr>
          <w:rFonts w:ascii="Times New Roman" w:hAnsi="Times New Roman"/>
          <w:sz w:val="20"/>
        </w:rPr>
        <w:t xml:space="preserve">” set forth in DXL’s Annual Report on Form 10-K/A for the fiscal year ended January 31, 2026 as filed with the SEC on May 26, 2026. </w:t>
      </w:r>
    </w:p>
    <w:p>
      <w:pPr>
        <w:pStyle w:val="TextBody"/>
        <w:bidi w:val="0"/>
        <w:spacing w:before="360" w:after="0"/>
        <w:jc w:val="left"/>
        <w:rPr>
          <w:rFonts w:ascii="Times New Roman" w:hAnsi="Times New Roman"/>
          <w:b/>
          <w:sz w:val="20"/>
        </w:rPr>
      </w:pPr>
      <w:r>
        <w:rPr>
          <w:rFonts w:ascii="Times New Roman" w:hAnsi="Times New Roman"/>
          <w:b/>
          <w:sz w:val="20"/>
        </w:rPr>
        <w:t xml:space="preserve">Alignment of 2016 Plan with Stockholders’ Interests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designed to reinforce the alignment of DXL’s equity opportunities for management with the interest of DXL stockholders and includes a number of provisions that DXL believes are consistent with good governance and compensation practice,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Minimum vesting period of one year from the date of grant covering 95% of all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repricing of stock options or stock appreciation rights without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discounted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dividends paid on unvested equity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evergreen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automatic grants or reload;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liberal share recycling;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stated clawback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Double-trigger” vesting for change in control;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tax gross-ups.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949"/>
        <w:gridCol w:w="285"/>
        <w:gridCol w:w="60"/>
        <w:gridCol w:w="1195"/>
        <w:gridCol w:w="275"/>
        <w:gridCol w:w="188"/>
        <w:gridCol w:w="246"/>
        <w:gridCol w:w="815"/>
        <w:gridCol w:w="60"/>
        <w:gridCol w:w="285"/>
        <w:gridCol w:w="86"/>
        <w:gridCol w:w="1102"/>
        <w:gridCol w:w="60"/>
        <w:gridCol w:w="285"/>
        <w:gridCol w:w="60"/>
        <w:gridCol w:w="274"/>
        <w:gridCol w:w="163"/>
      </w:tblGrid>
      <w:tr>
        <w:trPr/>
        <w:tc>
          <w:tcPr>
            <w:tcW w:w="3949"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334" w:type="dxa"/>
            <w:gridSpan w:val="2"/>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New shares requested under amendment to the 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13,500,000</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Shares as of May 2, 2026:</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2016 Plan</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Shares remaining available for issuance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3,700,396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Time-based stock options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2,961,292</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8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102" w:type="dxa"/>
            <w:tcBorders/>
            <w:shd w:fill="CCEEFF" w:val="clear"/>
            <w:vAlign w:val="bottom"/>
          </w:tcPr>
          <w:p>
            <w:pPr>
              <w:pStyle w:val="TableContents"/>
              <w:bidi w:val="0"/>
              <w:spacing w:before="0" w:after="283"/>
              <w:jc w:val="right"/>
              <w:rPr/>
            </w:pPr>
            <w:r>
              <w:rPr/>
              <w:t>4.4 yrs.</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Time-based unvested full-value awards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830,465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1.7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right"/>
              <w:rPr/>
            </w:pPr>
            <w:r>
              <w:rPr/>
              <w:t>(2 </w:t>
            </w:r>
          </w:p>
        </w:tc>
        <w:tc>
          <w:tcPr>
            <w:tcW w:w="163" w:type="dxa"/>
            <w:tcBorders/>
            <w:vAlign w:val="bottom"/>
          </w:tcPr>
          <w:p>
            <w:pPr>
              <w:pStyle w:val="TableContents"/>
              <w:bidi w:val="0"/>
              <w:spacing w:before="0" w:after="283"/>
              <w:jc w:val="left"/>
              <w:rPr/>
            </w:pPr>
            <w:r>
              <w:rPr/>
              <w:t>) </w:t>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stock awards payable to directors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642,431</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Performance stock units with market condition</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573,000</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02" w:type="dxa"/>
            <w:tcBorders/>
            <w:vAlign w:val="bottom"/>
          </w:tcPr>
          <w:p>
            <w:pPr>
              <w:pStyle w:val="TableContents"/>
              <w:bidi w:val="0"/>
              <w:spacing w:before="0" w:after="283"/>
              <w:jc w:val="right"/>
              <w:rPr/>
            </w:pPr>
            <w:r>
              <w:rPr/>
              <w:t>0.2 yrs.</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full value awards outstanding</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2,045,896</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b/>
                <w:sz w:val="20"/>
              </w:rPr>
            </w:pPr>
            <w:r>
              <w:rPr>
                <w:rFonts w:ascii="Times New Roman" w:hAnsi="Times New Roman"/>
                <w:b/>
                <w:sz w:val="20"/>
              </w:rPr>
              <w:t>Non-Employee Director Compensation Plan(1)</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511,477</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Other data:(2)</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Value-Adjusted Burn Rate - 3 yr. average</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 assuming all shares are granted on a 1:1 basis</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Overhang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39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w:t>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10.3</w:t>
            </w:r>
          </w:p>
        </w:tc>
        <w:tc>
          <w:tcPr>
            <w:tcW w:w="27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sz w:val="4"/>
                <w:szCs w:val="4"/>
              </w:rPr>
            </w:pPr>
            <w:r>
              <w:rPr>
                <w:sz w:val="4"/>
                <w:szCs w:val="4"/>
              </w:rPr>
            </w:r>
          </w:p>
        </w:tc>
        <w:tc>
          <w:tcPr>
            <w:tcW w:w="8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sz w:val="4"/>
                <w:szCs w:val="4"/>
              </w:rPr>
            </w:pPr>
            <w:r>
              <w:rPr>
                <w:sz w:val="4"/>
                <w:szCs w:val="4"/>
              </w:rPr>
            </w:r>
          </w:p>
        </w:tc>
        <w:tc>
          <w:tcPr>
            <w:tcW w:w="11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3949"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Transfer Value (New + Available + Outstanding)</w:t>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13.5</w:t>
            </w:r>
          </w:p>
        </w:tc>
        <w:tc>
          <w:tcPr>
            <w:tcW w:w="27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11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shares available for stock issuances in lieu of cash for director fees.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percentages were calculated using DXL’s pro forma common stock outstanding, on a post-merger basis, of approximately 123.7 million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remaining vesting period of time-based awards.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Burn Rate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grants of annual time-based awards, performance stock units, and performance-based awards granted and earned for each of the past three fiscal years and the average three-year burn rate: </w:t>
      </w:r>
    </w:p>
    <w:p>
      <w:pPr>
        <w:pStyle w:val="TextBody"/>
        <w:bidi w:val="0"/>
        <w:spacing w:before="0" w:after="0"/>
        <w:jc w:val="left"/>
        <w:rPr/>
      </w:pPr>
      <w:r>
        <w:rPr/>
        <w:t> </w:t>
      </w:r>
    </w:p>
    <w:tbl>
      <w:tblPr>
        <w:tblW w:w="13090" w:type="dxa"/>
        <w:jc w:val="center"/>
        <w:tblInd w:w="0" w:type="dxa"/>
        <w:tblLayout w:type="fixed"/>
        <w:tblCellMar>
          <w:top w:w="0" w:type="dxa"/>
          <w:left w:w="0" w:type="dxa"/>
          <w:bottom w:w="0" w:type="dxa"/>
          <w:right w:w="0" w:type="dxa"/>
        </w:tblCellMar>
      </w:tblPr>
      <w:tblGrid>
        <w:gridCol w:w="815"/>
        <w:gridCol w:w="60"/>
        <w:gridCol w:w="93"/>
        <w:gridCol w:w="1247"/>
        <w:gridCol w:w="60"/>
        <w:gridCol w:w="60"/>
        <w:gridCol w:w="182"/>
        <w:gridCol w:w="1158"/>
        <w:gridCol w:w="60"/>
        <w:gridCol w:w="60"/>
        <w:gridCol w:w="84"/>
        <w:gridCol w:w="791"/>
        <w:gridCol w:w="60"/>
        <w:gridCol w:w="60"/>
        <w:gridCol w:w="98"/>
        <w:gridCol w:w="1317"/>
        <w:gridCol w:w="60"/>
        <w:gridCol w:w="60"/>
        <w:gridCol w:w="61"/>
        <w:gridCol w:w="814"/>
        <w:gridCol w:w="60"/>
        <w:gridCol w:w="60"/>
        <w:gridCol w:w="103"/>
        <w:gridCol w:w="1387"/>
        <w:gridCol w:w="60"/>
        <w:gridCol w:w="60"/>
        <w:gridCol w:w="103"/>
        <w:gridCol w:w="1387"/>
        <w:gridCol w:w="60"/>
        <w:gridCol w:w="60"/>
        <w:gridCol w:w="60"/>
        <w:gridCol w:w="1100"/>
        <w:gridCol w:w="60"/>
        <w:gridCol w:w="60"/>
        <w:gridCol w:w="150"/>
        <w:gridCol w:w="800"/>
        <w:gridCol w:w="32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Granted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Performance</w:t>
              <w:br/>
              <w:t>Stock Units</w:t>
              <w:br/>
              <w:t>Earned (2)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Option</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Value</w:t>
              <w:br/>
              <w:t>Awards</w:t>
              <w:br/>
              <w:t>Granted and</w:t>
              <w:br/>
              <w:t>Earned for</w:t>
              <w:br/>
              <w:t>Achievement</w:t>
              <w:br/>
              <w:t>of</w:t>
              <w:br/>
              <w:t>Performance-</w:t>
              <w:br/>
              <w:t>Based</w:t>
              <w:br/>
              <w:t>Metrics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Time-</w:t>
              <w:br/>
              <w:t>Based</w:t>
              <w:br/>
              <w:t>Full</w:t>
              <w:br/>
              <w:t>Value</w:t>
              <w:br/>
              <w:t>Awards</w:t>
              <w:br/>
              <w:t>Granted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Deferred</w:t>
              <w:br/>
              <w:t>Shares</w:t>
              <w:br/>
              <w:t>Granted to</w:t>
              <w:br/>
              <w:t>Directors as</w:t>
              <w:br/>
              <w:t>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Common</w:t>
              <w:br/>
              <w:t>Shares</w:t>
              <w:br/>
              <w:t>(Basic)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Adjusted</w:t>
              <w:br/>
              <w:t>Burn</w:t>
              <w:br/>
              <w:t>Rate (3)</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799,349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915,124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213,729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109,657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5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49,304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44,132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56,779,000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0.7</w:t>
            </w:r>
          </w:p>
        </w:tc>
        <w:tc>
          <w:tcPr>
            <w:tcW w:w="32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47" w:type="dxa"/>
            <w:tcBorders/>
            <w:shd w:fill="CCEEFF" w:val="clear"/>
            <w:vAlign w:val="bottom"/>
          </w:tcPr>
          <w:p>
            <w:pPr>
              <w:pStyle w:val="TableContents"/>
              <w:bidi w:val="0"/>
              <w:spacing w:before="0" w:after="283"/>
              <w:jc w:val="right"/>
              <w:rPr/>
            </w:pPr>
            <w:r>
              <w:rPr/>
              <w:t>573,000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1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1,317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267,219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339,923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29,650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61,018,000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w:t>
            </w:r>
          </w:p>
        </w:tc>
        <w:tc>
          <w:tcPr>
            <w:tcW w:w="320" w:type="dxa"/>
            <w:tcBorders/>
            <w:shd w:fill="CCEEFF" w:val="clear"/>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sz w:val="4"/>
                <w:szCs w:val="4"/>
              </w:rPr>
            </w:pPr>
            <w:r>
              <w:rPr>
                <w:sz w:val="4"/>
                <w:szCs w:val="4"/>
              </w:rPr>
            </w:r>
          </w:p>
        </w:tc>
        <w:tc>
          <w:tcPr>
            <w:tcW w:w="12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11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3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1.6</w:t>
            </w:r>
          </w:p>
        </w:tc>
        <w:tc>
          <w:tcPr>
            <w:tcW w:w="320" w:type="dxa"/>
            <w:tcBorders/>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Represents PSUs granted to Mr. Kanter in August 2023 in connection with the amendment and extension of his employment agreement. All PSUs were unvested as of January 31, 2026 and any unvested PSUs that remain outstanding at August 11, 2026 will expire.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2025 and fiscal 2023, amounts represent awards granted and vested for the achievement of the performance targets for the performance-based component of the 2022-2024 LTIP and the 2020-2022 LTIP,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Value-Adjusted Burn Rate is calculated as (i) the sum of (a) number of full-value awards (including PSUs earned) * the 200-day average stock price as of the last day of the applicable Fiscal Year plus (b) number of stock options * Black Scholes valuation assuming market price is equal to the 200-day average stock price as of the last day of the applicable Fiscal Year (ii) divided by the weighted average common shares * the 200-day average stock price as of the last day of the applicable Fiscal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DXL is Committed to Managing Dilution </w:t>
      </w:r>
    </w:p>
    <w:p>
      <w:pPr>
        <w:pStyle w:val="TextBody"/>
        <w:bidi w:val="0"/>
        <w:spacing w:before="120" w:after="0"/>
        <w:jc w:val="left"/>
        <w:rPr>
          <w:rFonts w:ascii="Times New Roman" w:hAnsi="Times New Roman"/>
          <w:sz w:val="20"/>
        </w:rPr>
      </w:pPr>
      <w:r>
        <w:rPr>
          <w:rFonts w:ascii="Times New Roman" w:hAnsi="Times New Roman"/>
          <w:sz w:val="20"/>
        </w:rPr>
        <w:t>The DXL Board recognizes the impact of dilution on DXL stockholders and, in evaluating the 2016 plan, sought to balance this concern with DXL’s ability to provide its management team with equity compensation as part of DXL’s long-term growth initiatives which, in time, DXL would expect to increase stockholder value. If this proposal 3 is approved, the issuance of the additional shares to be reserved under the 2016 plan would dilute the holdings of stockholders by approximately 9.3%, assuming that all shares granted from the 2016 plan were options or stock appreciation rights.</w:t>
      </w:r>
    </w:p>
    <w:p>
      <w:pPr>
        <w:pStyle w:val="TextBody"/>
        <w:bidi w:val="0"/>
        <w:spacing w:before="240" w:after="0"/>
        <w:jc w:val="left"/>
        <w:rPr>
          <w:rFonts w:ascii="Times New Roman" w:hAnsi="Times New Roman"/>
          <w:sz w:val="20"/>
        </w:rPr>
      </w:pPr>
      <w:r>
        <w:rPr>
          <w:rFonts w:ascii="Times New Roman" w:hAnsi="Times New Roman"/>
          <w:sz w:val="20"/>
        </w:rPr>
        <w:t xml:space="preserve">The DXL Board is committed to managing dilution. Over the past three fiscal years, DXL repurchased an aggregate 10.3 million shares for a total cost of $38.3 million. One impact of the stock repurchase programs has been that it decreased the number of shares of common stock outstanding, making burn rates, as discussed above, appear higher because the burn rate is based on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DXL also manages dilution by permitting its employees the option to satisfy their tax withholding obligations related to equity awards by withholding shares from those shares otherwise issuable. Over the past three fiscal years, DXL has withheld an aggregate 0.3 million shares to satisfy its employee’s tax withholding obligations related to equity awards for a total cost of $1.0 million. The DXL Board believes the potential dilution to DXL stockholders that could result from the approval of the amendments to the 2016 plan is reasonable and sustainable to meet DXL’s strategic growth initiatives.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7"/>
        <w:gridCol w:w="227"/>
        <w:gridCol w:w="60"/>
        <w:gridCol w:w="1260"/>
        <w:gridCol w:w="60"/>
        <w:gridCol w:w="227"/>
        <w:gridCol w:w="132"/>
        <w:gridCol w:w="971"/>
        <w:gridCol w:w="321"/>
        <w:gridCol w:w="173"/>
        <w:gridCol w:w="211"/>
        <w:gridCol w:w="664"/>
        <w:gridCol w:w="60"/>
        <w:gridCol w:w="226"/>
        <w:gridCol w:w="140"/>
        <w:gridCol w:w="1260"/>
        <w:gridCol w:w="60"/>
        <w:gridCol w:w="227"/>
        <w:gridCol w:w="153"/>
        <w:gridCol w:w="1146"/>
        <w:gridCol w:w="290"/>
      </w:tblGrid>
      <w:tr>
        <w:trPr/>
        <w:tc>
          <w:tcPr>
            <w:tcW w:w="2337"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Potential Voting Power</w:t>
              <w:br/>
              <w:t>Dilution</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14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Shareholder Value Transfer (2)</w:t>
            </w:r>
          </w:p>
        </w:tc>
        <w:tc>
          <w:tcPr>
            <w:tcW w:w="290" w:type="dxa"/>
            <w:tcBorders/>
            <w:vAlign w:val="bottom"/>
          </w:tcPr>
          <w:p>
            <w:pPr>
              <w:pStyle w:val="TableContents"/>
              <w:bidi w:val="0"/>
              <w:spacing w:before="0" w:after="283"/>
              <w:jc w:val="left"/>
              <w:rPr/>
            </w:pPr>
            <w:r>
              <w:rPr/>
              <w:t> </w:t>
            </w:r>
          </w:p>
        </w:tc>
      </w:tr>
      <w:tr>
        <w:trPr/>
        <w:tc>
          <w:tcPr>
            <w:tcW w:w="2337"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Dilution (1)</w:t>
            </w:r>
          </w:p>
        </w:tc>
        <w:tc>
          <w:tcPr>
            <w:tcW w:w="321"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Average</w:t>
              <w:br/>
              <w:t>Award</w:t>
              <w:br/>
              <w:t>Value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Shareholder</w:t>
              <w:br/>
              <w:t>Value</w:t>
              <w:br/>
              <w:t>Transfer</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As of May 2, 2026:</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Aggregate outstanding stock options, RSUs, PSUs and deferred stock</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5,007,188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0.85</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4,256,110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Shares available under 2016 plan</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0.79</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2,923,313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tcPr>
          <w:p>
            <w:pPr>
              <w:pStyle w:val="TableContents"/>
              <w:bidi w:val="0"/>
              <w:spacing w:before="0" w:after="0"/>
              <w:jc w:val="left"/>
              <w:rPr>
                <w:rFonts w:ascii="Times New Roman" w:hAnsi="Times New Roman"/>
                <w:b/>
                <w:sz w:val="18"/>
              </w:rPr>
            </w:pPr>
            <w:r>
              <w:rPr>
                <w:rFonts w:ascii="Times New Roman" w:hAnsi="Times New Roman"/>
                <w:b/>
                <w:sz w:val="18"/>
              </w:rPr>
              <w:t>New shares requested under 2016 plan (3)</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b/>
              </w:rPr>
            </w:pPr>
            <w:r>
              <w:rPr>
                <w:b/>
              </w:rPr>
              <w:t>13,500,000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9.3</w:t>
            </w:r>
          </w:p>
        </w:tc>
        <w:tc>
          <w:tcPr>
            <w:tcW w:w="321" w:type="dxa"/>
            <w:tcBorders/>
            <w:vAlign w:val="bottom"/>
          </w:tcPr>
          <w:p>
            <w:pPr>
              <w:pStyle w:val="TableContents"/>
              <w:bidi w:val="0"/>
              <w:spacing w:before="0" w:after="283"/>
              <w:jc w:val="left"/>
              <w:rPr>
                <w:b/>
              </w:rPr>
            </w:pPr>
            <w:r>
              <w:rPr>
                <w:b/>
              </w:rPr>
              <w:t>% </w:t>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b/>
              </w:rPr>
            </w:pPr>
            <w:r>
              <w:rPr>
                <w:b/>
              </w:rPr>
              <w:t>$</w:t>
            </w:r>
          </w:p>
        </w:tc>
        <w:tc>
          <w:tcPr>
            <w:tcW w:w="664" w:type="dxa"/>
            <w:tcBorders/>
            <w:vAlign w:val="bottom"/>
          </w:tcPr>
          <w:p>
            <w:pPr>
              <w:pStyle w:val="TableContents"/>
              <w:bidi w:val="0"/>
              <w:spacing w:before="0" w:after="283"/>
              <w:jc w:val="right"/>
              <w:rPr>
                <w:b/>
              </w:rPr>
            </w:pPr>
            <w:r>
              <w:rPr>
                <w:b/>
              </w:rPr>
              <w:t>0.79</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260" w:type="dxa"/>
            <w:tcBorders/>
            <w:vAlign w:val="bottom"/>
          </w:tcPr>
          <w:p>
            <w:pPr>
              <w:pStyle w:val="TableContents"/>
              <w:bidi w:val="0"/>
              <w:spacing w:before="0" w:after="283"/>
              <w:jc w:val="right"/>
              <w:rPr>
                <w:b/>
              </w:rPr>
            </w:pPr>
            <w:r>
              <w:rPr>
                <w:b/>
              </w:rPr>
              <w:t>10,665,000</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r>
        <w:trPr/>
        <w:tc>
          <w:tcPr>
            <w:tcW w:w="233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equity dilution including new shares (overhang)</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22,207,584</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15.2</w:t>
            </w:r>
          </w:p>
        </w:tc>
        <w:tc>
          <w:tcPr>
            <w:tcW w:w="321"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46" w:type="dxa"/>
            <w:tcBorders/>
            <w:shd w:fill="CCEEFF" w:val="clear"/>
            <w:vAlign w:val="bottom"/>
          </w:tcPr>
          <w:p>
            <w:pPr>
              <w:pStyle w:val="TableContents"/>
              <w:bidi w:val="0"/>
              <w:spacing w:before="0" w:after="283"/>
              <w:jc w:val="left"/>
              <w:rPr>
                <w:sz w:val="4"/>
                <w:szCs w:val="4"/>
              </w:rPr>
            </w:pPr>
            <w:r>
              <w:rPr>
                <w:sz w:val="4"/>
                <w:szCs w:val="4"/>
              </w:rPr>
            </w:r>
          </w:p>
        </w:tc>
        <w:tc>
          <w:tcPr>
            <w:tcW w:w="290" w:type="dxa"/>
            <w:tcBorders/>
            <w:shd w:fill="CCEEFF" w:val="clear"/>
            <w:vAlign w:val="bottom"/>
          </w:tcPr>
          <w:p>
            <w:pPr>
              <w:pStyle w:val="TableContents"/>
              <w:bidi w:val="0"/>
              <w:spacing w:before="0" w:after="283"/>
              <w:jc w:val="left"/>
              <w:rPr>
                <w:sz w:val="4"/>
                <w:szCs w:val="4"/>
              </w:rPr>
            </w:pPr>
            <w:r>
              <w:rPr>
                <w:sz w:val="4"/>
                <w:szCs w:val="4"/>
              </w:rPr>
            </w:r>
          </w:p>
        </w:tc>
      </w:tr>
      <w:tr>
        <w:trPr/>
        <w:tc>
          <w:tcPr>
            <w:tcW w:w="2337"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 (new and available)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13,588,313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10.3</w:t>
            </w:r>
          </w:p>
        </w:tc>
        <w:tc>
          <w:tcPr>
            <w:tcW w:w="290" w:type="dxa"/>
            <w:tcBorders/>
            <w:vAlign w:val="bottom"/>
          </w:tcPr>
          <w:p>
            <w:pPr>
              <w:pStyle w:val="TableContents"/>
              <w:bidi w:val="0"/>
              <w:spacing w:before="0" w:after="283"/>
              <w:jc w:val="left"/>
              <w:rPr/>
            </w:pPr>
            <w:r>
              <w:rPr/>
              <w:t>% </w:t>
            </w:r>
          </w:p>
        </w:tc>
      </w:tr>
      <w:tr>
        <w:trPr/>
        <w:tc>
          <w:tcPr>
            <w:tcW w:w="2337"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Shareholder Value Transfer</w:t>
            </w:r>
          </w:p>
        </w:tc>
        <w:tc>
          <w:tcPr>
            <w:tcW w:w="2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321"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17,844,423</w:t>
            </w:r>
          </w:p>
        </w:tc>
        <w:tc>
          <w:tcPr>
            <w:tcW w:w="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6" w:type="dxa"/>
            <w:tcBorders/>
            <w:shd w:fill="CCEEFF" w:val="clear"/>
            <w:vAlign w:val="bottom"/>
          </w:tcPr>
          <w:p>
            <w:pPr>
              <w:pStyle w:val="TableContents"/>
              <w:bidi w:val="0"/>
              <w:spacing w:before="0" w:after="283"/>
              <w:jc w:val="right"/>
              <w:rPr/>
            </w:pPr>
            <w:r>
              <w:rPr/>
              <w:t>13.5</w:t>
            </w:r>
          </w:p>
        </w:tc>
        <w:tc>
          <w:tcPr>
            <w:tcW w:w="290" w:type="dxa"/>
            <w:tcBorders/>
            <w:shd w:fill="CCEEFF" w:val="clear"/>
            <w:vAlign w:val="bottom"/>
          </w:tcPr>
          <w:p>
            <w:pPr>
              <w:pStyle w:val="TableContents"/>
              <w:bidi w:val="0"/>
              <w:spacing w:before="0" w:after="283"/>
              <w:jc w:val="left"/>
              <w:rPr/>
            </w:pPr>
            <w:r>
              <w:rPr/>
              <w:t>% </w:t>
            </w:r>
          </w:p>
        </w:tc>
      </w:tr>
      <w:tr>
        <w:trPr/>
        <w:tc>
          <w:tcPr>
            <w:tcW w:w="2337" w:type="dxa"/>
            <w:tcBorders/>
          </w:tcPr>
          <w:p>
            <w:pPr>
              <w:pStyle w:val="TableContents"/>
              <w:bidi w:val="0"/>
              <w:spacing w:before="0" w:after="0"/>
              <w:jc w:val="left"/>
              <w:rPr>
                <w:rFonts w:ascii="Times New Roman" w:hAnsi="Times New Roman"/>
                <w:sz w:val="18"/>
              </w:rPr>
            </w:pPr>
            <w:r>
              <w:rPr>
                <w:rFonts w:ascii="Times New Roman" w:hAnsi="Times New Roman"/>
                <w:sz w:val="18"/>
              </w:rPr>
              <w:t>Pro forma common shares outstanding assuming May 2, 2026 closing date</w:t>
            </w:r>
          </w:p>
        </w:tc>
        <w:tc>
          <w:tcPr>
            <w:tcW w:w="2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123,726,643</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sz w:val="4"/>
                <w:szCs w:val="4"/>
              </w:rPr>
            </w:pPr>
            <w:r>
              <w:rPr>
                <w:sz w:val="4"/>
                <w:szCs w:val="4"/>
              </w:rPr>
            </w:r>
          </w:p>
        </w:tc>
        <w:tc>
          <w:tcPr>
            <w:tcW w:w="971"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132,387,508</w:t>
            </w:r>
          </w:p>
        </w:tc>
        <w:tc>
          <w:tcPr>
            <w:tcW w:w="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46"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Dilution for the additional shares requested under the 2016 plan is calculated as the additional shares requested divided by the sum of shares of DXL’s pro forma common shares outstanding, outstanding stock options, deferred stock, PSUs and RSUs outstanding, shares remaining available for issuance under the 2016 plan and the additional shares requested. Overhang is calculated as the total equity dilution per the table divided by the sum of shares of DXL’s pro forma common shares outstanding, outstanding stock options, deferred stock and RSUs outstanding and shares remaining available for issuance under the 2016 plan and the additional shares requested.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Shareholder Value Transfer is the sum of the fair value of shares available for grant, shares outstanding under existing awards and new shares requested, the sum of which is then divided by the value of total shares of DXL’s pro forma common shares outstanding at January 31, 2026. The average award value for shares available under the 2016 plan and the new shares requested of $0.79 was calculated using the 200-day average stock price of the DXL common stock at March 1, 2026 of $1.07 divided by a fungible break-even ratio of 1.35.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This dilution calculation assumes all shares granted from the 2016 plan are options or stock appreciation rights. However, if approved, each grant of a full-value award will utilize 1.5 shares from the share reserve. Therefore, if all 13,500,000 shares requested were full-value awards, only 9.0 million actual shares would affect dilution to DXL stockholders, and the effect of dilution would approximately 6.4% in the table.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Grant History </w:t>
      </w:r>
    </w:p>
    <w:p>
      <w:pPr>
        <w:pStyle w:val="TextBody"/>
        <w:bidi w:val="0"/>
        <w:spacing w:before="120" w:after="0"/>
        <w:jc w:val="left"/>
        <w:rPr>
          <w:rFonts w:ascii="Times New Roman" w:hAnsi="Times New Roman"/>
          <w:sz w:val="20"/>
        </w:rPr>
      </w:pPr>
      <w:r>
        <w:rPr>
          <w:rFonts w:ascii="Times New Roman" w:hAnsi="Times New Roman"/>
          <w:sz w:val="20"/>
        </w:rPr>
        <w:t xml:space="preserve">DXL’s incentive-based compensation program is broad-based and not heavily concentrated to only its CEO and/or named executive officers. Based on the grant activity for the past three fiscal years, equity awards granted to DXL’s CEO, exclusive of the PSUs that were granted to Mr. Kanter in fiscal 2023, in connection with his amended and extended employment agreement, were approximately 28.1% of all equity awards granted under the 2016 plan. Grants to DXL’s other named executive officers, excluding Mr. Kanter, represented approximately 22.3% of the total equity awards granted under the 2016 plan over the past three fiscal years.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50"/>
        <w:gridCol w:w="195"/>
        <w:gridCol w:w="109"/>
        <w:gridCol w:w="1474"/>
        <w:gridCol w:w="60"/>
        <w:gridCol w:w="195"/>
        <w:gridCol w:w="109"/>
        <w:gridCol w:w="1458"/>
        <w:gridCol w:w="60"/>
        <w:gridCol w:w="195"/>
        <w:gridCol w:w="92"/>
        <w:gridCol w:w="1533"/>
        <w:gridCol w:w="60"/>
        <w:gridCol w:w="194"/>
        <w:gridCol w:w="139"/>
        <w:gridCol w:w="1025"/>
        <w:gridCol w:w="275"/>
        <w:gridCol w:w="137"/>
        <w:gridCol w:w="139"/>
        <w:gridCol w:w="1025"/>
        <w:gridCol w:w="281"/>
      </w:tblGrid>
      <w:tr>
        <w:trPr/>
        <w:tc>
          <w:tcPr>
            <w:tcW w:w="145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450"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Fiscal Year</w:t>
            </w:r>
          </w:p>
        </w:tc>
        <w:tc>
          <w:tcPr>
            <w:tcW w:w="195"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Grants (1)</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 NEO</w:t>
              <w:br/>
              <w:t>Grants</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Grants to</w:t>
              <w:br/>
              <w:t>All Participants</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CEO Ratio</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NEO Ratio</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488,264</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387,973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1,714,473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28.5</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22.6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101,760</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458" w:type="dxa"/>
            <w:tcBorders/>
            <w:vAlign w:val="bottom"/>
          </w:tcPr>
          <w:p>
            <w:pPr>
              <w:pStyle w:val="TableContents"/>
              <w:bidi w:val="0"/>
              <w:spacing w:before="0" w:after="283"/>
              <w:jc w:val="right"/>
              <w:rPr/>
            </w:pPr>
            <w:r>
              <w:rPr/>
              <w:t>84,259</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33" w:type="dxa"/>
            <w:tcBorders/>
            <w:vAlign w:val="bottom"/>
          </w:tcPr>
          <w:p>
            <w:pPr>
              <w:pStyle w:val="TableContents"/>
              <w:bidi w:val="0"/>
              <w:spacing w:before="0" w:after="283"/>
              <w:jc w:val="right"/>
              <w:rPr/>
            </w:pPr>
            <w:r>
              <w:rPr/>
              <w:t>388,650</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21.7</w:t>
            </w:r>
          </w:p>
        </w:tc>
        <w:tc>
          <w:tcPr>
            <w:tcW w:w="281" w:type="dxa"/>
            <w:tcBorders/>
            <w:vAlign w:val="bottom"/>
          </w:tcPr>
          <w:p>
            <w:pPr>
              <w:pStyle w:val="TableContents"/>
              <w:bidi w:val="0"/>
              <w:spacing w:before="0" w:after="283"/>
              <w:jc w:val="left"/>
              <w:rPr/>
            </w:pPr>
            <w:r>
              <w:rPr/>
              <w:t>% </w:t>
            </w:r>
          </w:p>
        </w:tc>
      </w:tr>
      <w:tr>
        <w:trPr/>
        <w:tc>
          <w:tcPr>
            <w:tcW w:w="145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172,745</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1458" w:type="dxa"/>
            <w:tcBorders/>
            <w:shd w:fill="CCEEFF" w:val="clear"/>
            <w:vAlign w:val="bottom"/>
          </w:tcPr>
          <w:p>
            <w:pPr>
              <w:pStyle w:val="TableContents"/>
              <w:bidi w:val="0"/>
              <w:spacing w:before="0" w:after="283"/>
              <w:jc w:val="right"/>
              <w:rPr/>
            </w:pPr>
            <w:r>
              <w:rPr/>
              <w:t>131,563</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33" w:type="dxa"/>
            <w:tcBorders/>
            <w:shd w:fill="CCEEFF" w:val="clear"/>
            <w:vAlign w:val="bottom"/>
          </w:tcPr>
          <w:p>
            <w:pPr>
              <w:pStyle w:val="TableContents"/>
              <w:bidi w:val="0"/>
              <w:spacing w:before="0" w:after="283"/>
              <w:jc w:val="right"/>
              <w:rPr/>
            </w:pPr>
            <w:r>
              <w:rPr/>
              <w:t>608,459</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21.6</w:t>
            </w:r>
          </w:p>
        </w:tc>
        <w:tc>
          <w:tcPr>
            <w:tcW w:w="281" w:type="dxa"/>
            <w:tcBorders/>
            <w:shd w:fill="CCEEFF" w:val="clear"/>
            <w:vAlign w:val="bottom"/>
          </w:tcPr>
          <w:p>
            <w:pPr>
              <w:pStyle w:val="TableContents"/>
              <w:bidi w:val="0"/>
              <w:spacing w:before="0" w:after="283"/>
              <w:jc w:val="left"/>
              <w:rPr/>
            </w:pPr>
            <w:r>
              <w:rPr/>
              <w:t>% </w:t>
            </w:r>
          </w:p>
        </w:tc>
      </w:tr>
      <w:tr>
        <w:trPr/>
        <w:tc>
          <w:tcPr>
            <w:tcW w:w="1450" w:type="dxa"/>
            <w:tcBorders/>
          </w:tcPr>
          <w:p>
            <w:pPr>
              <w:pStyle w:val="TableContents"/>
              <w:bidi w:val="0"/>
              <w:spacing w:before="0" w:after="0"/>
              <w:jc w:val="left"/>
              <w:rPr>
                <w:rFonts w:ascii="Times New Roman" w:hAnsi="Times New Roman"/>
                <w:b/>
                <w:sz w:val="18"/>
              </w:rPr>
            </w:pPr>
            <w:r>
              <w:rPr>
                <w:rFonts w:ascii="Times New Roman" w:hAnsi="Times New Roman"/>
                <w:b/>
                <w:sz w:val="18"/>
              </w:rPr>
              <w:t>3-yr average</w:t>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sz w:val="4"/>
                <w:szCs w:val="4"/>
              </w:rPr>
            </w:pPr>
            <w:r>
              <w:rPr>
                <w:sz w:val="4"/>
                <w:szCs w:val="4"/>
              </w:rPr>
            </w:r>
          </w:p>
        </w:tc>
        <w:tc>
          <w:tcPr>
            <w:tcW w:w="14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3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For fiscal 2023, the grants to the CEO exclude 573,000 performance stock units (PSUs) that were granted to Mr. Kanter in August 2023 in connection with his amended and extended employment agreement. As a result of this amended and extended employment agreement, Mr. Kanter agreed to the extension of his employment agreement through August 2026. The PSUs are subject to a market condition which is tied to DXL’s stock price. The award will vest, if at all, in nine installments, when the trailing 30-day volume-weighted average closing price of a share of DXL’s common stock meets or exceeds $6.50, $6.75, $7.00, $7.25, $7.50, $7.75, $8.00, $8.25, and $8.50. All 573,000 PSUs remain unvested and outstanding at January 31, 2026. The PSUs will expire in August 2026, if unvested.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Equity Compensation Plan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information with respect to DXL’s equity compensation plans as of May 2, 2026: </w:t>
      </w:r>
    </w:p>
    <w:p>
      <w:pPr>
        <w:pStyle w:val="TextBody"/>
        <w:bidi w:val="0"/>
        <w:spacing w:before="0" w:after="0"/>
        <w:jc w:val="left"/>
        <w:rPr/>
      </w:pPr>
      <w:r>
        <w:rPr/>
        <w:t> </w:t>
      </w:r>
    </w:p>
    <w:tbl>
      <w:tblPr>
        <w:tblW w:w="9150" w:type="dxa"/>
        <w:jc w:val="center"/>
        <w:tblInd w:w="0" w:type="dxa"/>
        <w:tblLayout w:type="fixed"/>
        <w:tblCellMar>
          <w:top w:w="0" w:type="dxa"/>
          <w:left w:w="0" w:type="dxa"/>
          <w:bottom w:w="0" w:type="dxa"/>
          <w:right w:w="0" w:type="dxa"/>
        </w:tblCellMar>
      </w:tblPr>
      <w:tblGrid>
        <w:gridCol w:w="995"/>
        <w:gridCol w:w="60"/>
        <w:gridCol w:w="154"/>
        <w:gridCol w:w="2521"/>
        <w:gridCol w:w="60"/>
        <w:gridCol w:w="60"/>
        <w:gridCol w:w="450"/>
        <w:gridCol w:w="1415"/>
        <w:gridCol w:w="60"/>
        <w:gridCol w:w="60"/>
        <w:gridCol w:w="60"/>
        <w:gridCol w:w="275"/>
        <w:gridCol w:w="155"/>
        <w:gridCol w:w="60"/>
        <w:gridCol w:w="156"/>
        <w:gridCol w:w="2549"/>
        <w:gridCol w:w="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bottom"/>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Plan category</w:t>
            </w:r>
          </w:p>
        </w:tc>
        <w:tc>
          <w:tcPr>
            <w:tcW w:w="60" w:type="dxa"/>
            <w:tcBorders/>
            <w:vAlign w:val="bottom"/>
          </w:tcPr>
          <w:p>
            <w:pPr>
              <w:pStyle w:val="TableContents"/>
              <w:bidi w:val="0"/>
              <w:spacing w:before="0" w:after="283"/>
              <w:jc w:val="left"/>
              <w:rPr/>
            </w:pPr>
            <w:r>
              <w:rPr/>
              <w:t> </w:t>
            </w:r>
          </w:p>
        </w:tc>
        <w:tc>
          <w:tcPr>
            <w:tcW w:w="267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 to be</w:t>
            </w:r>
            <w:r>
              <w:rPr/>
              <w:br/>
            </w:r>
            <w:r>
              <w:rPr>
                <w:b/>
              </w:rPr>
              <w:t>issued upon exercise of</w:t>
            </w:r>
            <w:r>
              <w:rPr/>
              <w:br/>
            </w:r>
            <w:r>
              <w:rPr>
                <w:b/>
              </w:rPr>
              <w:t>outstanding options,</w:t>
            </w:r>
            <w:r>
              <w:rPr/>
              <w:br/>
            </w:r>
            <w:r>
              <w:rPr>
                <w:b/>
              </w:rPr>
              <w:t>warrants and rights</w:t>
            </w:r>
            <w:r>
              <w:rPr/>
              <w:br/>
            </w:r>
            <w:r>
              <w:rPr>
                <w:b/>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bottom"/>
          </w:tcPr>
          <w:p>
            <w:pPr>
              <w:pStyle w:val="TableContents"/>
              <w:bidi w:val="0"/>
              <w:spacing w:before="0" w:after="283"/>
              <w:jc w:val="center"/>
              <w:rPr/>
            </w:pPr>
            <w:r>
              <w:rPr>
                <w:b/>
              </w:rPr>
              <w:t>Weighted-average</w:t>
            </w:r>
            <w:r>
              <w:rPr/>
              <w:br/>
            </w:r>
            <w:r>
              <w:rPr>
                <w:b/>
              </w:rPr>
              <w:t>exercise price of</w:t>
            </w:r>
            <w:r>
              <w:rPr/>
              <w:br/>
            </w:r>
            <w:r>
              <w:rPr>
                <w:b/>
              </w:rPr>
              <w:t>outstanding</w:t>
            </w:r>
            <w:r>
              <w:rPr/>
              <w:br/>
            </w:r>
            <w:r>
              <w:rPr>
                <w:b/>
              </w:rPr>
              <w:t>options, warrants</w:t>
            </w:r>
            <w:r>
              <w:rPr/>
              <w:br/>
            </w:r>
            <w:r>
              <w:rPr>
                <w:b/>
              </w:rPr>
              <w:t>and rights</w:t>
            </w:r>
            <w:r>
              <w:rPr/>
              <w:br/>
            </w:r>
            <w:r>
              <w:rPr>
                <w:b/>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r>
              <w:rPr/>
              <w:br/>
            </w:r>
            <w:r>
              <w:rPr>
                <w:b/>
              </w:rPr>
              <w:t>(c)</w:t>
            </w:r>
          </w:p>
        </w:tc>
        <w:tc>
          <w:tcPr>
            <w:tcW w:w="60" w:type="dxa"/>
            <w:tcBorders/>
            <w:vAlign w:val="bottom"/>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compensation plans approved by security holders (1)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right"/>
              <w:rPr/>
            </w:pPr>
            <w:r>
              <w:rPr/>
              <w:t>(2 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3,700,396</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tcPr>
          <w:p>
            <w:pPr>
              <w:pStyle w:val="TableContents"/>
              <w:bidi w:val="0"/>
              <w:spacing w:before="0" w:after="0"/>
              <w:jc w:val="left"/>
              <w:rPr>
                <w:rFonts w:ascii="Times New Roman" w:hAnsi="Times New Roman"/>
                <w:sz w:val="18"/>
              </w:rPr>
            </w:pPr>
            <w:r>
              <w:rPr>
                <w:rFonts w:ascii="Times New Roman" w:hAnsi="Times New Roman"/>
                <w:sz w:val="18"/>
              </w:rPr>
              <w:t>Equity compensation plans not approved by security holders (3)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5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bidi w:val="0"/>
              <w:spacing w:before="0" w:after="283"/>
              <w:jc w:val="left"/>
              <w:rPr/>
            </w:pPr>
            <w:r>
              <w:rPr/>
              <w:t> </w:t>
            </w:r>
          </w:p>
        </w:tc>
        <w:tc>
          <w:tcPr>
            <w:tcW w:w="14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549" w:type="dxa"/>
            <w:tcBorders/>
            <w:vAlign w:val="bottom"/>
          </w:tcPr>
          <w:p>
            <w:pPr>
              <w:pStyle w:val="TableContents"/>
              <w:bidi w:val="0"/>
              <w:spacing w:before="0" w:after="283"/>
              <w:jc w:val="right"/>
              <w:rPr/>
            </w:pPr>
            <w:r>
              <w:rPr/>
              <w:t>511,477</w:t>
            </w:r>
          </w:p>
        </w:tc>
        <w:tc>
          <w:tcPr>
            <w:tcW w:w="60" w:type="dxa"/>
            <w:tcBorders/>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25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single" w:sz="2" w:space="1" w:color="000000"/>
              </w:pBdr>
              <w:bidi w:val="0"/>
              <w:spacing w:before="0" w:after="0"/>
              <w:jc w:val="left"/>
              <w:rPr/>
            </w:pPr>
            <w:r>
              <w:rPr/>
              <w:t> </w:t>
            </w:r>
          </w:p>
        </w:tc>
        <w:tc>
          <w:tcPr>
            <w:tcW w:w="14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single" w:sz="2" w:space="1" w:color="000000"/>
              </w:pBdr>
              <w:bidi w:val="0"/>
              <w:spacing w:before="0" w:after="0"/>
              <w:jc w:val="left"/>
              <w:rPr/>
            </w:pPr>
            <w:r>
              <w:rPr/>
              <w:t> </w:t>
            </w:r>
          </w:p>
        </w:tc>
        <w:tc>
          <w:tcPr>
            <w:tcW w:w="2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99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2521" w:type="dxa"/>
            <w:tcBorders/>
            <w:shd w:fill="CCEEFF" w:val="clear"/>
            <w:vAlign w:val="bottom"/>
          </w:tcPr>
          <w:p>
            <w:pPr>
              <w:pStyle w:val="TableContents"/>
              <w:bidi w:val="0"/>
              <w:spacing w:before="0" w:after="283"/>
              <w:jc w:val="right"/>
              <w:rPr/>
            </w:pPr>
            <w:r>
              <w:rPr/>
              <w:t>5,007,188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50" w:type="dxa"/>
            <w:tcBorders/>
            <w:shd w:fill="CCEEFF" w:val="clear"/>
            <w:vAlign w:val="bottom"/>
          </w:tcPr>
          <w:p>
            <w:pPr>
              <w:pStyle w:val="TableContents"/>
              <w:bidi w:val="0"/>
              <w:spacing w:before="0" w:after="283"/>
              <w:jc w:val="left"/>
              <w:rPr/>
            </w:pPr>
            <w:r>
              <w:rPr/>
              <w:t>$</w:t>
            </w:r>
          </w:p>
        </w:tc>
        <w:tc>
          <w:tcPr>
            <w:tcW w:w="1415" w:type="dxa"/>
            <w:tcBorders/>
            <w:shd w:fill="CCEEFF" w:val="clear"/>
            <w:vAlign w:val="bottom"/>
          </w:tcPr>
          <w:p>
            <w:pPr>
              <w:pStyle w:val="TableContents"/>
              <w:bidi w:val="0"/>
              <w:spacing w:before="0" w:after="283"/>
              <w:jc w:val="right"/>
              <w:rPr/>
            </w:pPr>
            <w:r>
              <w:rPr/>
              <w:t>0.64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2549" w:type="dxa"/>
            <w:tcBorders/>
            <w:shd w:fill="CCEEFF" w:val="clear"/>
            <w:vAlign w:val="bottom"/>
          </w:tcPr>
          <w:p>
            <w:pPr>
              <w:pStyle w:val="TableContents"/>
              <w:bidi w:val="0"/>
              <w:spacing w:before="0" w:after="283"/>
              <w:jc w:val="right"/>
              <w:rPr/>
            </w:pPr>
            <w:r>
              <w:rPr/>
              <w:t>4,211,873</w:t>
            </w:r>
          </w:p>
        </w:tc>
        <w:tc>
          <w:tcPr>
            <w:tcW w:w="60" w:type="dxa"/>
            <w:tcBorders/>
            <w:shd w:fill="CCEEFF" w:val="clear"/>
            <w:vAlign w:val="bottom"/>
          </w:tcPr>
          <w:p>
            <w:pPr>
              <w:pStyle w:val="TableContents"/>
              <w:bidi w:val="0"/>
              <w:spacing w:before="0" w:after="283"/>
              <w:jc w:val="left"/>
              <w:rPr/>
            </w:pPr>
            <w:r>
              <w:rPr/>
              <w:t> </w:t>
            </w:r>
          </w:p>
        </w:tc>
      </w:tr>
      <w:tr>
        <w:trPr/>
        <w:tc>
          <w:tcPr>
            <w:tcW w:w="9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25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0" w:type="dxa"/>
            <w:tcBorders/>
            <w:vAlign w:val="bottom"/>
          </w:tcPr>
          <w:p>
            <w:pPr>
              <w:pStyle w:val="TableContents"/>
              <w:pBdr>
                <w:top w:val="double" w:sz="6" w:space="1" w:color="000000"/>
              </w:pBdr>
              <w:bidi w:val="0"/>
              <w:spacing w:before="0" w:after="0"/>
              <w:jc w:val="left"/>
              <w:rPr/>
            </w:pPr>
            <w:r>
              <w:rPr/>
              <w:t> </w:t>
            </w:r>
          </w:p>
        </w:tc>
        <w:tc>
          <w:tcPr>
            <w:tcW w:w="14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pBdr>
                <w:top w:val="double" w:sz="6" w:space="1" w:color="000000"/>
              </w:pBdr>
              <w:bidi w:val="0"/>
              <w:spacing w:before="0" w:after="0"/>
              <w:jc w:val="left"/>
              <w:rPr/>
            </w:pPr>
            <w:r>
              <w:rPr/>
              <w:t> </w:t>
            </w:r>
          </w:p>
        </w:tc>
        <w:tc>
          <w:tcPr>
            <w:tcW w:w="25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Includes 2,961,292 outstanding stock options, 830,465 outstanding RSUs, 573,000 outstanding PSUs and 642,431 outstanding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weighted-average exercise price is calculated solely based upon outstanding stock options and excludes RSUs, PSUs and deferred stock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Reflects activity under the Director Plan. Pursuant to the Director Plan, DXL has 1,500,000 shares authorized for stock issuances in lieu of cash director fees, of which 511,477 shares were available at May 2,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of the Second Amended and Restated 2016 Incentive Compensation Plan, as Amended Effective ([XXX, XX, 2026])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2016 plan and is qualified in its entirety by reference to the full text of the 2016 plan as proposed to be amended, which is attached as Annex D to this proxy statement. The summary of the 2016 plan may not contain all the information that is important to you and you should read Annex D carefully before you decide how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Purpose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2016 plan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DXL in attracting, motivating, retaining and rewarding high-quality executives and other employees, officers, directors, consultants and other persons who provide services to DXL;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enable persons participating in the 2016 plan to acquire or increase a proprietary interest in DXL in order to strengthen the mutuality of interests between them and DXL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persons participating in the plan with performance incentives to expend their maximum efforts in the creation of stockholder value.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Eligible Participants </w:t>
      </w:r>
    </w:p>
    <w:p>
      <w:pPr>
        <w:pStyle w:val="TextBody"/>
        <w:bidi w:val="0"/>
        <w:spacing w:before="120" w:after="0"/>
        <w:jc w:val="left"/>
        <w:rPr>
          <w:rFonts w:ascii="Times New Roman" w:hAnsi="Times New Roman"/>
          <w:sz w:val="20"/>
        </w:rPr>
      </w:pPr>
      <w:r>
        <w:rPr>
          <w:rFonts w:ascii="Times New Roman" w:hAnsi="Times New Roman"/>
          <w:sz w:val="20"/>
        </w:rPr>
        <w:t xml:space="preserve">The persons eligible to receive awards under the 2016 plan are DXL’s officers, directors, employees and consultants or other persons who provide services to DXL. An employee on leave of absence may be considered as still employed for purposes of eligibility for participation in the 2016 plan. As of the date of this proxy statement, there are approximately 30 employees (7 executive officers, 5 senior vice presidents and 18 vice presidents), 6 non-employee directors as well as service providers of DXL and its affiliates who would be eligible to participate in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DXL Board has selected the DXL compensation committee to administer the 2016 plan. All DXL compensation committee members must be “non-employee directors” as defined by Rule 16b-3 of the Exchange Act. The DXL Board may in its discretion elect to administer the 2016 plan, provided that it is administered only by those directors who are independent within the meaning of the 2016 plan. Subject to the terms of the 2016 plan, the DXL compensation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for Awards </w:t>
      </w:r>
    </w:p>
    <w:p>
      <w:pPr>
        <w:pStyle w:val="TextBody"/>
        <w:bidi w:val="0"/>
        <w:spacing w:before="120" w:after="0"/>
        <w:jc w:val="left"/>
        <w:rPr>
          <w:rFonts w:ascii="Times New Roman" w:hAnsi="Times New Roman"/>
          <w:sz w:val="20"/>
        </w:rPr>
      </w:pPr>
      <w:r>
        <w:rPr>
          <w:rFonts w:ascii="Times New Roman" w:hAnsi="Times New Roman"/>
          <w:sz w:val="20"/>
        </w:rPr>
        <w:t>The shares to be delivered under the 2016 plan may be authorized but unissued shares of DXL common stock or treasury shares. Under the 2016 plan, as proposed to be amended pursuant to this proposal 3, the total number of shares of DXL common stock that may be subject to the granting of awards under the 2016 plan shall be equal to the sum of (i) 34,245,000 shares, plus (ii) 525,538 shares that were available for issuance but not granted under the 2006 plan that rolled into the 2016 plan on August 4, 2016. As of May 2, 2026, 3,700,396 shares of DXL common stock remained available for issuance under the 2016 plan.</w:t>
      </w:r>
    </w:p>
    <w:p>
      <w:pPr>
        <w:pStyle w:val="TextBody"/>
        <w:bidi w:val="0"/>
        <w:spacing w:before="240" w:after="0"/>
        <w:jc w:val="left"/>
        <w:rPr>
          <w:rFonts w:ascii="Times New Roman" w:hAnsi="Times New Roman"/>
          <w:sz w:val="20"/>
        </w:rPr>
      </w:pPr>
      <w:r>
        <w:rPr>
          <w:rFonts w:ascii="Times New Roman" w:hAnsi="Times New Roman"/>
          <w:sz w:val="20"/>
        </w:rPr>
        <w:t xml:space="preserve">Shares issued in respect of any full-value award, such as restricted stock and RSUs, are counted against the share limit as 1.5 shares of stock for every one share issued. Each share issued in respect of stock options or stock appreciation rights (SARs) are counted against the share limit as one share of stock for every one share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Any shares of stock that again become available for award under the 2016 plan shall be added as one share for every one share of stock options or SARs and 1.5 shares for every one full-value award.</w:t>
      </w:r>
    </w:p>
    <w:p>
      <w:pPr>
        <w:pStyle w:val="TextBody"/>
        <w:bidi w:val="0"/>
        <w:spacing w:before="240" w:after="0"/>
        <w:jc w:val="left"/>
        <w:rPr>
          <w:rFonts w:ascii="Times New Roman" w:hAnsi="Times New Roman"/>
          <w:sz w:val="20"/>
        </w:rPr>
      </w:pPr>
      <w:r>
        <w:rPr>
          <w:rFonts w:ascii="Times New Roman" w:hAnsi="Times New Roman"/>
          <w:sz w:val="20"/>
        </w:rPr>
        <w:t xml:space="preserve">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 </w:t>
      </w:r>
    </w:p>
    <w:p>
      <w:pPr>
        <w:pStyle w:val="TextBody"/>
        <w:bidi w:val="0"/>
        <w:spacing w:before="240" w:after="0"/>
        <w:jc w:val="left"/>
        <w:rPr>
          <w:rFonts w:ascii="Times New Roman" w:hAnsi="Times New Roman"/>
          <w:sz w:val="20"/>
        </w:rPr>
      </w:pPr>
      <w:r>
        <w:rPr>
          <w:rFonts w:ascii="Times New Roman" w:hAnsi="Times New Roman"/>
          <w:sz w:val="20"/>
        </w:rPr>
        <w:t xml:space="preserve">Awards with respect to shares that are granted to replace outstanding awards or other similar rights that are assumed or replaced by awards under the 2016 plan pursuant to the acquisition of a business are not subject to, and do not count against, the foregoing limit.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increase in the share reserve described above, the maximum aggregate number of shares that may be delivered under the 2016 plan as a result of the exercise of ISOs is 34,245,000 shares. In addition, a director who is not an employee or a consultant may not be granted an award that has a fair value, as of the date of grant, which exceeds $300,000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Equitable Adjustments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DXL compensation committee is also authorized to adjust the limitations on the amount of certain awards in the event of any merger, consolidation or other reorganization in which DXL does not survive, or in the event of any change in control (as defined in the 2016 plan), by taking any of the following approaches, without the requirement of obtaining consent from any plan participant: (1) continuation of the outstanding awards by DXL, if DXL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Minimum Vesting Requirement </w:t>
      </w:r>
    </w:p>
    <w:p>
      <w:pPr>
        <w:pStyle w:val="TextBody"/>
        <w:bidi w:val="0"/>
        <w:spacing w:before="120" w:after="0"/>
        <w:jc w:val="left"/>
        <w:rPr>
          <w:rFonts w:ascii="Times New Roman" w:hAnsi="Times New Roman"/>
          <w:sz w:val="20"/>
        </w:rPr>
      </w:pPr>
      <w:r>
        <w:rPr>
          <w:rFonts w:ascii="Times New Roman" w:hAnsi="Times New Roman"/>
          <w:sz w:val="20"/>
        </w:rPr>
        <w:t xml:space="preserve">Except with respect to 5% of the shares of common stock available for awards under the 2016 plan, no award will become exercisable or otherwise non-forfeitable unless such award has been outstanding for a minimum period of one year from its date of grant. The DXL compensation committee reserves the general discretion to accelerate vesting of awards in connection with the participant’s death, disability, termination of service or change in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authorizes grants of a variety of awards described below. The DXL compensation committee, or the DXL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DXL compensation committee, consistent with the provisions of the 2016 plan. Each award agreement shall either be (i) in writing in a form approved by the DXL compensation committee and executed by DXL by an officer duly authorized to act on its behalf, or (ii) an electronic notice in a form approved by the DXL compensation committee and recorded by DXL in an electronic recordkeeping system used for tracking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Options and SARs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stock options, including both incentive stock options (“ISOs”) (which must comply with provisions of Section 422 of the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DXL compensation committee, but must not be less than the fair market value of a share of common stock on the date of grant. The grant price of an SAR is determined by the DXL compensation committee, but must not be less than (i) the fair market value of a share of common stock on the date of grant or, (ii) in the case of an SAR issued in tandem with an ISO, the exercise price of the option granted in tandem with the SAR.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2016 plan, the term “fair market value” means the fair market value of the common stock, awards or other property as determined by the DXL compensation committee or under procedures established by the DXL compensation committee. Unless otherwise determined by the DXL compensation committee or the DXL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w:t>
      </w:r>
    </w:p>
    <w:p>
      <w:pPr>
        <w:pStyle w:val="TextBody"/>
        <w:bidi w:val="0"/>
        <w:spacing w:before="240" w:after="0"/>
        <w:jc w:val="left"/>
        <w:rPr>
          <w:rFonts w:ascii="Times New Roman" w:hAnsi="Times New Roman"/>
          <w:sz w:val="20"/>
        </w:rPr>
      </w:pPr>
      <w:r>
        <w:rPr>
          <w:rFonts w:ascii="Times New Roman" w:hAnsi="Times New Roman"/>
          <w:sz w:val="20"/>
        </w:rPr>
        <w:t xml:space="preserve">The aggregate fair market value with respect to ISOs granted under the plan that become exercisable for the participant during any calendar year shall not exceed $100,000. </w:t>
      </w:r>
    </w:p>
    <w:p>
      <w:pPr>
        <w:pStyle w:val="TextBody"/>
        <w:bidi w:val="0"/>
        <w:spacing w:before="240" w:after="0"/>
        <w:jc w:val="left"/>
        <w:rPr>
          <w:rFonts w:ascii="Times New Roman" w:hAnsi="Times New Roman"/>
          <w:sz w:val="20"/>
        </w:rPr>
      </w:pPr>
      <w:r>
        <w:rPr>
          <w:rFonts w:ascii="Times New Roman" w:hAnsi="Times New Roman"/>
          <w:sz w:val="20"/>
        </w:rPr>
        <w:t xml:space="preserve">The maximum term of each option or SAR, the times at which each option or SAR will be exercisable, and provisions requiring forfeiture of unexercised options or SARs at or following termination of employment or service generally are fixed by the DXL compensation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DXL compensation committee may determine from time to time. The 2016 plan also permits net share settlement of nonqualified stock options. Methods of exercise and settlement and other terms of the SARs are determined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connection with standard adjustments (as set forth in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DXL compensation committee shall not be permitted to take any other action with respect to an option or SAR that may be treated as a repricing, in each case, without approval of DXL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restricted stock, which is a grant of shares of common stock which may not be sold or disposed of, and which may be forfeited in the event of certain terminations of employment or service, prior to the end of a restricted period specified by the DXL compensation committee. A participant granted restricted stock generally has all of the rights of DXL stockholders, unless otherwise determined by the DXL compensation committee, and has the right to receive dividends.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Deferred Awards, including RSUs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Stock and Awards in Lieu of Cash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shares of common stock as a bonus free of restrictions, or to grant shares of common stock or other awards in lieu of DXL’s obligations to pay cash under the 2016 plan or other plans or compensatory arrangements, subject to such terms as the DXL compensation committee may specify.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DXL compensation committee. No dividends shall be paid on any unvested awards, and no dividend equivalents granted in connection with another award shall be paid or distributed prior to the vesting date of the related award (or portion thereof giving rise to the dividend equivalent). Notwithstanding the foregoing, in no event shall dividend equivalents be paid in connection with the grant of a performance award until such time as the DXL compensation committee has certified that the performance goals with respect to such performance award have been achieved for the relevant performance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DXL compensation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DXL compensation committee. The amount of any performance awards to be distributed shall be conclusively determined by the DXL compensation committee. Performance awards may be paid in a lump sum or in installments following the close of an applicable performance period, or, in accordance with procedures established by the DXL compensation committee, on a deferred basis in a manner that does not violate the requirements of Section 409A of the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the 2016 plan, the DXL compensation committee will determine performance award terms, including the required levels of performance with respect to specified criteria, the corresponding amounts payable upon achievement of such levels of performance, termination and forfeiture provisions and the form of settlement. Except as otherwise specified by the DXL compensation committee at the time the goals are set, the DXL compensation committee shall exclude the impact of (i) restructurings, discontinued operations, extraordinary items, and other unusual or non-recurring charges, (ii) an event either not directly related to DXL’s operations or not within DXL’s reasonable control of management, (iii) a change in accounting standards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required by generally accepted accounting principles, or (iv) any other item or event deemed advisable by the DXL compensation committee. Achievement of performance goals in respect of performance awards shall be measured over a performance period no shorter than 12 months and no longer than 5 years, as further specified by the DXL compensation committee. </w:t>
      </w:r>
    </w:p>
    <w:p>
      <w:pPr>
        <w:pStyle w:val="TextBody"/>
        <w:bidi w:val="0"/>
        <w:spacing w:before="240" w:after="0"/>
        <w:jc w:val="left"/>
        <w:rPr>
          <w:rFonts w:ascii="Times New Roman" w:hAnsi="Times New Roman"/>
          <w:sz w:val="20"/>
        </w:rPr>
      </w:pPr>
      <w:r>
        <w:rPr>
          <w:rFonts w:ascii="Times New Roman" w:hAnsi="Times New Roman"/>
          <w:sz w:val="20"/>
        </w:rPr>
        <w:t xml:space="preserve">In granting performance awards, the DXL compensation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DXL compensation committee will determine who will potentially receive performance awards for that performance period, either out of the pool or otherwise. </w:t>
      </w:r>
    </w:p>
    <w:p>
      <w:pPr>
        <w:pStyle w:val="TextBody"/>
        <w:bidi w:val="0"/>
        <w:spacing w:before="240" w:after="0"/>
        <w:jc w:val="left"/>
        <w:rPr>
          <w:rFonts w:ascii="Times New Roman" w:hAnsi="Times New Roman"/>
          <w:sz w:val="20"/>
        </w:rPr>
      </w:pPr>
      <w:r>
        <w:rPr>
          <w:rFonts w:ascii="Times New Roman" w:hAnsi="Times New Roman"/>
          <w:sz w:val="20"/>
        </w:rPr>
        <w:t xml:space="preserve">After the end of each performance period, the DXL compensation committee will determine (i) the amount of any pools and the maximum amount of potential performance awards payable to each participant in the pools and (ii) the amount of any other potential performance awards payable to participants in the 2016 plan. The DXL compensation committee may, in its discretion, determine that the amount payable as a performance award will be reduced from the amount of any potential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The DXL compensation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DXL’s performance or any other factors designated by the DXL compensation committee, and awards valued by reference to the book value of shares of common stock or the value of securities of or the performance of specified subsidiaries or business units. The DXL compensation committee determines the terms and conditions of such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Terms of Awards </w:t>
      </w:r>
    </w:p>
    <w:p>
      <w:pPr>
        <w:pStyle w:val="TextBody"/>
        <w:bidi w:val="0"/>
        <w:spacing w:before="120" w:after="0"/>
        <w:jc w:val="left"/>
        <w:rPr>
          <w:rFonts w:ascii="Times New Roman" w:hAnsi="Times New Roman"/>
          <w:sz w:val="20"/>
        </w:rPr>
      </w:pPr>
      <w:r>
        <w:rPr>
          <w:rFonts w:ascii="Times New Roman" w:hAnsi="Times New Roman"/>
          <w:sz w:val="20"/>
        </w:rPr>
        <w:t xml:space="preserve">Awards may be settled in the form of cash, shares of common stock, other awards or other property, in the discretion of the DXL compensation committee. The DXL compensation committee may require or permit participants to defer the settlement of all or part of an award in accordance with such terms and conditions as the DXL compensation committee may establish, including payment or crediting of interest or dividend equivalents on deferred amounts, and the crediting of earnings, gains and losses based on deemed investment of deferred amounts in specified investment vehicles. The DXL compensation committee is authorized to place cash, shares of common stock or other property in trusts or make other arrangements to provide for payment of DXL’s obligations under the 2016 plan. The DXL compensation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w:t>
      </w:r>
    </w:p>
    <w:p>
      <w:pPr>
        <w:pStyle w:val="TextBody"/>
        <w:bidi w:val="0"/>
        <w:spacing w:before="240" w:after="0"/>
        <w:jc w:val="left"/>
        <w:rPr>
          <w:rFonts w:ascii="Times New Roman" w:hAnsi="Times New Roman"/>
          <w:sz w:val="20"/>
        </w:rPr>
      </w:pPr>
      <w:r>
        <w:rPr>
          <w:rFonts w:ascii="Times New Roman" w:hAnsi="Times New Roman"/>
          <w:sz w:val="20"/>
        </w:rPr>
        <w:t xml:space="preserve">Awards under the 2016 plan are generally granted without a requirement that the participant pay consideration in the form of cash or property for the grant (as distinguished from the exercise), except to the extent required by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Restriction on Repricing </w:t>
      </w:r>
    </w:p>
    <w:p>
      <w:pPr>
        <w:pStyle w:val="TextBody"/>
        <w:bidi w:val="0"/>
        <w:spacing w:before="120" w:after="0"/>
        <w:jc w:val="left"/>
        <w:rPr>
          <w:rFonts w:ascii="Times New Roman" w:hAnsi="Times New Roman"/>
          <w:sz w:val="20"/>
        </w:rPr>
      </w:pPr>
      <w:r>
        <w:rPr>
          <w:rFonts w:ascii="Times New Roman" w:hAnsi="Times New Roman"/>
          <w:sz w:val="20"/>
        </w:rPr>
        <w:t>As described above under “—</w:t>
      </w:r>
      <w:r>
        <w:rPr>
          <w:rFonts w:ascii="Times New Roman" w:hAnsi="Times New Roman"/>
          <w:i/>
          <w:sz w:val="20"/>
        </w:rPr>
        <w:t>Stock Options and SARs</w:t>
      </w:r>
      <w:r>
        <w:rPr>
          <w:rFonts w:ascii="Times New Roman" w:hAnsi="Times New Roman"/>
          <w:sz w:val="20"/>
        </w:rPr>
        <w:t xml:space="preserve">,” repricing of stock options and SARs is not permitted without stockholder approval. The DXL compensation committee may, however, grant awards in exchange for other awards under the 2016 plan or under other Company plans, or other rights to payment from DXL, and may grant awards in addition to such other awards, rights or other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Restrictions on Transferability </w:t>
      </w:r>
    </w:p>
    <w:p>
      <w:pPr>
        <w:pStyle w:val="TextBody"/>
        <w:bidi w:val="0"/>
        <w:spacing w:before="120" w:after="0"/>
        <w:jc w:val="left"/>
        <w:rPr>
          <w:rFonts w:ascii="Times New Roman" w:hAnsi="Times New Roman"/>
          <w:sz w:val="20"/>
        </w:rPr>
      </w:pPr>
      <w:r>
        <w:rPr>
          <w:rFonts w:ascii="Times New Roman" w:hAnsi="Times New Roman"/>
          <w:sz w:val="20"/>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DXL compensation committee pursuant to the express terms of an award agreement, are by gift or pursuant to a domestic relations order, and are to a “Permitted Assignee” that is a permissible transferee under the applicable rules of the SEC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stockholders, or (iv) a foundation in which any person or entity designated in clauses (i), (ii) or (iii) above control the management of assets.</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 </w:t>
      </w:r>
    </w:p>
    <w:p>
      <w:pPr>
        <w:pStyle w:val="TextBody"/>
        <w:bidi w:val="0"/>
        <w:spacing w:before="120" w:after="0"/>
        <w:jc w:val="left"/>
        <w:rPr>
          <w:rFonts w:ascii="Times New Roman" w:hAnsi="Times New Roman"/>
          <w:sz w:val="20"/>
        </w:rPr>
      </w:pPr>
      <w:r>
        <w:rPr>
          <w:rFonts w:ascii="Times New Roman" w:hAnsi="Times New Roman"/>
          <w:sz w:val="20"/>
        </w:rPr>
        <w:t xml:space="preserve">Awards made under the 2016 plan shall be subject to the applicable provisions of DXL’s clawback or recoupment policies as may be in effect from time to time. In addition to the terms of DXL’s clawback policy, the 2016 plan provides that, if a participant, while employed by or providing services to DXL, or after termination of employment or service violates a non-competition, non-solicitation or non-disclosure covenant or agreement, or otherwise engages in activity that is in conflict with or adverse to the interest of DXL, as determined by the DXL compensation committee, then the participant’s awards under the 2016 plan may be forfeited and the DXL compensation committee may require the participant to pay to DXL all or any portion of the gain realized upon exercise or vesting of an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In the event of a change in control, the 2016 plan provides that DXL compensation committee in effect immediately preceding the change in control may, in its sole discretion, accelerate the exercisability, the lapsing of restrictions or the expiration of deferral or vesting periods of any award upon a “double trigger” (</w:t>
      </w:r>
      <w:r>
        <w:rPr>
          <w:rFonts w:ascii="Times New Roman" w:hAnsi="Times New Roman"/>
          <w:i/>
          <w:sz w:val="20"/>
        </w:rPr>
        <w:t>i.e</w:t>
      </w:r>
      <w:r>
        <w:rPr>
          <w:rFonts w:ascii="Times New Roman" w:hAnsi="Times New Roman"/>
          <w:sz w:val="20"/>
        </w:rPr>
        <w:t xml:space="preserve">., upon certain terminations of employment without “justifiable cause” or for “good reason” within 6 months before or 18 months after a change in control). In addition, the DXL compensation committee may provide in an award agreement that the performance goals relating to any performance-based award will be deemed to have been met upon the occurrence of any “change in control,” again upon a “double trigger” as described in this paragraph.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The DXL Board may amend, alter, suspend, discontinue or terminate the 2016 plan or the DXL compensation committee’s authority to grant awards without further stockholder approval, except stockholder approval must be obtained, no later than the next annual meeting following DXL Board approval for such amendment, for any amendment or alteration if such approval is required by law or regulation or under the rules of any stock exchange or quotation system on which shares of common stock are then listed or quoted. Thus, DXL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the DXL Board may, in its discretion, seek stockholder approval in any circumstance in which it deems such approval advisable. Unless earlier terminated by the DXL Board, the 2016 plan will terminate at the earliest of (i) such time as no shares of common stock remain available for issuance under the 2016 plan or (ii) the tenth (10th) anniversary of the effective date.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Federal Income Tax Consequences of Awards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not qualified under the provisions of Section 401(a) of the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DXL’s employee, that income will be subject to the withholding of Federal income tax. The optionee’s tax basis in those shares will be equal to their fair market value on the date of exercise of the option, and his/her holding period for those shares will begin on that date. </w:t>
      </w:r>
    </w:p>
    <w:p>
      <w:pPr>
        <w:pStyle w:val="TextBody"/>
        <w:bidi w:val="0"/>
        <w:spacing w:before="240" w:after="0"/>
        <w:jc w:val="left"/>
        <w:rPr>
          <w:rFonts w:ascii="Times New Roman" w:hAnsi="Times New Roman"/>
          <w:sz w:val="20"/>
        </w:rPr>
      </w:pPr>
      <w:r>
        <w:rPr>
          <w:rFonts w:ascii="Times New Roman" w:hAnsi="Times New Roman"/>
          <w:sz w:val="20"/>
        </w:rPr>
        <w:t xml:space="preserve">If an optionee pays for shares of stock on exercise of an option by delivering shares of DXL’s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his/her tax basis in the shares delivered, and his/her holding period for those shares will include his/her holding period for the shares delivered. The optionee’s tax basis and holding period for the additional shares received on exercise of the option will be the same as if the optionee had exercised the option solely in exchange for cash. </w:t>
      </w:r>
    </w:p>
    <w:p>
      <w:pPr>
        <w:pStyle w:val="TextBody"/>
        <w:bidi w:val="0"/>
        <w:spacing w:before="240" w:after="0"/>
        <w:jc w:val="left"/>
        <w:rPr>
          <w:rFonts w:ascii="Times New Roman" w:hAnsi="Times New Roman"/>
          <w:sz w:val="20"/>
        </w:rPr>
      </w:pPr>
      <w:r>
        <w:rPr>
          <w:rFonts w:ascii="Times New Roman" w:hAnsi="Times New Roman"/>
          <w:sz w:val="20"/>
        </w:rPr>
        <w:t xml:space="preserve">DXL will be entitled to a deduction for Federal income tax purposes equal to the amount of ordinary income taxable to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2016 plan provides for the grant of stock options that qualify as “incentive stock options” as defined in Section 422 of the Code, which DXL refers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DXL refers to as the “Required Holding Period”, the difference, if any, between the amount realized on a sale or other taxable disposition of that share and the holder’s tax basis in that share will be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however, an optionee disposes of a share acquired on exercise of an ISO before the end of the Required Holding Period, which DXL refers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 </w:t>
      </w:r>
    </w:p>
    <w:p>
      <w:pPr>
        <w:pStyle w:val="TextBody"/>
        <w:bidi w:val="0"/>
        <w:spacing w:before="240" w:after="0"/>
        <w:jc w:val="left"/>
        <w:rPr>
          <w:rFonts w:ascii="Times New Roman" w:hAnsi="Times New Roman"/>
          <w:sz w:val="20"/>
        </w:rPr>
      </w:pPr>
      <w:r>
        <w:rPr>
          <w:rFonts w:ascii="Times New Roman" w:hAnsi="Times New Roman"/>
          <w:sz w:val="20"/>
        </w:rPr>
        <w:t xml:space="preserve">An optionee who exercises an ISO by delivering shares of stock acquired previously pursuant to the exercise of an ISO before the expiration of the Required Holding Period for those shares is treated as making a Disqualifying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Disposition of those shares. This rule prevents “pyramiding” or the exercise of an ISO (that is, exercising an ISO for one share and using that share, and others so acquired, to exercise successive ISOs) without the imposition of current income tax.</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DXL is not allowed an income tax deduction with respect to the grant or exercise of an incentive stock option or the disposition of a share acquired on exercise of an incentive stock option after the Required Holding Period. However, if there is a Disqualifying Disposition of a share, DXL is allowed a deduction in an amount equal to the ordinary income includible in income by the optionee, provided that amount constitutes an ordinary and necessary business expense for DXL, is reasonable in amount, is not otherwise disallowed by the Code and either the employee includes that amount in income or DXL timely satisfies DXL’s reporting requirements with respect to that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Awards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 </w:t>
      </w:r>
    </w:p>
    <w:p>
      <w:pPr>
        <w:pStyle w:val="TextBody"/>
        <w:bidi w:val="0"/>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than one year from the date as of which he or she would be required to recognize any compensation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equal to the excess of the fair market value of the stock on the day it is received over any amounts paid by the recipient for the stock. </w:t>
      </w:r>
    </w:p>
    <w:p>
      <w:pPr>
        <w:pStyle w:val="TextBody"/>
        <w:bidi w:val="0"/>
        <w:spacing w:before="240" w:after="0"/>
        <w:jc w:val="left"/>
        <w:rPr>
          <w:rFonts w:ascii="Times New Roman" w:hAnsi="Times New Roman"/>
          <w:sz w:val="20"/>
        </w:rPr>
      </w:pPr>
      <w:r>
        <w:rPr>
          <w:rFonts w:ascii="Times New Roman" w:hAnsi="Times New Roman"/>
          <w:sz w:val="20"/>
        </w:rPr>
        <w:t xml:space="preserve">In general, there will be no federal income tax deduction allowed to DXL upon the grant or termination of SARs. Upon the exercise of a SAR, however, DXL will be entitled to a deduction for federal income tax purposes equal to the amount of ordinary income that the employee is required to recognize as a result of the exercise,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Awards </w:t>
      </w:r>
    </w:p>
    <w:p>
      <w:pPr>
        <w:pStyle w:val="TextBody"/>
        <w:bidi w:val="0"/>
        <w:spacing w:before="120" w:after="0"/>
        <w:jc w:val="left"/>
        <w:rPr>
          <w:rFonts w:ascii="Times New Roman" w:hAnsi="Times New Roman"/>
          <w:sz w:val="20"/>
        </w:rPr>
      </w:pPr>
      <w:r>
        <w:rPr>
          <w:rFonts w:ascii="Times New Roman" w:hAnsi="Times New Roman"/>
          <w:sz w:val="20"/>
        </w:rPr>
        <w:t xml:space="preserve">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Equivalents </w:t>
      </w:r>
    </w:p>
    <w:p>
      <w:pPr>
        <w:pStyle w:val="TextBody"/>
        <w:bidi w:val="0"/>
        <w:spacing w:before="120" w:after="0"/>
        <w:jc w:val="left"/>
        <w:rPr>
          <w:rFonts w:ascii="Times New Roman" w:hAnsi="Times New Roman"/>
          <w:sz w:val="20"/>
        </w:rPr>
      </w:pPr>
      <w:r>
        <w:rPr>
          <w:rFonts w:ascii="Times New Roman" w:hAnsi="Times New Roman"/>
          <w:sz w:val="20"/>
        </w:rPr>
        <w:t xml:space="preserve">Generally, the recipient of a dividend equivalent award will recognize ordinary compensation income at the time the dividend equivalent award is received equal to the fair market value of the dividend equivalent award received. DXL generally will be entitled to a deduction for federal income tax purposes equal to the amount of ordinary income that the employee is required to recognize as a result of the dividend equivalent award, provided that the deduction is not otherwise disallowed under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w:t>
      </w:r>
    </w:p>
    <w:p>
      <w:pPr>
        <w:pStyle w:val="TextBody"/>
        <w:bidi w:val="0"/>
        <w:spacing w:before="120" w:after="0"/>
        <w:jc w:val="left"/>
        <w:rPr>
          <w:rFonts w:ascii="Times New Roman" w:hAnsi="Times New Roman"/>
          <w:sz w:val="20"/>
        </w:rPr>
      </w:pPr>
      <w:r>
        <w:rPr>
          <w:rFonts w:ascii="Times New Roman" w:hAnsi="Times New Roman"/>
          <w:sz w:val="20"/>
        </w:rPr>
        <w:t xml:space="preserve">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Importance of Consulting Tax Adviser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No shares authorized for issuance under the 2016 plan pursuant to this proposal have been awarded, and no commitments to grant such awards have been made, other than shares required for director compensation as described below. Under DXL’s LTIPs, performance-based awards earned for the 2024–2026 LTIP and the 2025–2027 LTIP may be paid in cash, equity, or a combination thereof, at the discretion of the Compensation Committee. Assuming performance at target, the total award value for each LTIP would be approximately $2.4 million. The portion, if any, payable in equity cannot be determined at this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reflects the estimated dollar value and number of equity units that could be issued for non-employee director compensation during the remainder of fiscal 2026, based on annual director elections and minimum equity ownership requirements: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77"/>
        <w:gridCol w:w="337"/>
        <w:gridCol w:w="284"/>
        <w:gridCol w:w="1665"/>
        <w:gridCol w:w="60"/>
        <w:gridCol w:w="337"/>
        <w:gridCol w:w="138"/>
        <w:gridCol w:w="1893"/>
        <w:gridCol w:w="64"/>
      </w:tblGrid>
      <w:tr>
        <w:trPr/>
        <w:tc>
          <w:tcPr>
            <w:tcW w:w="2977"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9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Position</w:t>
            </w:r>
          </w:p>
        </w:tc>
        <w:tc>
          <w:tcPr>
            <w:tcW w:w="337" w:type="dxa"/>
            <w:tcBorders/>
            <w:vAlign w:val="bottom"/>
          </w:tcPr>
          <w:p>
            <w:pPr>
              <w:pStyle w:val="TableContents"/>
              <w:bidi w:val="0"/>
              <w:spacing w:before="0" w:after="283"/>
              <w:jc w:val="left"/>
              <w:rPr/>
            </w:pPr>
            <w:r>
              <w:rPr/>
              <w:t> </w:t>
            </w:r>
          </w:p>
        </w:tc>
        <w:tc>
          <w:tcPr>
            <w:tcW w:w="1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Dollar Value ($) (1)</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0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Units (2)</w:t>
            </w:r>
          </w:p>
        </w:tc>
        <w:tc>
          <w:tcPr>
            <w:tcW w:w="64" w:type="dxa"/>
            <w:tcBorders/>
            <w:vAlign w:val="bottom"/>
          </w:tcPr>
          <w:p>
            <w:pPr>
              <w:pStyle w:val="TableContents"/>
              <w:bidi w:val="0"/>
              <w:spacing w:before="0" w:after="283"/>
              <w:jc w:val="left"/>
              <w:rPr/>
            </w:pPr>
            <w:r>
              <w:rPr/>
              <w:t> </w:t>
            </w:r>
          </w:p>
        </w:tc>
      </w:tr>
      <w:tr>
        <w:trPr/>
        <w:tc>
          <w:tcPr>
            <w:tcW w:w="2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 Chief Executive Officer</w:t>
            </w:r>
          </w:p>
        </w:tc>
        <w:tc>
          <w:tcPr>
            <w:tcW w:w="33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77"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 Chief Financial Officer and Treasurer</w:t>
            </w:r>
          </w:p>
        </w:tc>
        <w:tc>
          <w:tcPr>
            <w:tcW w:w="33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 Chief Stores and Real Estate Officer</w:t>
            </w:r>
          </w:p>
        </w:tc>
        <w:tc>
          <w:tcPr>
            <w:tcW w:w="33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77"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 General Counsel and Secretary</w:t>
            </w:r>
          </w:p>
        </w:tc>
        <w:tc>
          <w:tcPr>
            <w:tcW w:w="33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 Chief Merchandising Officer</w:t>
            </w:r>
          </w:p>
        </w:tc>
        <w:tc>
          <w:tcPr>
            <w:tcW w:w="33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77" w:type="dxa"/>
            <w:tcBorders/>
          </w:tcPr>
          <w:p>
            <w:pPr>
              <w:pStyle w:val="TableContents"/>
              <w:bidi w:val="0"/>
              <w:spacing w:before="0" w:after="0"/>
              <w:jc w:val="left"/>
              <w:rPr>
                <w:rFonts w:ascii="Times New Roman" w:hAnsi="Times New Roman"/>
                <w:sz w:val="20"/>
              </w:rPr>
            </w:pPr>
            <w:r>
              <w:rPr>
                <w:rFonts w:ascii="Times New Roman" w:hAnsi="Times New Roman"/>
                <w:sz w:val="20"/>
              </w:rPr>
              <w:t>Executive Group, including NEOs</w:t>
            </w:r>
          </w:p>
        </w:tc>
        <w:tc>
          <w:tcPr>
            <w:tcW w:w="33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6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2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Non-Executive Officer Employee Group</w:t>
            </w:r>
          </w:p>
        </w:tc>
        <w:tc>
          <w:tcPr>
            <w:tcW w:w="337"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w:t>
            </w:r>
          </w:p>
        </w:tc>
        <w:tc>
          <w:tcPr>
            <w:tcW w:w="166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9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977" w:type="dxa"/>
            <w:tcBorders/>
          </w:tcPr>
          <w:p>
            <w:pPr>
              <w:pStyle w:val="TableContents"/>
              <w:bidi w:val="0"/>
              <w:spacing w:before="0" w:after="0"/>
              <w:jc w:val="left"/>
              <w:rPr>
                <w:rFonts w:ascii="Times New Roman" w:hAnsi="Times New Roman"/>
                <w:sz w:val="20"/>
              </w:rPr>
            </w:pPr>
            <w:r>
              <w:rPr>
                <w:rFonts w:ascii="Times New Roman" w:hAnsi="Times New Roman"/>
                <w:sz w:val="20"/>
              </w:rPr>
              <w:t>Non-Executive Director Group</w:t>
            </w:r>
          </w:p>
        </w:tc>
        <w:tc>
          <w:tcPr>
            <w:tcW w:w="337"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w:t>
            </w:r>
          </w:p>
        </w:tc>
        <w:tc>
          <w:tcPr>
            <w:tcW w:w="1665" w:type="dxa"/>
            <w:tcBorders/>
            <w:vAlign w:val="bottom"/>
          </w:tcPr>
          <w:p>
            <w:pPr>
              <w:pStyle w:val="TableContents"/>
              <w:bidi w:val="0"/>
              <w:spacing w:before="0" w:after="283"/>
              <w:jc w:val="right"/>
              <w:rPr/>
            </w:pPr>
            <w:r>
              <w:rPr/>
              <w:t>275,000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93" w:type="dxa"/>
            <w:tcBorders/>
            <w:vAlign w:val="bottom"/>
          </w:tcPr>
          <w:p>
            <w:pPr>
              <w:pStyle w:val="TableContents"/>
              <w:bidi w:val="0"/>
              <w:spacing w:before="0" w:after="283"/>
              <w:jc w:val="right"/>
              <w:rPr/>
            </w:pPr>
            <w:r>
              <w:rPr/>
              <w:t>443,548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Director Plan, non-employee directors are required to take 60% of their annual retainer in shares of common stock until the minimum equity ownership requirement is satisfied. In addition, the election of any director to receive shares of deferred stock must also be satisfied from shares available from the 2016 plan. Based on the ownership of DXL’s directors as of May 4, 2026, the above represents the expected dollar value of compensation that will be required to be settled in shares of common stock or in shares of deferred stock through the end of fiscal 2026, assuming proposal 1 is not approved by stockholders. If proposal 1 is approved by stockholders, the non-employee directors of the combined company would be required to take 60% of the annual retainer in stock, under the current terms of the Director Plan. Assuming the board of directors of the combined company are in place for the third and fourth quarter payment and further assuming that seven of the eight non-employee directors would be subject to this requirement and one director would receive 100% of his compensation in shares of deferred stock, pursuant to his annual election, the estimated required equity for the remainder of fiscal 2026 would instead be $356,000.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estimated number of shares that could be issued is based on the dollar value in the table above and DXL’s closing stock price of $0.62 on May 1,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Effect on Other Proposals </w:t>
      </w:r>
    </w:p>
    <w:p>
      <w:pPr>
        <w:pStyle w:val="TextBody"/>
        <w:bidi w:val="0"/>
        <w:spacing w:before="120" w:after="0"/>
        <w:jc w:val="left"/>
        <w:rPr>
          <w:rFonts w:ascii="Times New Roman" w:hAnsi="Times New Roman"/>
          <w:sz w:val="20"/>
        </w:rPr>
      </w:pPr>
      <w:r>
        <w:rPr>
          <w:rFonts w:ascii="Times New Roman" w:hAnsi="Times New Roman"/>
          <w:sz w:val="20"/>
        </w:rPr>
        <w:t xml:space="preserve">Approval of this proposal 3 by DXL stockholders is a separate vote from approval of the share issuance as contemplated by proposal 1 and the amendment to the restated certificate of incorporation to effect the reverse stock split as contemplated by proposal 2. Accordingly, DXL stockholders may vote for proposal 3 and vote against proposal 1. </w:t>
      </w:r>
    </w:p>
    <w:p>
      <w:pPr>
        <w:pStyle w:val="TextBody"/>
        <w:bidi w:val="0"/>
        <w:spacing w:before="240" w:after="0"/>
        <w:jc w:val="left"/>
        <w:rPr>
          <w:rFonts w:ascii="Times New Roman" w:hAnsi="Times New Roman"/>
          <w:sz w:val="20"/>
        </w:rPr>
      </w:pPr>
      <w:r>
        <w:rPr>
          <w:rFonts w:ascii="Times New Roman" w:hAnsi="Times New Roman"/>
          <w:sz w:val="20"/>
        </w:rPr>
        <w:t xml:space="preserve">The approval of this proposal 3 is not a condition to the completion of the merger with FBB. However, approval of the 2016 plan proposal is important to ensure that a sufficient number of shares of DXL common stock are available for issuance to participants of the 2016 plan for DXL and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2016 plan proposal. Abstentions, the failure to vote, and broker non-votes, if any, will have no effect on the outcome of the 2016 plan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2016 PLAN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5" w:name="tx76201_72"/>
      <w:bookmarkEnd w:id="75"/>
      <w:r>
        <w:rPr>
          <w:rFonts w:ascii="Times New Roman" w:hAnsi="Times New Roman"/>
          <w:b/>
          <w:sz w:val="20"/>
        </w:rPr>
        <w:t xml:space="preserve">PROPOSAL 4 </w:t>
      </w:r>
    </w:p>
    <w:p>
      <w:pPr>
        <w:pStyle w:val="TextBody"/>
        <w:bidi w:val="0"/>
        <w:spacing w:before="12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at the special meeting, the number of shares of DXL common stock cast at the special meeting is insufficient to approve proposal 1 (the issuance proposal), proposal 2 (the reverse stock split proposal) or proposal 3 (the 2016 plan proposal), DXL may propose to adjourn or postpone the special meeting to a later date or dates to solicit additional proxies with respect to these proposals. </w:t>
      </w:r>
    </w:p>
    <w:p>
      <w:pPr>
        <w:pStyle w:val="TextBody"/>
        <w:bidi w:val="0"/>
        <w:spacing w:before="240" w:after="0"/>
        <w:jc w:val="left"/>
        <w:rPr>
          <w:rFonts w:ascii="Times New Roman" w:hAnsi="Times New Roman"/>
          <w:sz w:val="20"/>
        </w:rPr>
      </w:pPr>
      <w:r>
        <w:rPr>
          <w:rFonts w:ascii="Times New Roman" w:hAnsi="Times New Roman"/>
          <w:sz w:val="20"/>
        </w:rPr>
        <w:t xml:space="preserve">This proposal is a procedural matter intended to provide flexibility in connection with the conduct of the special meeting and does not constitute a recommendation with respect to any other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stockholders approve this proposal, DXL could adjourn or postpone the special meeting, and any adjourned session of the special meeting, and use the additional time to solicit proxies, including proxies from stockholders who have previously voted. Approval of this proposal could also mean that, even if DXL receives proxies indicating a majority of votes cast at the special meeting will be voted against one or more of proposals 1, 2 or 3, DXL could adjourn or postpone the special meeting without a vote on those proposals and use the additional time to solicit proxies with respect to such proposals. </w:t>
      </w:r>
    </w:p>
    <w:p>
      <w:pPr>
        <w:pStyle w:val="TextBody"/>
        <w:bidi w:val="0"/>
        <w:spacing w:before="240" w:after="0"/>
        <w:jc w:val="left"/>
        <w:rPr>
          <w:rFonts w:ascii="Times New Roman" w:hAnsi="Times New Roman"/>
          <w:sz w:val="20"/>
        </w:rPr>
      </w:pPr>
      <w:r>
        <w:rPr>
          <w:rFonts w:ascii="Times New Roman" w:hAnsi="Times New Roman"/>
          <w:sz w:val="20"/>
        </w:rPr>
        <w:t xml:space="preserve">If the special meeting is adjourned or postponed, stockholders who have already submitted their proxies will be able to revoke them at any time before such proxies are voted at the reconvened special meeting. If the adjournment is for more than thirty (30) days, or if a new record date is fixed for the adjourned meeting, notice of the adjourned meeting will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if the Adjournment Proposal is Not Approved </w:t>
      </w:r>
    </w:p>
    <w:p>
      <w:pPr>
        <w:pStyle w:val="TextBody"/>
        <w:bidi w:val="0"/>
        <w:spacing w:before="120" w:after="0"/>
        <w:jc w:val="left"/>
        <w:rPr>
          <w:rFonts w:ascii="Times New Roman" w:hAnsi="Times New Roman"/>
          <w:sz w:val="20"/>
        </w:rPr>
      </w:pPr>
      <w:r>
        <w:rPr>
          <w:rFonts w:ascii="Times New Roman" w:hAnsi="Times New Roman"/>
          <w:sz w:val="20"/>
        </w:rPr>
        <w:t xml:space="preserve">If the adjournment proposal is not approved by DXL stockholders, DXL may not be able to adjourn or postpone the special meeting to a later date in the event there are insufficient votes at the time of the special meeting to approve one or more of proposals 1, 2 or 3, which could result in one or more proposals not being approved and, in the case of proposal 1, the merger not being consummated. </w:t>
      </w:r>
    </w:p>
    <w:p>
      <w:pPr>
        <w:pStyle w:val="TextBody"/>
        <w:bidi w:val="0"/>
        <w:spacing w:before="360" w:after="0"/>
        <w:jc w:val="left"/>
        <w:rPr>
          <w:rFonts w:ascii="Times New Roman" w:hAnsi="Times New Roman"/>
          <w:b/>
          <w:sz w:val="20"/>
        </w:rPr>
      </w:pPr>
      <w:r>
        <w:rPr>
          <w:rFonts w:ascii="Times New Roman" w:hAnsi="Times New Roman"/>
          <w:b/>
          <w:sz w:val="20"/>
        </w:rPr>
        <w:t xml:space="preserve">Vote Needed for Approval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cast by DXL stockholders, in person or by proxy, is required for the approval of the adjournment proposal. Abstentions, the failure to vote, and broker non-votes, if any, will have no effect on the outcome of the adjournment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b/>
          <w:sz w:val="20"/>
        </w:rPr>
      </w:pPr>
      <w:r>
        <w:rPr>
          <w:rFonts w:ascii="Times New Roman" w:hAnsi="Times New Roman"/>
          <w:b/>
          <w:sz w:val="20"/>
        </w:rPr>
        <w:t xml:space="preserve">THE DXL BOARD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6" w:name="tx76201_73"/>
      <w:bookmarkEnd w:id="76"/>
      <w:r>
        <w:rPr>
          <w:rFonts w:ascii="Times New Roman" w:hAnsi="Times New Roman"/>
          <w:b/>
          <w:sz w:val="20"/>
        </w:rPr>
        <w:t xml:space="preserve">DXL’S BUSINESS </w:t>
      </w:r>
    </w:p>
    <w:p>
      <w:pPr>
        <w:pStyle w:val="TextBody"/>
        <w:bidi w:val="0"/>
        <w:spacing w:before="240" w:after="0"/>
        <w:jc w:val="left"/>
        <w:rPr>
          <w:rFonts w:ascii="Times New Roman" w:hAnsi="Times New Roman"/>
          <w:sz w:val="20"/>
        </w:rPr>
      </w:pPr>
      <w:r>
        <w:rPr>
          <w:rFonts w:ascii="Times New Roman" w:hAnsi="Times New Roman"/>
          <w:sz w:val="20"/>
        </w:rPr>
        <w:t>For a description of DXL’s business, please refer to the section entitled “</w:t>
      </w:r>
      <w:r>
        <w:rPr>
          <w:rFonts w:ascii="Times New Roman" w:hAnsi="Times New Roman"/>
          <w:i/>
          <w:sz w:val="20"/>
        </w:rPr>
        <w:t>Item 1. Business</w:t>
      </w:r>
      <w:r>
        <w:rPr>
          <w:rFonts w:ascii="Times New Roman" w:hAnsi="Times New Roman"/>
          <w:sz w:val="20"/>
        </w:rPr>
        <w:t xml:space="preserve">” set forth in DXL’s Annual Report on Form 10-K for the fiscal year ended January 31, 2026 as filed with the SEC on March 19,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7" w:name="tx76201_74"/>
      <w:bookmarkEnd w:id="77"/>
      <w:r>
        <w:rPr>
          <w:rFonts w:ascii="Times New Roman" w:hAnsi="Times New Roman"/>
          <w:b/>
          <w:sz w:val="20"/>
        </w:rPr>
        <w:t xml:space="preserve">DXL’S EXECUTIVE COMPENSATION </w:t>
      </w:r>
    </w:p>
    <w:p>
      <w:pPr>
        <w:pStyle w:val="TextBody"/>
        <w:bidi w:val="0"/>
        <w:spacing w:before="240" w:after="0"/>
        <w:jc w:val="left"/>
        <w:rPr>
          <w:rFonts w:ascii="Times New Roman" w:hAnsi="Times New Roman"/>
          <w:sz w:val="20"/>
        </w:rPr>
      </w:pPr>
      <w:r>
        <w:rPr>
          <w:rFonts w:ascii="Times New Roman" w:hAnsi="Times New Roman"/>
          <w:sz w:val="20"/>
        </w:rPr>
        <w:t>For a description of DXL’s executive compensation, please refer to the section entitled “</w:t>
      </w:r>
      <w:r>
        <w:rPr>
          <w:rFonts w:ascii="Times New Roman" w:hAnsi="Times New Roman"/>
          <w:i/>
          <w:sz w:val="20"/>
        </w:rPr>
        <w:t>Item 11. Executive Compensation</w:t>
      </w:r>
      <w:r>
        <w:rPr>
          <w:rFonts w:ascii="Times New Roman" w:hAnsi="Times New Roman"/>
          <w:sz w:val="20"/>
        </w:rPr>
        <w:t xml:space="preserve">” set forth in DXL’s Annual Report on Form 10-K/A for the fiscal year ended January 31, 2026 as filed with the SEC on May 26, 2026, which section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8" w:name="tx76201_75"/>
      <w:bookmarkEnd w:id="78"/>
      <w:r>
        <w:rPr>
          <w:rFonts w:ascii="Times New Roman" w:hAnsi="Times New Roman"/>
          <w:b/>
          <w:sz w:val="20"/>
        </w:rPr>
        <w:t xml:space="preserve">FBB’S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Business section to “FullBeauty Brands,” the “Company,” “we,” “us,” “our” and other similar terms collectively refer to FBB Holdings I, Inc. and its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FullBeauty Brands is one of the largest U.S. pure-play direct-to-consumer operators focused exclusively on the plus-size and extended plus-size women’s and big and tall men’s apparel markets. We are mission led, serving underserved customer segments that we believe remain underpenetrated by traditional retailers. We operate a scaled, multi-brand portfolio supported by a centralized, shared-services platform that integrates merchandising, sourcing, marketing, technology and fulfillment. With a heritage spanning over a century (see “—</w:t>
      </w:r>
      <w:r>
        <w:rPr>
          <w:rFonts w:ascii="Times New Roman" w:hAnsi="Times New Roman"/>
          <w:i/>
          <w:sz w:val="20"/>
        </w:rPr>
        <w:t>Our History</w:t>
      </w:r>
      <w:r>
        <w:rPr>
          <w:rFonts w:ascii="Times New Roman" w:hAnsi="Times New Roman"/>
          <w:sz w:val="20"/>
        </w:rPr>
        <w:t xml:space="preserve">” below), we have developed deep expertise in fit engineering, grading, and size-inclusive product design. We believe our long-standing dedication to, and deep understanding of, our customer provides a true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FullBeauty Brands is a portfolio of differentiated yet complementary brands, comprising more than 15 owned and licensed primary brands. Our products are offered under the brands Woman Within®, Roaman’s®, Catherines®, Jessica London®, Ellos®, Joe Browns®, Avenue®, SwimsuitsForAll®, KingSize®, Eloquii®, CUUP®, Dia &amp; Co®, BrylaneHome® and June &amp; Vie®. FullBeauty Brands operates internet sites for each of the brands as well as a dedicated plus-size online marketplace, </w:t>
      </w:r>
      <w:r>
        <w:rPr>
          <w:rFonts w:ascii="Times New Roman" w:hAnsi="Times New Roman"/>
          <w:i/>
          <w:sz w:val="20"/>
        </w:rPr>
        <w:t>onestopplus.com</w:t>
      </w:r>
      <w:r>
        <w:rPr>
          <w:rFonts w:ascii="Times New Roman" w:hAnsi="Times New Roman"/>
          <w:sz w:val="20"/>
        </w:rPr>
        <w:t xml:space="preserve">, which offers a distinct blend of our original products and third-party brands. Other category-specific marketplaces that we operate on our online platform include Dia Shop, ShoesforAll®, IntimatesforAll®, ActiveforAll® and FullBeauty Outlet®. Additionally, we sell our products through third-party online marketplaces, such as Amazon, Walmart, Target, Kohl’s, Nordstrom, Macy’s, Lowes and eBay, expanding our customer reach. Each of our brands provides a solution targeted to specific needs of our customers.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3640" cy="21691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23640" cy="21691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focus on the intersection of extended-size apparel and the direct-to-consumer sales channel, which based on industry data, we believe positions us within an estimated $143.6 billion total addressable market (“TAM”) as of 2025. </w:t>
      </w:r>
    </w:p>
    <w:p>
      <w:pPr>
        <w:pStyle w:val="TextBody"/>
        <w:bidi w:val="0"/>
        <w:spacing w:before="240" w:after="0"/>
        <w:jc w:val="left"/>
        <w:rPr>
          <w:rFonts w:ascii="Times New Roman" w:hAnsi="Times New Roman"/>
          <w:sz w:val="20"/>
        </w:rPr>
      </w:pPr>
      <w:r>
        <w:rPr>
          <w:rFonts w:ascii="Times New Roman" w:hAnsi="Times New Roman"/>
          <w:sz w:val="20"/>
        </w:rPr>
        <w:t>Within this TAM, we focus on two primary customer groups: the Older Generation X and Baby Boomer demographic, and the Millennial and Younger Generation X demographic. We organize our brand portfolio and digital environments to address the distinct preferences and purchasing behaviors of each group. See “—</w:t>
      </w:r>
      <w:r>
        <w:rPr>
          <w:rFonts w:ascii="Times New Roman" w:hAnsi="Times New Roman"/>
          <w:i/>
          <w:sz w:val="20"/>
        </w:rPr>
        <w:t>Our Strategy</w:t>
      </w:r>
      <w:r>
        <w:rPr>
          <w:rFonts w:ascii="Times New Roman" w:hAnsi="Times New Roman"/>
          <w:sz w:val="20"/>
        </w:rPr>
        <w:t xml:space="preserve">” for additional detail on our multi-demographic segmentation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focus on the underserved plus-size market in the United States gives us niche expertise and significant insight into serving this demographic. We employ an integrated team, comprised of highly experienced merchants and technical product and creative designers, who work together to create and deliver an unmatched, well-fitting assortment. Our comfortable, trend-right merchandise is designed to address a variety of lifestyle needs ranging from casual and social wear to career, activewear and swimwear, all at affordable prices. Our well-honed e-commerce platform and distribution capabilities afford us the flexibility to offer one of the largest selections of styles and sizes of any plus-size company, with an assortment of over 225,000 SKUs. We believe the expertise and experience that comes from our plus-size centric approach has enabled us to achieve strong customer repurchase rates and a low merchandise return rate of 14%. </w:t>
      </w:r>
    </w:p>
    <w:p>
      <w:pPr>
        <w:pStyle w:val="TextBody"/>
        <w:bidi w:val="0"/>
        <w:spacing w:before="240" w:after="0"/>
        <w:jc w:val="left"/>
        <w:rPr>
          <w:rFonts w:ascii="Times New Roman" w:hAnsi="Times New Roman"/>
          <w:sz w:val="20"/>
        </w:rPr>
      </w:pPr>
      <w:r>
        <w:rPr>
          <w:rFonts w:ascii="Times New Roman" w:hAnsi="Times New Roman"/>
          <w:sz w:val="20"/>
        </w:rPr>
        <w:t>We operate a highly efficient, online-focused business model. Our data-driven marketing capabilities, multi-brand platform and proprietary fit expertise work together to drive customer acquisition, retention and lifetime value see “—</w:t>
      </w:r>
      <w:r>
        <w:rPr>
          <w:rFonts w:ascii="Times New Roman" w:hAnsi="Times New Roman"/>
          <w:i/>
          <w:sz w:val="20"/>
        </w:rPr>
        <w:t>Our Strategy</w:t>
      </w:r>
      <w:r>
        <w:rPr>
          <w:rFonts w:ascii="Times New Roman" w:hAnsi="Times New Roman"/>
          <w:sz w:val="20"/>
        </w:rPr>
        <w:t>” below. Our online direct-to-consumer platform currently generates approximately 80% of our net sales, or $575.9 million in fiscal year 2025. As an online platform business, we have a capital-efficient business model that requires low capital expenditure and delivers strong cash flow generation. See “—</w:t>
      </w:r>
      <w:r>
        <w:rPr>
          <w:rFonts w:ascii="Times New Roman" w:hAnsi="Times New Roman"/>
          <w:i/>
          <w:sz w:val="20"/>
        </w:rPr>
        <w:t>Our Strategy”</w:t>
      </w:r>
      <w:r>
        <w:rPr>
          <w:rFonts w:ascii="Times New Roman" w:hAnsi="Times New Roman"/>
          <w:sz w:val="20"/>
        </w:rPr>
        <w:t xml:space="preserve"> for additional detail on our platform model, marketing capabilities and acquisition strategy.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We like to say we were size inclusive before anyone was looking. We have been engaged in the sale of plus-size women’s apparel for decades, first serving our customers as the Lane Bryant catalog (later evolving into our Woman Within brand) and today through our proprietary and affiliated brands that all service our size inclusivity mission. In February 2013, we were acquired by a group of investors led by Charlesbank Capital Partners and Webster Capital and organized as a Delaware corporation. In early 2015, we rebranded our company as FullBeauty Brands. </w:t>
      </w:r>
    </w:p>
    <w:p>
      <w:pPr>
        <w:pStyle w:val="TextBody"/>
        <w:bidi w:val="0"/>
        <w:spacing w:before="240" w:after="0"/>
        <w:jc w:val="left"/>
        <w:rPr>
          <w:rFonts w:ascii="Times New Roman" w:hAnsi="Times New Roman"/>
          <w:sz w:val="20"/>
        </w:rPr>
      </w:pPr>
      <w:r>
        <w:rPr>
          <w:rFonts w:ascii="Times New Roman" w:hAnsi="Times New Roman"/>
          <w:sz w:val="20"/>
        </w:rPr>
        <w:t xml:space="preserve">We pride ourselves on sharing a heritage built by the founding mothers of inclusive sizing. In 1901, Lena Bryant founded the direct-to-consumer business that would become Lane Bryant in 1904 with the recognition that a lot of women did not conform to the sizes carried by retail stores, so she created great-fitting stylish clothes that served their needs and became the world’s first and foremost plus-size women’s apparel business. Focused on essentially the same mission, Roaman’s was founded in 1942 by Evelyn Roaman, and Catherines was founded in 1960 by Catherine Weaver, who both sought to bring style, beauty and confidence to women whose fashion choices were limited. In delivering on its mission, FullBeauty continues this legacy by satisfying not simply its customers’ needs but also their wants – every woman wants (and deserves) to feel beautiful and well-dressed, no matter her size. For more than a century, we have remained true to this mission and continue to provide quality plus-size products at affordable prices, while delivering our unparalleled expertise in this underserved segment. </w:t>
      </w:r>
    </w:p>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sz w:val="20"/>
        </w:rPr>
        <w:t xml:space="preserve">Female consumers in the plus-size (14W-22W) (46%) and extended plus-size (24W+) (23%) markets comprise 69% of the adult U.S. female population. Extended plus-size outpaced total female population growth by 9.2 times with a 5.4% CAGR from 2015 to 2025. Further, the plus and extended plus-size female population is expected to remain relatively stable in the next 10 years. Direct-to-consumer market share of the plus-size apparel market grew from 25% in 2015 to 37% in 2025. </w:t>
      </w:r>
    </w:p>
    <w:p>
      <w:pPr>
        <w:pStyle w:val="TextBody"/>
        <w:bidi w:val="0"/>
        <w:spacing w:before="240" w:after="0"/>
        <w:jc w:val="left"/>
        <w:rPr>
          <w:rFonts w:ascii="Times New Roman" w:hAnsi="Times New Roman"/>
          <w:sz w:val="20"/>
        </w:rPr>
      </w:pPr>
      <w:r>
        <w:rPr>
          <w:rFonts w:ascii="Times New Roman" w:hAnsi="Times New Roman"/>
          <w:sz w:val="20"/>
        </w:rPr>
        <w:t xml:space="preserve">Male consumers in the big and tall XL-2XL (42%) and 3XL+ (16%) markets comprise 57% of the adult U.S. male population. 3XL+ outpaced total male population growth by 6 times with a 4.0% CAGR from 2015 to 2025. Further, the big and tall male population is projected to grow from 57% to 61% of the total male population in the next 10 years. Direct-to-consumer market share of the big and tall market grew from 30% in 2015 to 35% in 2025, while brick and mortar companies’ market share shrank from 70% to 65%. FullBeauty operates in a growing plus-size apparel, direct-to-consumer segment. Our apparel assortments offer extended sizes through size 44W for women and size 10XL for men, whereas our competition generally does not extend past size 24W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women. We recognize that evolving health trends, including increased adoption of GLP-1 and other weight management medications, may influence apparel purchasing behavior and size demand patterns over time. We believe our broad-size architecture and proprietary fit expertise position us to serve customers across a range of sizing needs, including those with changing size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2025, we had a 0.9% market share of the $73.7 billion total women’s plus-size market, and a 2.4% market share of the $27.5 billion total direct-to-consumer women’s plus-size market. As of 2025, we had a 0.1% market share of the $69.9 billion total men’s big and tall market and a 0.4% market share of the $24.2 billion direct-to-consumer, men’s big and tall market.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sz w:val="20"/>
        </w:rPr>
      </w:pPr>
      <w:r>
        <w:rPr>
          <w:rFonts w:ascii="Times New Roman" w:hAnsi="Times New Roman"/>
          <w:sz w:val="20"/>
        </w:rPr>
        <w:t xml:space="preserve">Our strategy is to grow market share within a large and structurally underpenetrated market by leveraging our scaled, multi-brand, direct-to-consumer platform and proprietary fit expertise to acquire, retain and develop plus-size and extended plus-size customers across demographic segments, product categories and distribution channels. We pursue this objective through five interconnected strategic pillars. </w:t>
      </w:r>
    </w:p>
    <w:p>
      <w:pPr>
        <w:pStyle w:val="TextBody"/>
        <w:bidi w:val="0"/>
        <w:spacing w:before="240" w:after="0"/>
        <w:jc w:val="left"/>
        <w:rPr>
          <w:rFonts w:ascii="Times New Roman" w:hAnsi="Times New Roman"/>
          <w:sz w:val="20"/>
        </w:rPr>
      </w:pPr>
      <w:r>
        <w:rPr>
          <w:rFonts w:ascii="Times New Roman" w:hAnsi="Times New Roman"/>
          <w:i/>
          <w:sz w:val="20"/>
        </w:rPr>
        <w:t>Multi-Brand Platform and Customer Value Development.</w:t>
      </w:r>
      <w:r>
        <w:rPr>
          <w:rFonts w:ascii="Times New Roman" w:hAnsi="Times New Roman"/>
          <w:sz w:val="20"/>
        </w:rPr>
        <w:t xml:space="preserve"> The central element of our growth strategy is driving customers to purchase across multiple brands and product categories on our integrated platform. Our Universal Cart technology enables customers entering any one of our brand websites to cross-shop all of our brands within a single session and check out in a single transaction, generally receiving one consolidated shipment. We design and develop the majority of our apparel in-house, and substantially all of our product assortment is proprietary to or exclusive to our brands. We believe this product exclusivity, combined with our specialized fit expertise, reinforces customer loyalty and supports strong margins. This dynamic is most pronounced among our extended plus-size customers — those purchasing sizes 2X and above — who represent approximately 45% of our active customers but generate approximately 63% of our active customer sales. Because fit precision matters most at extended sizes, where generalist retailers offer the fewest alternatives, our proprietary fit blocks and grading expertise create a beneficial cycle: initial fit satisfaction drives repeat purchasing, which in turn drives multi-brand and multi-category adoption. Our customers who have purchased four or more times over their lifetime account for approximately 91% of active customer sales and exhibit meaningfully higher rebuy rates, order frequency and average order values. Multi-brand customers generate approximately 3.0 times the demand of single-brand customers, and customers who purchase across multiple categories — for example, apparel together with intimates, swimwear and footwear — generate meaningfully higher lifetime value than single-category purchasers. Today, approximately 21% of our customers shop across multiple brands, accounting for approximately 45% of our revenue. We believe increasing multi-brand and multi-category penetration across our active customer base represents our most significant organic growth opportunity. </w:t>
      </w:r>
    </w:p>
    <w:p>
      <w:pPr>
        <w:pStyle w:val="TextBody"/>
        <w:bidi w:val="0"/>
        <w:spacing w:before="240" w:after="0"/>
        <w:jc w:val="left"/>
        <w:rPr>
          <w:rFonts w:ascii="Times New Roman" w:hAnsi="Times New Roman"/>
          <w:sz w:val="20"/>
        </w:rPr>
      </w:pPr>
      <w:r>
        <w:rPr>
          <w:rFonts w:ascii="Times New Roman" w:hAnsi="Times New Roman"/>
          <w:i/>
          <w:sz w:val="20"/>
        </w:rPr>
        <w:t>Multi-Demographic Segmentation.</w:t>
      </w:r>
      <w:r>
        <w:rPr>
          <w:rFonts w:ascii="Times New Roman" w:hAnsi="Times New Roman"/>
          <w:sz w:val="20"/>
        </w:rPr>
        <w:t xml:space="preserve"> We organize our brand portfolio and digital environments around two primary demographic segments to address a combined estimated $143.6 billion TAM. Our “Classic Mall” digital platform — anchored by Woman Within, Roaman’s, Catherines, Jessica London, Ellos, KingSize, BrylaneHome and related marketplace sites — serves the Older Generation X and Baby Boomer demographic, which represents our largest and most established revenue base, with the highest customer retention and repeat purchase rates across our portfolio. Our “New Mall” digital marketplace — featuring Eloquii, CUUP, Avenue, Dia &amp; Co, June &amp; Vie, and SwimsuitsForAll — targets the Millennial and Younger Generation X demographic, where our current market share is lower but where we see significant opportunity to replicate the loyalty dynamics we have built in our Classic Mall customer base. Each environment is curated with distinct brand positioning, editorial content and marketing strategies tailored to the preferences and purchasing behaviors of its target customer. </w:t>
      </w:r>
    </w:p>
    <w:p>
      <w:pPr>
        <w:pStyle w:val="TextBody"/>
        <w:bidi w:val="0"/>
        <w:spacing w:before="240" w:after="0"/>
        <w:jc w:val="left"/>
        <w:rPr>
          <w:rFonts w:ascii="Times New Roman" w:hAnsi="Times New Roman"/>
          <w:sz w:val="20"/>
        </w:rPr>
      </w:pPr>
      <w:r>
        <w:rPr>
          <w:rFonts w:ascii="Times New Roman" w:hAnsi="Times New Roman"/>
          <w:i/>
          <w:sz w:val="20"/>
        </w:rPr>
        <w:t>Data-Driven Customer Acquisition, Retention and Lifetime Value Optimization.</w:t>
      </w:r>
      <w:r>
        <w:rPr>
          <w:rFonts w:ascii="Times New Roman" w:hAnsi="Times New Roman"/>
          <w:sz w:val="20"/>
        </w:rPr>
        <w:t xml:space="preserve"> As permitted by applicable law and our policies, we collect first-party data on our customers. Our analytics teams leverage this data to personalize marketing across digital and print channels, optimize acquisition spend in real time and build predictive models for customer lifetime value investment. A distinctive element of our marketing platform is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integration of data-driven print catalog marketing with our digital marketing channels. We design and produce branded catalogs in-house, and our analytics capabilities enable us to target catalog distribution to specific customer segments based on predicted response rates and lifetime value. This integrated print and digital model drives incremental customer engagement and website traffic at attractive returns, and is a capability that few direct-to-consumer operators maintain at similar scale. In fiscal year 2025, approximately 69% of newly acquired customers were profitable on their first order, our 12-month sales retention rate was approximately 60%, and approximately 76% of our active customers are multi-purchase buyers. We further support customer engagement through our private label and co-branded credit card programs and our membership rewards program, which collectively drive repeat purchase frequency and higher average order values. </w:t>
      </w:r>
    </w:p>
    <w:p>
      <w:pPr>
        <w:pStyle w:val="TextBody"/>
        <w:bidi w:val="0"/>
        <w:spacing w:before="240" w:after="0"/>
        <w:jc w:val="left"/>
        <w:rPr>
          <w:rFonts w:ascii="Times New Roman" w:hAnsi="Times New Roman"/>
          <w:sz w:val="20"/>
        </w:rPr>
      </w:pPr>
      <w:r>
        <w:rPr>
          <w:rFonts w:ascii="Times New Roman" w:hAnsi="Times New Roman"/>
          <w:i/>
          <w:sz w:val="20"/>
        </w:rPr>
        <w:t>Expanding Distribution Through Third-Party Marketplaces.</w:t>
      </w:r>
      <w:r>
        <w:rPr>
          <w:rFonts w:ascii="Times New Roman" w:hAnsi="Times New Roman"/>
          <w:sz w:val="20"/>
        </w:rPr>
        <w:t xml:space="preserve"> While our owned e-commerce websites remain our primary sales channel, we are actively expanding our presence on third-party digital marketplaces to extend customer reach and support new customer acquisition. We currently sell products through Amazon, Walmart, Target, Kohl’s, Nordstrom, Macy’s, eBay, and other marketplace partners, and during 2025 we added a number of new marketplace relationships. These channels allow us to introduce our brands to customers who may not be aware of our owned platforms. Once acquired, we seek to migrate marketplace customers into our direct ecosystem, where we can develop multi-brand, multi-category relationships and higher lifetime value over time. </w:t>
      </w:r>
    </w:p>
    <w:p>
      <w:pPr>
        <w:pStyle w:val="TextBody"/>
        <w:bidi w:val="0"/>
        <w:spacing w:before="240" w:after="0"/>
        <w:jc w:val="left"/>
        <w:rPr>
          <w:rFonts w:ascii="Times New Roman" w:hAnsi="Times New Roman"/>
          <w:sz w:val="20"/>
        </w:rPr>
      </w:pPr>
      <w:r>
        <w:rPr>
          <w:rFonts w:ascii="Times New Roman" w:hAnsi="Times New Roman"/>
          <w:i/>
          <w:sz w:val="20"/>
        </w:rPr>
        <w:t>Scalable Platform, Capital Efficiency and Disciplined Acquisition Strategy.</w:t>
      </w:r>
      <w:r>
        <w:rPr>
          <w:rFonts w:ascii="Times New Roman" w:hAnsi="Times New Roman"/>
          <w:sz w:val="20"/>
        </w:rPr>
        <w:t xml:space="preserve"> Our centralized, shared-services infrastructure — spanning sourcing, merchandising, technology, marketing, fulfillment and customer care — is designed to generate operating leverage as revenue scales and to serve as an integration accelerator for brand acquisitions. Since 2020, we have acquired five brands — Catherines, CUUP, Eloquii, Dia &amp; Co and Avenue — and integrated each onto our common platform with limited incremental fixed cost. As an online-focused platform business, we require relatively low capital expenditure. Our merchandise strategy reinforces this financial profile: approximately 80% of our product sales are generated from core, wardrobe replenishment-oriented styles that carry over across seasons, which reduces fashion risk, improves inventory visibility and supports margin stability. We intend to continue selectively pursuing tuck-in acquisitions of complementary inclusive-size brands that can benefit from our platform capabilities, provided such acquisitions meet our return requirements and can be funded from operating cash flow. We believe the combination of our fit expertise, our position in the extended plus-size segment — where we offer the widest size range among our peers — and our multi-brand platform creates meaningful barriers to entry that support durable customer relationships even as health and wellness trends, including the growing adoption of GLP-1 medications, continue to evolve consumer behavior and apparel purchasing patterns. </w:t>
      </w:r>
    </w:p>
    <w:p>
      <w:pPr>
        <w:pStyle w:val="TextBody"/>
        <w:bidi w:val="0"/>
        <w:spacing w:before="360" w:after="0"/>
        <w:jc w:val="left"/>
        <w:rPr>
          <w:rFonts w:ascii="Times New Roman" w:hAnsi="Times New Roman"/>
          <w:b/>
          <w:sz w:val="20"/>
        </w:rPr>
      </w:pPr>
      <w:r>
        <w:rPr>
          <w:rFonts w:ascii="Times New Roman" w:hAnsi="Times New Roman"/>
          <w:b/>
          <w:sz w:val="20"/>
        </w:rPr>
        <w:t xml:space="preserve">Merchandising and Inventory </w:t>
      </w:r>
    </w:p>
    <w:p>
      <w:pPr>
        <w:pStyle w:val="TextBody"/>
        <w:bidi w:val="0"/>
        <w:spacing w:before="120" w:after="0"/>
        <w:jc w:val="left"/>
        <w:rPr>
          <w:rFonts w:ascii="Times New Roman" w:hAnsi="Times New Roman"/>
          <w:sz w:val="20"/>
        </w:rPr>
      </w:pPr>
      <w:r>
        <w:rPr>
          <w:rFonts w:ascii="Times New Roman" w:hAnsi="Times New Roman"/>
          <w:sz w:val="20"/>
        </w:rPr>
        <w:t xml:space="preserve">Approximately 56% of our net sales are women’s apparel with intimates 15%, men’s 14%, shoes 6%, swim 5% and home décor 5%, making up the balance. We focus primarily on providing original products, particularly in apparel where the majority of our assortment is exclusive to our brands. We augment our selection with certain third-party branded intimates, footwear and menswear that resonate with our core customer. </w:t>
      </w:r>
    </w:p>
    <w:p>
      <w:pPr>
        <w:pStyle w:val="TextBody"/>
        <w:bidi w:val="0"/>
        <w:spacing w:before="240" w:after="0"/>
        <w:jc w:val="left"/>
        <w:rPr>
          <w:rFonts w:ascii="Times New Roman" w:hAnsi="Times New Roman"/>
          <w:sz w:val="20"/>
        </w:rPr>
      </w:pPr>
      <w:r>
        <w:rPr>
          <w:rFonts w:ascii="Times New Roman" w:hAnsi="Times New Roman"/>
          <w:sz w:val="20"/>
        </w:rPr>
        <w:t xml:space="preserve">Our competitive differentiation begins with fit. Designing for extended sizes requires specialized patternmaking, grading, and fabric selection expertise that differs meaningfully from straight-size apparel design. Our technical design teams develop proprietary fit blocks across multiple body shapes and size ranges, enabling us to deliver consistency and comfort at scale. We believe this technical expertise — developed over decades — represents a meaningful competitive advantage versus retailers that simply extend straight-size patterns. Our product development capabilities extend beyond fit to include category-specific innovation across our assortment. In intimates, we engineer proprietary comfort and support features designed specifically for extended sizes. In footwear, we develop products with extended widths and comfort technologies not widely available from other retailers. Across our apparel brands, we incorporate performance fabrics and functional design elements — such as stretch, moisture-wicking and comfort waistband technologies — that address the specific needs of our customer. We believe this depth of product innovation reinforces the loyalty of our core customer base and supports category expansion over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merchandising strategy focuses on customer satisfaction through fit, style and quality, yielding FullBeauty a strong 48% repurchase rate in 2025 (i.e., the percentage of customers who transacted on our platform in the prior fiscal year and in the current fiscal year). Our merchandise assortments are offered across a broad size range of plus and extended plus-sizes, and many of our brands complement our apparel offerings with accessories such as jewelry, handbags and footwear for a coordinated look. Products range across casual, social, and vacation wear, as well as technical categories including lingerie, swimwear, and footwear. </w:t>
      </w:r>
    </w:p>
    <w:p>
      <w:pPr>
        <w:pStyle w:val="TextBody"/>
        <w:bidi w:val="0"/>
        <w:spacing w:before="240" w:after="0"/>
        <w:jc w:val="left"/>
        <w:rPr>
          <w:rFonts w:ascii="Times New Roman" w:hAnsi="Times New Roman"/>
          <w:sz w:val="20"/>
        </w:rPr>
      </w:pPr>
      <w:r>
        <w:rPr>
          <w:rFonts w:ascii="Times New Roman" w:hAnsi="Times New Roman"/>
          <w:sz w:val="20"/>
        </w:rPr>
        <w:t xml:space="preserve">We design and develop the majority of our apparel in-house. Our merchandising teams build an overall vision that guides the design and development of our seasonal merchandise assortment, drawing on their experience and consistent study of prevailing market trends. Once our merchandise assortment is selected, our inventory planning teams determine the quantities of each item to purchase in order to meet anticipated demand. To do so, the inventory planning teams analyze information such as historical sales, planned merchandise presentation, and sales projections. We monitor inventory levels on an ongoing basis and use markdowns to clear merchandise as needed. While most inventories are cleared through our own sales channels, certain residual inventory may be liquidated through third-party marketplaces and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various brands within FullBeauty generally incorporate on-site photography and real-life settings, coupled with related editorial content describing the merchandise and depicting situations in which it may be used. Our websites serve as integrated storefronts that combine product listings with editorial content to support and enhance the customer shopping experience. </w:t>
      </w:r>
    </w:p>
    <w:p>
      <w:pPr>
        <w:pStyle w:val="TextBody"/>
        <w:bidi w:val="0"/>
        <w:spacing w:before="360" w:after="0"/>
        <w:jc w:val="left"/>
        <w:rPr>
          <w:rFonts w:ascii="Times New Roman" w:hAnsi="Times New Roman"/>
          <w:b/>
          <w:sz w:val="20"/>
        </w:rPr>
      </w:pPr>
      <w:r>
        <w:rPr>
          <w:rFonts w:ascii="Times New Roman" w:hAnsi="Times New Roman"/>
          <w:b/>
          <w:sz w:val="20"/>
        </w:rPr>
        <w:t xml:space="preserve">Sourcing </w:t>
      </w:r>
    </w:p>
    <w:p>
      <w:pPr>
        <w:pStyle w:val="TextBody"/>
        <w:bidi w:val="0"/>
        <w:spacing w:before="120" w:after="0"/>
        <w:jc w:val="left"/>
        <w:rPr>
          <w:rFonts w:ascii="Times New Roman" w:hAnsi="Times New Roman"/>
          <w:sz w:val="20"/>
        </w:rPr>
      </w:pPr>
      <w:r>
        <w:rPr>
          <w:rFonts w:ascii="Times New Roman" w:hAnsi="Times New Roman"/>
          <w:sz w:val="20"/>
        </w:rPr>
        <w:t>We procure our merchandise globally from a balanced and diversified manufacturing network. We seek to manufacture our merchandise with vendors whom we believe can deliver the best quality, price and delivery terms. We maintain policies applicable to our vendors that promote ethical business practices and we engage third-party compliance auditors who periodically visit and monitor the operations of our vendors. We have a sourcing team that manages merchandise procurement and production management, both directly and through the utilization of agents in select countries. In 2025, our apparel sourcing was geographically balanced with 49% from Pakistan, Bangladesh and India, 36% from China, 9% from Africa, and 6% from other countries in Asia. We maintain policies applicable to our vendors that promote ethical business practices and we engage third-party compliance auditors who periodically visit and monitor the operations of our vendors. See “</w:t>
      </w:r>
      <w:r>
        <w:rPr>
          <w:rFonts w:ascii="Times New Roman" w:hAnsi="Times New Roman"/>
          <w:i/>
          <w:sz w:val="20"/>
        </w:rPr>
        <w:t>Risks Related to FBB—Our business is subject to risks associated with global sourcing and manufacturing</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Sustainability and Social Responsibility </w:t>
      </w:r>
    </w:p>
    <w:p>
      <w:pPr>
        <w:pStyle w:val="TextBody"/>
        <w:bidi w:val="0"/>
        <w:spacing w:before="120" w:after="0"/>
        <w:jc w:val="left"/>
        <w:rPr>
          <w:rFonts w:ascii="Times New Roman" w:hAnsi="Times New Roman"/>
          <w:sz w:val="20"/>
        </w:rPr>
      </w:pPr>
      <w:r>
        <w:rPr>
          <w:rFonts w:ascii="Times New Roman" w:hAnsi="Times New Roman"/>
          <w:sz w:val="20"/>
        </w:rPr>
        <w:t xml:space="preserve">As a driver of long-term business resiliency and growth, we are committed to conducting our business in an environmentally and socially responsible manner. We maintain vendor compliance policies that promote ethical business practices, fair labor standards and safe working conditions across our supply chain, and we engage third-party compliance auditors to periodically monitor vendor operations. We continue to evaluate opportunities to reduce waste and improve sustainability across our packaging, logistics and fulfillment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Fulfillment and Customer Care </w:t>
      </w:r>
    </w:p>
    <w:p>
      <w:pPr>
        <w:pStyle w:val="TextBody"/>
        <w:bidi w:val="0"/>
        <w:spacing w:before="120" w:after="0"/>
        <w:jc w:val="left"/>
        <w:rPr>
          <w:rFonts w:ascii="Times New Roman" w:hAnsi="Times New Roman"/>
          <w:sz w:val="20"/>
        </w:rPr>
      </w:pPr>
      <w:r>
        <w:rPr>
          <w:rFonts w:ascii="Times New Roman" w:hAnsi="Times New Roman"/>
          <w:sz w:val="20"/>
        </w:rPr>
        <w:t xml:space="preserve">Inventory and merchandise fulfillment are managed through our distribution facilities in Indianapolis and Plainfield, Indiana. We contract with third party carriers to ensure the reliable and timely delivery of products to our customers and processing of returns to us. We maintain customer service operations available 24 hours a day, seven days a week (closed on Christmas Day), through our FullBeauty service center located in El Paso, Texas, in combination with customer service operations outsourced to third- party agents, through which we handle inquiries on delivery, order status and product returns.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Technology and E-Commerce Platform </w:t>
      </w:r>
    </w:p>
    <w:p>
      <w:pPr>
        <w:pStyle w:val="TextBody"/>
        <w:bidi w:val="0"/>
        <w:spacing w:before="120" w:after="0"/>
        <w:jc w:val="left"/>
        <w:rPr>
          <w:rFonts w:ascii="Times New Roman" w:hAnsi="Times New Roman"/>
          <w:sz w:val="20"/>
        </w:rPr>
      </w:pPr>
      <w:r>
        <w:rPr>
          <w:rFonts w:ascii="Times New Roman" w:hAnsi="Times New Roman"/>
          <w:sz w:val="20"/>
        </w:rPr>
        <w:t xml:space="preserve">Our technology platform is foundational to our business, serving as the primary storefront, merchandising environment and customer engagement channel across all of our brands. We operate proprietary e-commerce websites for each of our brands, optimized for desktop, mobile and tablet. Our platform integrates merchandising, inventory visibility, order management and customer data across brands, enabling real-time cross-brand shopping, centralized fulfillment and unified customer analytics. Our proprietary Universal Cart technology, described further in ‘— Our Strategy,’ provides the cross-brand shopping and unified checkout capabilities that underpin our multi-brand platform model. </w:t>
      </w:r>
    </w:p>
    <w:p>
      <w:pPr>
        <w:pStyle w:val="TextBody"/>
        <w:bidi w:val="0"/>
        <w:spacing w:before="240" w:after="0"/>
        <w:jc w:val="left"/>
        <w:rPr>
          <w:rFonts w:ascii="Times New Roman" w:hAnsi="Times New Roman"/>
          <w:sz w:val="20"/>
        </w:rPr>
      </w:pPr>
      <w:r>
        <w:rPr>
          <w:rFonts w:ascii="Times New Roman" w:hAnsi="Times New Roman"/>
          <w:sz w:val="20"/>
        </w:rPr>
        <w:t>We invest in our technology capabilities on an ongoing basis to improve the customer experience, increase conversion rates and enhance operational efficiency. Our current technology initiatives include the application of machine learning and generative artificial intelligence across marketing, website personalization, CRM investment modeling and product development. We maintain information security programs designed to protect the confidentiality and integrity of our systems and data, including customer personal information. For additional information on cybersecurity and data privacy risks, see “</w:t>
      </w:r>
      <w:r>
        <w:rPr>
          <w:rFonts w:ascii="Times New Roman" w:hAnsi="Times New Roman"/>
          <w:i/>
          <w:sz w:val="20"/>
        </w:rPr>
        <w:t>Risks Related to FBB—System interruptions that impair customer access to our sites or other performance failures in our technology infrastructure could damage our business, reputation and brand and substantially harm our business and results of operations</w:t>
      </w:r>
      <w:r>
        <w:rPr>
          <w:rFonts w:ascii="Times New Roman" w:hAnsi="Times New Roman"/>
          <w:sz w:val="20"/>
        </w:rPr>
        <w:t>,” “</w:t>
      </w:r>
      <w:r>
        <w:rPr>
          <w:rFonts w:ascii="Times New Roman" w:hAnsi="Times New Roman"/>
          <w:i/>
          <w:sz w:val="20"/>
        </w:rPr>
        <w:t>Risks Related to FBB—Unauthorized disclosure of sensitive or confidential information, whether through a breach of our computer system or otherwise, could severely hurt our business</w:t>
      </w:r>
      <w:r>
        <w:rPr>
          <w:rFonts w:ascii="Times New Roman" w:hAnsi="Times New Roman"/>
          <w:sz w:val="20"/>
        </w:rPr>
        <w:t>” and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Marketing and Advertising </w:t>
      </w:r>
    </w:p>
    <w:p>
      <w:pPr>
        <w:pStyle w:val="TextBody"/>
        <w:bidi w:val="0"/>
        <w:spacing w:before="120" w:after="0"/>
        <w:jc w:val="left"/>
        <w:rPr>
          <w:rFonts w:ascii="Times New Roman" w:hAnsi="Times New Roman"/>
          <w:sz w:val="20"/>
        </w:rPr>
      </w:pPr>
      <w:r>
        <w:rPr>
          <w:rFonts w:ascii="Times New Roman" w:hAnsi="Times New Roman"/>
          <w:sz w:val="20"/>
        </w:rPr>
        <w:t>Our marketing activities focus on customer retention, reactivation and acquisition through an integrated set of digital and print marketing channels. Our digital marketing channels include triggered and promotional emails, social media, paid and natural search, consumer shopping engines, and third-party online marketplaces. Our print marketing channels include catalogs, direct mail, package inserts and space media. We also invest in brand awareness and community-building initiatives, including social media content across platforms such as Instagram and TikTok, influencer and content creator partnerships, public relations campaigns, and brand collaborations. These efforts are particularly important for our newer, fashion-forward brands, where cultural relevance and community engagement drive customer acquisition and brand affinity. Our branded catalogs are designed and produced in-house, enabling each brand to control its production process and reducing lead time. New editions are mailed to targeted customer segments multiple times each year and vary by season. We maintain an extensive proprietary database of customer demographics and purchasing history, which we use to optimize the frequency, timing and content of marketing communications across channels. See “—</w:t>
      </w:r>
      <w:r>
        <w:rPr>
          <w:rFonts w:ascii="Times New Roman" w:hAnsi="Times New Roman"/>
          <w:i/>
          <w:sz w:val="20"/>
        </w:rPr>
        <w:t>Our Strategy</w:t>
      </w:r>
      <w:r>
        <w:rPr>
          <w:rFonts w:ascii="Times New Roman" w:hAnsi="Times New Roman"/>
          <w:sz w:val="20"/>
        </w:rPr>
        <w:t xml:space="preserve">” for additional detail on our data-driven marketing approach. In 2025, we continued our focus on customers who have purchased from us within the last 12 months (‘Active Customers’). Active Customers totaled 5.1 million in 2025, and during 2025 through our print and digital marketing, we acquired 1.0 million customers, 91% of whom were via our online order channel and 82% of whom were via our digital marketing programs. Our multi-channel marketing is designed to drive our customers to engage and do business with us at their convenience through multiple order channels including our websites (optimized for desktop, mobile and tablet), phone and mail. In 2025, approximately 83% of our demand was online orders and 17% was phone/mail orders.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maintain two primary loyalty programs – our long-standing private label credit card program in which 18.8% of our customers participate, generating 27.8% of our net sales, our co-branded credit card program, added to our portfolio in 2025, in which &lt;1% of our customers participate, as well as our membership rewards program, launched in 2020, in which 11.8% of our customers participate, generating 8.6% of our net sales. Our private label credit card and co-brand credit card programs are each managed through a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primarily in the plus-size and extended plus-size apparel market and compete against a range of retailers across multiple channels. Our principal competitors include plus-size specialty retailers such as Torrid and Lane Bryant, department stores and mass merchants such as Macy’s, Kohl’s, JCPenney and Target, online marketplaces such as Amazon, Walmart and Shein, and digitally native direct-to-consumer brands. We believe that we compete — and differentiate ourselves — primarily on the basis of size range breadth, proprietary fit expertise, product exclusivity, overall shopping experience and brand recognition. We believe the plus-size specialty segment remains fragmented, and that our scaled multi-brand platform, combined with the widest size range among our peers, positions us as a category leader within this segment.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We own and lease office and warehouse space throughout the United States. We believe that our facilities are sufficient to meet our projected growth over the next several years. The following table sets forth our principal facilities as of March 31, 2026 and the approximate square footage of each facility.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01"/>
        <w:gridCol w:w="413"/>
        <w:gridCol w:w="2467"/>
        <w:gridCol w:w="413"/>
        <w:gridCol w:w="974"/>
        <w:gridCol w:w="413"/>
        <w:gridCol w:w="185"/>
        <w:gridCol w:w="2475"/>
        <w:gridCol w:w="64"/>
      </w:tblGrid>
      <w:tr>
        <w:trPr/>
        <w:tc>
          <w:tcPr>
            <w:tcW w:w="2801"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w:t>
            </w:r>
          </w:p>
        </w:tc>
        <w:tc>
          <w:tcPr>
            <w:tcW w:w="413" w:type="dxa"/>
            <w:tcBorders/>
            <w:vAlign w:val="bottom"/>
          </w:tcPr>
          <w:p>
            <w:pPr>
              <w:pStyle w:val="TableContents"/>
              <w:bidi w:val="0"/>
              <w:spacing w:before="0" w:after="283"/>
              <w:jc w:val="left"/>
              <w:rPr/>
            </w:pPr>
            <w:r>
              <w:rPr/>
              <w:t>  </w:t>
            </w:r>
          </w:p>
        </w:tc>
        <w:tc>
          <w:tcPr>
            <w:tcW w:w="2467" w:type="dxa"/>
            <w:tcBorders>
              <w:bottom w:val="single" w:sz="8" w:space="0" w:color="000000"/>
            </w:tcBorders>
            <w:tcMar>
              <w:bottom w:w="28" w:type="dxa"/>
            </w:tcMar>
            <w:vAlign w:val="bottom"/>
          </w:tcPr>
          <w:p>
            <w:pPr>
              <w:pStyle w:val="TableContents"/>
              <w:bidi w:val="0"/>
              <w:spacing w:before="0" w:after="283"/>
              <w:jc w:val="center"/>
              <w:rPr>
                <w:b/>
              </w:rPr>
            </w:pPr>
            <w:r>
              <w:rPr>
                <w:b/>
              </w:rPr>
              <w:t>Primary Use</w:t>
            </w:r>
          </w:p>
        </w:tc>
        <w:tc>
          <w:tcPr>
            <w:tcW w:w="413" w:type="dxa"/>
            <w:tcBorders/>
            <w:vAlign w:val="bottom"/>
          </w:tcPr>
          <w:p>
            <w:pPr>
              <w:pStyle w:val="TableContents"/>
              <w:bidi w:val="0"/>
              <w:spacing w:before="0" w:after="283"/>
              <w:jc w:val="left"/>
              <w:rPr/>
            </w:pPr>
            <w:r>
              <w:rPr/>
              <w:t>  </w:t>
            </w:r>
          </w:p>
        </w:tc>
        <w:tc>
          <w:tcPr>
            <w:tcW w:w="974" w:type="dxa"/>
            <w:tcBorders>
              <w:bottom w:val="single" w:sz="8" w:space="0" w:color="000000"/>
            </w:tcBorders>
            <w:tcMar>
              <w:bottom w:w="28" w:type="dxa"/>
            </w:tcMar>
            <w:vAlign w:val="bottom"/>
          </w:tcPr>
          <w:p>
            <w:pPr>
              <w:pStyle w:val="TableContents"/>
              <w:bidi w:val="0"/>
              <w:spacing w:before="0" w:after="283"/>
              <w:jc w:val="center"/>
              <w:rPr>
                <w:b/>
              </w:rPr>
            </w:pPr>
            <w:r>
              <w:rPr>
                <w:b/>
              </w:rPr>
              <w:t>Leased/Owned</w:t>
            </w:r>
          </w:p>
        </w:tc>
        <w:tc>
          <w:tcPr>
            <w:tcW w:w="413" w:type="dxa"/>
            <w:tcBorders/>
            <w:vAlign w:val="bottom"/>
          </w:tcPr>
          <w:p>
            <w:pPr>
              <w:pStyle w:val="TableContents"/>
              <w:bidi w:val="0"/>
              <w:spacing w:before="0" w:after="283"/>
              <w:jc w:val="left"/>
              <w:rPr/>
            </w:pPr>
            <w:r>
              <w:rPr/>
              <w:t>  </w:t>
            </w:r>
          </w:p>
        </w:tc>
        <w:tc>
          <w:tcPr>
            <w:tcW w:w="2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Approximate Square Feet</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York, New York</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Corporate Headquarters</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157,000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Indianapolis, Indiana</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Logistics and Distribution</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Owned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750,000</w:t>
            </w:r>
          </w:p>
        </w:tc>
        <w:tc>
          <w:tcPr>
            <w:tcW w:w="64" w:type="dxa"/>
            <w:tcBorders/>
            <w:vAlign w:val="bottom"/>
          </w:tcPr>
          <w:p>
            <w:pPr>
              <w:pStyle w:val="TableContents"/>
              <w:bidi w:val="0"/>
              <w:spacing w:before="0" w:after="283"/>
              <w:jc w:val="left"/>
              <w:rPr/>
            </w:pPr>
            <w:r>
              <w:rPr/>
              <w:t> </w:t>
            </w:r>
          </w:p>
        </w:tc>
      </w:tr>
      <w:tr>
        <w:trPr/>
        <w:tc>
          <w:tcPr>
            <w:tcW w:w="2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Plainfield, Indiana</w:t>
            </w:r>
          </w:p>
        </w:tc>
        <w:tc>
          <w:tcPr>
            <w:tcW w:w="41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center"/>
              <w:rPr/>
            </w:pPr>
            <w:r>
              <w:rPr/>
              <w:t>Warehouse</w:t>
            </w:r>
          </w:p>
        </w:tc>
        <w:tc>
          <w:tcPr>
            <w:tcW w:w="413"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center"/>
              <w:rPr/>
            </w:pPr>
            <w:r>
              <w:rPr/>
              <w:t>Leased</w:t>
            </w:r>
          </w:p>
        </w:tc>
        <w:tc>
          <w:tcPr>
            <w:tcW w:w="41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475" w:type="dxa"/>
            <w:tcBorders/>
            <w:shd w:fill="CCEEFF" w:val="clear"/>
            <w:vAlign w:val="bottom"/>
          </w:tcPr>
          <w:p>
            <w:pPr>
              <w:pStyle w:val="TableContents"/>
              <w:bidi w:val="0"/>
              <w:spacing w:before="0" w:after="283"/>
              <w:jc w:val="right"/>
              <w:rPr/>
            </w:pPr>
            <w:r>
              <w:rPr/>
              <w:t>740,000</w:t>
            </w:r>
          </w:p>
        </w:tc>
        <w:tc>
          <w:tcPr>
            <w:tcW w:w="64" w:type="dxa"/>
            <w:tcBorders/>
            <w:shd w:fill="CCEEFF" w:val="clear"/>
            <w:vAlign w:val="bottom"/>
          </w:tcPr>
          <w:p>
            <w:pPr>
              <w:pStyle w:val="TableContents"/>
              <w:bidi w:val="0"/>
              <w:spacing w:before="0" w:after="283"/>
              <w:jc w:val="left"/>
              <w:rPr/>
            </w:pPr>
            <w:r>
              <w:rPr/>
              <w:t> </w:t>
            </w:r>
          </w:p>
        </w:tc>
      </w:tr>
      <w:tr>
        <w:trPr/>
        <w:tc>
          <w:tcPr>
            <w:tcW w:w="2801" w:type="dxa"/>
            <w:tcBorders/>
          </w:tcPr>
          <w:p>
            <w:pPr>
              <w:pStyle w:val="TableContents"/>
              <w:bidi w:val="0"/>
              <w:spacing w:before="0" w:after="0"/>
              <w:jc w:val="left"/>
              <w:rPr>
                <w:rFonts w:ascii="Times New Roman" w:hAnsi="Times New Roman"/>
                <w:sz w:val="20"/>
              </w:rPr>
            </w:pPr>
            <w:r>
              <w:rPr>
                <w:rFonts w:ascii="Times New Roman" w:hAnsi="Times New Roman"/>
                <w:sz w:val="20"/>
              </w:rPr>
              <w:t>El Paso, Texas</w:t>
            </w:r>
          </w:p>
        </w:tc>
        <w:tc>
          <w:tcPr>
            <w:tcW w:w="41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center"/>
              <w:rPr/>
            </w:pPr>
            <w:r>
              <w:rPr/>
              <w:t>Customer Care Center</w:t>
            </w:r>
          </w:p>
        </w:tc>
        <w:tc>
          <w:tcPr>
            <w:tcW w:w="413"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center"/>
              <w:rPr/>
            </w:pPr>
            <w:r>
              <w:rPr/>
              <w:t>Leased</w:t>
            </w:r>
          </w:p>
        </w:tc>
        <w:tc>
          <w:tcPr>
            <w:tcW w:w="41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475" w:type="dxa"/>
            <w:tcBorders/>
            <w:vAlign w:val="bottom"/>
          </w:tcPr>
          <w:p>
            <w:pPr>
              <w:pStyle w:val="TableContents"/>
              <w:bidi w:val="0"/>
              <w:spacing w:before="0" w:after="283"/>
              <w:jc w:val="right"/>
              <w:rPr/>
            </w:pPr>
            <w:r>
              <w:rPr/>
              <w:t>50,000</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own several service marks and trademarks relating to our businesses, including, among many others, FullBeauty®, Woman Within®, Roaman’s®, Catherines®, Jessica London®, Ellos®, Joe Browns®, Avenue®, SwimsuitsForAll®, KingSize®, Eloquii®, CUUP®, Dia Shop, Dia &amp; Co®, BrylaneHome®, June &amp; Vie®, OneStopPlus®, ShoesforAll®, IntimatesforAll®, ActiveforAll® and FullBeauty Outlet®. Our intellectual property, including any trademarks, copyrights, domain names, patents, trade dress, trade secrets and proprietary technologies, is an important part of our business. To protect our intellectual property, we rely on a combination of laws and regulations, as well as contractual restrictions and meaningful enforcement practices. We devote resources to the establishment and protection of our trademarks and service marks in the United States and certain foreign jurisdictions, and actively monitor for potential infringement. Our policy is to pursue registration of our trademarks and to take steps to protect against infringement by third parties. We also rely on trade secret laws to protect our proprietary technology and other intellectual property. To further protect our intellectual property, we enter into confidentiality and assignment of invention agreements with employees and certain contractors and confidentiality agreements with other third parties, such as suppliers. </w:t>
      </w:r>
    </w:p>
    <w:p>
      <w:pPr>
        <w:pStyle w:val="TextBody"/>
        <w:bidi w:val="0"/>
        <w:spacing w:before="360" w:after="0"/>
        <w:jc w:val="left"/>
        <w:rPr>
          <w:rFonts w:ascii="Times New Roman" w:hAnsi="Times New Roman"/>
          <w:b/>
          <w:sz w:val="20"/>
        </w:rPr>
      </w:pPr>
      <w:r>
        <w:rPr>
          <w:rFonts w:ascii="Times New Roman" w:hAnsi="Times New Roman"/>
          <w:b/>
          <w:sz w:val="20"/>
        </w:rPr>
        <w:t xml:space="preserve">People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employed 987 team members. Our New York headquarters are home to approximately 393 associates, while our Indianapolis and El Paso sites have approximately 594 associates combined. Some full-time employees at our Indiana facilities are covered by collective bargaining agreements, and we consider our relationship with our employees, including our unionized employees, to be good. </w:t>
      </w:r>
    </w:p>
    <w:p>
      <w:pPr>
        <w:pStyle w:val="TextBody"/>
        <w:bidi w:val="0"/>
        <w:spacing w:before="240" w:after="0"/>
        <w:jc w:val="left"/>
        <w:rPr>
          <w:rFonts w:ascii="Times New Roman" w:hAnsi="Times New Roman"/>
          <w:sz w:val="20"/>
        </w:rPr>
      </w:pPr>
      <w:r>
        <w:rPr>
          <w:rFonts w:ascii="Times New Roman" w:hAnsi="Times New Roman"/>
          <w:sz w:val="20"/>
        </w:rPr>
        <w:t xml:space="preserve">Our associates are central to our ability to execute our multi-brand, direct-to-consumer strategy. We invest in our workforce through competitive compensation and benefits programs, professional development opportunities, and a culture that emphasizes collaboration, accountability and customer focus. Our integrated platform model enables associates across brands to develop expertise in multiple aspects of our business, including merchandising, marketing, technology and fulfillment. As a company dedicated to serving customers of all sizes, ages, ethnicities and styles, we seek to foster a workforce culture that reflects the diversity of the communities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We believe our mission-driven focus on serving underserved customers fosters strong associate engagement, and we seek to maintain an inclusive workplace environment that attracts and retains the talent necessary to support our growth.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and Legislation </w:t>
      </w:r>
    </w:p>
    <w:p>
      <w:pPr>
        <w:pStyle w:val="TextBody"/>
        <w:bidi w:val="0"/>
        <w:spacing w:before="120" w:after="0"/>
        <w:jc w:val="left"/>
        <w:rPr>
          <w:rFonts w:ascii="Times New Roman" w:hAnsi="Times New Roman"/>
          <w:sz w:val="20"/>
        </w:rPr>
      </w:pPr>
      <w:r>
        <w:rPr>
          <w:rFonts w:ascii="Times New Roman" w:hAnsi="Times New Roman"/>
          <w:sz w:val="20"/>
        </w:rPr>
        <w:t xml:space="preserve">We are required to comply with numerous laws and regulations at the state, federal and international levels. For instance, we are subject to labor and employment, tax, environmental, data privacy and anti-bribery laws. We are also subject to regulations, trade laws and customs, truth-in-advertising, consumer protection and zoning and occupancy laws and ordinances that regulate retailers generally and/or govern the importation, promotion and sale of merchandise and the operation of warehouse facilities. We monitor changes in these laws and believe that we are in material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A substantial portion of our products are manufactured outside the United States. These products are imported and are subject to U.S. customs laws, which impose tariffs as well as import quota restrictions for textiles and apparel. The tariff environment for imported apparel has evolved significantly in recent periods, including the imposition of additional tariffs on products sourced from certain countries and retaliatory trade measures. We maintain a geographically diversified sourcing network and actively monitor tariff developments to mitigate the impact of trade policy changes on our cost structure. For additional information, see “</w:t>
      </w:r>
      <w:r>
        <w:rPr>
          <w:rFonts w:ascii="Times New Roman" w:hAnsi="Times New Roman"/>
          <w:i/>
          <w:sz w:val="20"/>
        </w:rPr>
        <w:t>Risks Related to FBB—Additional tariffs on product imported to the United States, retaliatory trade actions taken by other countries, and resulting trade wars have had, and may continue to have, a material adverse impact on our business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Given our online-focused operating model, data privacy and information security are core operational priorities. We collect, process, store and use personal information about our customers, employees and other third parties, and our business is subject to an evolving landscape of federal, state and international laws, regulations and industry standards governing the collection, use, transmission and protection of such data. These include, among others, the California Consumer Privacy Act, as amended by the California Privacy Rights Act, as well as comprehensive data privacy statutes enacted in a growing number of other states and data breach notification statues enacted in all 50 states. We are also subject to Federal Trade Commission and state attorney general oversight of our consumer data practices. We maintain privacy and information security programs designed to comply with applicable legal requirements and industry standards, and we monitor regulatory developments to adapt our practices as the legal landscape continues to evolve. For additional information, see “</w:t>
      </w:r>
      <w:r>
        <w:rPr>
          <w:rFonts w:ascii="Times New Roman" w:hAnsi="Times New Roman"/>
          <w:i/>
          <w:sz w:val="20"/>
        </w:rPr>
        <w:t>Risks Related to FBB—Failure to comply with federal and state laws and regulations and industry standards relating to privacy, data protection, advertising and consumer protection, or the expansion of current or the enactment of new laws, regulations or industry standards relating to privacy, data protection, advertising and consumer protection, could adversely affect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From time to time, we may be subject to litigation claims through the ordinary course of business, including matters relating to employment, consumer protection, privacy and data security, advertising and promotional practices, vendor relationships and intellectual property. We do not believe that any such matters, individually or in the aggregate, are expected to have a material adverse effect on our business, financial condition or results of operations; however, the outcome of legal proceedings is inherently uncertain. For additional information, see “</w:t>
      </w:r>
      <w:r>
        <w:rPr>
          <w:rFonts w:ascii="Times New Roman" w:hAnsi="Times New Roman"/>
          <w:i/>
          <w:sz w:val="20"/>
        </w:rPr>
        <w:t>Notes to Consolidated Financial Statements – Commitments and Contingencies.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9" w:name="tx76201_76"/>
      <w:bookmarkEnd w:id="79"/>
      <w:r>
        <w:rPr>
          <w:rFonts w:ascii="Times New Roman" w:hAnsi="Times New Roman"/>
          <w:b/>
          <w:sz w:val="20"/>
        </w:rPr>
        <w:t xml:space="preserve">DXL’S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For DXL’s management’s discussion and analysis of financial condition and results of operations, please refer to the sections entitled “</w:t>
      </w:r>
      <w:r>
        <w:rPr>
          <w:rFonts w:ascii="Times New Roman" w:hAnsi="Times New Roman"/>
          <w:i/>
          <w:sz w:val="20"/>
        </w:rPr>
        <w:t>Item 7. Management’s Discussion and Analysis of Financial Condition and Results of Operations</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2. Management’s Discussion and Analysis of Financial Condition and Results of Operations</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0" w:name="tx76201_77"/>
      <w:bookmarkEnd w:id="80"/>
      <w:r>
        <w:rPr>
          <w:rFonts w:ascii="Times New Roman" w:hAnsi="Times New Roman"/>
          <w:b/>
          <w:sz w:val="20"/>
        </w:rPr>
        <w:t xml:space="preserve">QUANTITATIVE AND QUALITATIVE DISCLOSURES ABOUT DXL’S MARKET RISK </w:t>
      </w:r>
    </w:p>
    <w:p>
      <w:pPr>
        <w:pStyle w:val="TextBody"/>
        <w:bidi w:val="0"/>
        <w:spacing w:before="240" w:after="0"/>
        <w:jc w:val="left"/>
        <w:rPr>
          <w:rFonts w:ascii="Times New Roman" w:hAnsi="Times New Roman"/>
          <w:sz w:val="20"/>
        </w:rPr>
      </w:pPr>
      <w:r>
        <w:rPr>
          <w:rFonts w:ascii="Times New Roman" w:hAnsi="Times New Roman"/>
          <w:sz w:val="20"/>
        </w:rPr>
        <w:t>For quantitative and qualitative disclosures about DXL’s market risk, please refer to the sections entitled “</w:t>
      </w:r>
      <w:r>
        <w:rPr>
          <w:rFonts w:ascii="Times New Roman" w:hAnsi="Times New Roman"/>
          <w:i/>
          <w:sz w:val="20"/>
        </w:rPr>
        <w:t>Item</w:t>
      </w:r>
      <w:r>
        <w:rPr>
          <w:rFonts w:ascii="Times New Roman" w:hAnsi="Times New Roman"/>
          <w:sz w:val="20"/>
        </w:rPr>
        <w:t> </w:t>
      </w:r>
      <w:r>
        <w:rPr>
          <w:rFonts w:ascii="Times New Roman" w:hAnsi="Times New Roman"/>
          <w:i/>
          <w:sz w:val="20"/>
        </w:rPr>
        <w:t>7A. Quantitative and Qualitative Disclosures About Market Risk</w:t>
      </w:r>
      <w:r>
        <w:rPr>
          <w:rFonts w:ascii="Times New Roman" w:hAnsi="Times New Roman"/>
          <w:sz w:val="20"/>
        </w:rPr>
        <w:t>” set forth in DXL’s Annual Report on Form 10-K for the fiscal year ended January 31, 2026 as filed with the SEC on March 19, 2026 and “</w:t>
      </w:r>
      <w:r>
        <w:rPr>
          <w:rFonts w:ascii="Times New Roman" w:hAnsi="Times New Roman"/>
          <w:i/>
          <w:sz w:val="20"/>
        </w:rPr>
        <w:t>Item 3. Quantitative and Qualitative Disclosures About Market Risk</w:t>
      </w:r>
      <w:r>
        <w:rPr>
          <w:rFonts w:ascii="Times New Roman" w:hAnsi="Times New Roman"/>
          <w:sz w:val="20"/>
        </w:rPr>
        <w:t xml:space="preserve">” set forth in DXL’s Quarterly Report on Form 10-Q for the quarter ended May 2, 2026 as filed with the SEC on June 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1" w:name="tx76201_78"/>
      <w:bookmarkEnd w:id="81"/>
      <w:r>
        <w:rPr>
          <w:rFonts w:ascii="Times New Roman" w:hAnsi="Times New Roman"/>
          <w:b/>
          <w:sz w:val="20"/>
        </w:rPr>
        <w:t xml:space="preserve">FBB’S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includes information regarding FBB, FBB’s business, financial condition and prospects, and the potential benefits of the merger, which has been provided by FBB or its representatives and reflects FBB’s views. FBB continues to support the merger. The merger was previously unanimously approved by the DXL Board in December 2025. The DXL Board has continued to evaluate the merger, including in light of developments since the execution of the merger agreement. As part of that evaluation, the DXL Board has considered, among other things, the increasingly challenging consumer environment since the execution of the merger agreement in December 2025, FBB’s level of indebtedness, concerns regarding FBB’s potential negative equity value, and the substantial economic dilution that DXL stockholders would experience if the merger were consummated on its current terms. Based on these considerations, the DXL Board has determined that the merger and the transactions contemplated by the merger agreement, including the issuance proposal, are no longer advisable and are not in the best interests of DXL and its stockholders. Accordingly, certain statements in this proxy statement regarding FBB, the anticipated benefits of the merger, the combined company or future performance may differ from, and in certain cases may be inconsistent with, the current views of the DXL Board. DXL stockholders should not view the inclusion of information provided by FBB or statements regarding the potential benefits of the merger as a recommendation by the DXL Board or as an indication that the DXL Board believes such statements will be realized. Such statements are subject to significant uncertainties and risks, many of which are outside the control of DXL, and there can be no assurance that any of the anticipated benefits of the merger will be achieved. Accordingly, stockholders are urged to carefully consider the DXL Board’s current recommendation against the issuance proposal, together with the other information contained in this proxy statement, including the risks described under “Risks Related to the Merger,” in determining how to vote on the proposals.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FBB’s financial condition and results of operations as of, and for, the periods presented. You should read the following discussion and analysis of FBB’s financial condition and results of operations together with FBB’s financial statements and related notes appearing at the end of this proxy statement. Certain figures discussed below may not foot due to rounding. Some of the information contained in this discussion and analysis or set forth at the end of this proxy statement includes forward-looking statements that involve risks and uncertainties. As a result of many factors, including those factors set forth in the section entitled “Risk Factors—Risks Related to FBB,” FBB’s actual results could differ materially from the results described in or implied by the forward-looking statements contained in the following discussion and analysis. You should carefully read the section entitled “Risk Factors—Risks Related to FBB” to gain an understanding of the important factors that could cause actual results to differ materially from FBB’s forward-looking statements. Please also see the section entitled “Cautionary Statement Regarding Forward-Looking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Unless otherwise indicated or the context otherwise requires, references in this “FBB’s Management’s Discussion and Analysis of Financial Condition and Results of Operations” section to “FullBeauty Brands,” the “Company,” “we,” “us,” “our” and other similar terms refer to FBB Holdings I, Inc.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financial measures other than those that are in accordance with U.S. generally accepted accounting principles (“GAAP”) on a regular basis in order to track the progress of our business. These non-GAAP financial measures include EBITDA, adjusted EBITDA and adjusted EBITDA margin. We believe that these measures provide helpful information with respect to the Company’s operating performance and that the inclusion of these measures is important to assist investors in comparing our performance for the periods presented. However, these measures may not be comparable to similar measures used by other companies and should not be considered superior to or as a substitute for net income, net income per diluted share or cash flow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operating activities in accordance with GAAP. See “Non-GAAP Reconciliations” below for additional information regarding these non-GAAP financial measures and reconciliations to comparable GAAP financial measures.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continues to advance its pending merger (the “Merger”) with Destination XL Group, Inc. (“DXL”), originally announced on December 11, 2025, as further described in this proxy statement. Under the terms of the transaction, FBB stockholders are expected to own approximately 55% and DXL stockholders approximately 45% of the combined company on a fully diluted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updated views of the DXL Board described elsewhere in this proxy statement, FullBeauty Brands continues to support the merger and believes that DXL stockholders should consider FullBeauty Brands’ views regarding the transaction, including the potential strategic and financial benefits of the merger and the expected effects of the private placement and related debt-for-equity exchange, together with the DXL Board’s current recommendation and the other information contained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the First Lien Term Loan (as defined below) is expected to be reduced by approximately $92 million through equity contributions and debt-for-equity exchanges, with its maturity extended to August 2029. </w:t>
      </w:r>
    </w:p>
    <w:p>
      <w:pPr>
        <w:pStyle w:val="TextBody"/>
        <w:bidi w:val="0"/>
        <w:spacing w:before="360" w:after="0"/>
        <w:jc w:val="left"/>
        <w:rPr>
          <w:rFonts w:ascii="Times New Roman" w:hAnsi="Times New Roman"/>
          <w:b/>
          <w:i/>
          <w:sz w:val="20"/>
        </w:rPr>
      </w:pPr>
      <w:r>
        <w:rPr>
          <w:rFonts w:ascii="Times New Roman" w:hAnsi="Times New Roman"/>
          <w:b/>
          <w:i/>
          <w:sz w:val="20"/>
        </w:rPr>
        <w:t xml:space="preserve">Tariffs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experienced several favorable developments related to tariffs. On February 20, 2026, the U.S. Supreme Court ruled that certain tariffs imposed under the International Emergency Economic Powers Act (IEEPA) were unlawful, followed by a March 4, 2026 order from the Court of International Trade directing U.S. Customs and Border Protection (CBP) to issue refunds on affected entries, which was clarified on March 5, 2026. On April 20, 2026, CBP launched the CAPE tool within its ACE Portal to facilitate refund claims, and the Company promptly submitted all eligible entries, which were accepted the same day. Pending potential appeals through early June, the Company has filed a CAPE Declaration seeking approximately $5.3 million in IEEPA duty refunds and, subject to the outcome of any pending appeals, anticipates that eligible refunds, together with statutory interest, would be processed within CBP’s typical 90-day window. No amounts related to the anticipated refunds or associated interest have been recorded as of the Company’s financial statements ended April 4, 2026. As of July 1, 2026, the Company has received $2.8 million in refunds, which will be recorded in the Company’s second quarter financials.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May 7, 2026, the Court of International Trade issued a split decision finding the 10% global tariff imposed under Section 122 of the Trade Act of 1974 to be unlawful; however, the scope of the ruling, timing of any refund process, and likelihood of appeal remain uncertain, and the Company is evaluating its exposure and potential recovery. Looking ahead, management continues to monitor potential new tariff actions, including those arising from pending Section 301 investigations, which could be announced as early as this summer, though the ultimate impact on import costs remains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IEEPA refund position described above, to the extent current rulings are sustained and not replaced by alternative trade authorities, the lower forward tariff cost structure could represent a tailwind to gross profit in fiscal 2026 and subsequent periods. Fiscal 2025 results reflected the impact of the tariff actions that were subsequently ruled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Company’s performance in the thirteen weeks ended April 4, 2026 reflects the execution of five interconnected strategic priorities against a challenging macroeconomic backdrop, consistent with fiscal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First, the Company advanced its multi-brand platform strategy, with Universal Cart technology enabling customers to cross-shop all brands and check out in a single transaction. Second, the Company continued advancing its dual demographic strategy—investing in both its established Classic Mall platform and its higher-growth New Mall housing its more contemporary brands and targeting Millennial and younger Generation X customers. Third, the Company maintained its analytically sophisticated, data-driven marketing model, deploying digital and print channels based on each customer’s stage in the customer lifecycle. Fourth, the Company expanded its third-party marketplace presence across Amazon, Walmart, Target, Kohl’s, Nordstrom and Macy’s, extending brand reach to plus-size customers across the channels where they already shop. Fifth, the Company continued leveraging its capital-efficient shared-services platform, which has successfully integrated five brand acquisitions since 2020. </w:t>
      </w:r>
    </w:p>
    <w:p>
      <w:pPr>
        <w:pStyle w:val="TextBody"/>
        <w:bidi w:val="0"/>
        <w:spacing w:before="240" w:after="0"/>
        <w:jc w:val="left"/>
        <w:rPr>
          <w:rFonts w:ascii="Times New Roman" w:hAnsi="Times New Roman"/>
          <w:sz w:val="20"/>
        </w:rPr>
      </w:pPr>
      <w:r>
        <w:rPr>
          <w:rFonts w:ascii="Times New Roman" w:hAnsi="Times New Roman"/>
          <w:sz w:val="20"/>
        </w:rPr>
        <w:t xml:space="preserve">Despite the challenging environment, the Company took decisive action across its commercial, organizational, and marketing operations. The Company strengthened its leadership team with the addition of a new Chief Marketing Officer in 2025 and brand leaders for Roaman’s and KingSize hired in 2024. This newer leadership is beginning to have an impact across two of the portfolio’s largest brands. On the revenue and customer front, the Company launched a multi-tender loyalty platform across all brands, redesigned its web checkout experience to improve conversion, enabled Affirm as a new payment option to support customer purchasing flexibility, and activated new marketplace distribution channels to broaden reach. The Company also continued to optimize its marketing performance, reducing investment in underperforming print channels while rebalancing marketing spend toward higher-returning digital channels where the Company continues to gain traction. Looking ahead, the Company intends to continue its deployment of behavioral AI-driven customer decisioning to enhance online discovery and conversion and pursue generative engine optimization initiatives to future-proof the portfolio’s off site search and discovery presence.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Effectiveness and Customer Economics </w:t>
      </w:r>
    </w:p>
    <w:p>
      <w:pPr>
        <w:pStyle w:val="TextBody"/>
        <w:bidi w:val="0"/>
        <w:spacing w:before="120" w:after="0"/>
        <w:jc w:val="left"/>
        <w:rPr>
          <w:rFonts w:ascii="Times New Roman" w:hAnsi="Times New Roman"/>
          <w:sz w:val="20"/>
        </w:rPr>
      </w:pPr>
      <w:r>
        <w:rPr>
          <w:rFonts w:ascii="Times New Roman" w:hAnsi="Times New Roman"/>
          <w:sz w:val="20"/>
        </w:rPr>
        <w:t xml:space="preserve">The Company deploys an analytical marketing model that leverages first-party customer data to direct the right channel to the right customer at the right moment in their lifecycle. This model is supported by a first-party customer database of approximately 20 million households accumulated over decades of direct-to-consumer engagement, providing the foundation for cohort analysis, lifecycle marketing and customer lifetime value measurement. Digital channels play a growing role in reaching and converting new customers, while the Company’s proprietary print catalog program — designed and produced in-house — drives engagement, repeat purchasing and reactivation among existing customers. Based on the Company’s annual customer cohort analysis for fiscal 2025, approximately 69% of newly acquired customers were profitable on their first order and approximately 76% of active customers were multi-purchase buyers, reflecting the effectiveness of this data-driven lifecycle approach. The ability to operate at scale across both digital and print — optimizing each for its distinct role — is a differentiated capability within the direct-to-consumer apparel sector, and it supports the Company’s ability to build customer lifetime value efficiently across its multi-brand portfolio. </w:t>
      </w:r>
    </w:p>
    <w:p>
      <w:pPr>
        <w:pStyle w:val="TextBody"/>
        <w:bidi w:val="0"/>
        <w:spacing w:before="240" w:after="0"/>
        <w:jc w:val="left"/>
        <w:rPr>
          <w:rFonts w:ascii="Times New Roman" w:hAnsi="Times New Roman"/>
          <w:sz w:val="20"/>
        </w:rPr>
      </w:pPr>
      <w:r>
        <w:rPr>
          <w:rFonts w:ascii="Times New Roman" w:hAnsi="Times New Roman"/>
          <w:sz w:val="20"/>
        </w:rPr>
        <w:t xml:space="preserve">The Company organizes its brand portfolio around two primary demographic groups. The ‘Classic Mall’ platform — anchored by Woman Within and complemented by Roaman’s, Catherines, Jessica London, Ellos, KingSize and BrylaneHome — serves the Older Generation X and Baby Boomer demographic, which represents the Company’s largest and most established revenue base with the highest customer retention and repeat purchase rates across the portfolio. The ‘New Mall’ platform — anchored by Eloquii and complemented by CUUP, Avenue, Dia &amp; Co., June &amp; Vie and SwimsuitsForAll — targets the Millennial and Younger Generation X demographic, where current market share is lower but where the Company sees significant opportunity to replicate the loyalty dynamics built within its Classic Mall customer base. This dual-environment architecture enables distinct brand positioning, editorial content and marketing strategies tailored to the preferences of each target customer.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infrastructure — spanning sourcing, merchandising, technology, marketing, fulfillment and customer care — is designed to generate operating leverage as revenue scales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serve as an integration platform for brand acquisitions. Since 2020, the Company has acquired five brands — Catherines, Eloquii, CUUP, Dia &amp; Co. and Avenue — and integrated each onto its common platform. This capital-efficient model is further supported by a merchandise strategy weighted toward core, wardrobe replenishment-oriented styles that carry over across seasons, reducing fashion risk, improving inventory visibility and supporting margin stability.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Based on the Company’s annual customer analysis for fiscal 2025, extended plus-size customers (sizes 2X and above) comprised approximately 45% of active customers but generated approximately 63% of active customer sales, reflecting higher order frequency and larger average order values. The Company’s proprietary fit blocks and specialized size grading expertise are the foundational capability driving these economics: initial fit satisfaction — particularly at the most extended sizes where alternatives are fewest — drives repeat purchasing, multi-brand adoption and multi-category engagement over time. Customers who have purchased four or more times over their lifetime accounted for approximately 91% of active customer sales in fiscal 2025. The Company’s continued investment in its extensive size offering reinforces customer loyalty, particularly among its highest-value extended plus-size customers for whom the Company’s depth of sizing is difficult to find elsewhere. </w:t>
      </w:r>
    </w:p>
    <w:p>
      <w:pPr>
        <w:pStyle w:val="TextBody"/>
        <w:bidi w:val="0"/>
        <w:spacing w:before="240" w:after="0"/>
        <w:jc w:val="left"/>
        <w:rPr>
          <w:rFonts w:ascii="Times New Roman" w:hAnsi="Times New Roman"/>
          <w:sz w:val="20"/>
        </w:rPr>
      </w:pPr>
      <w:r>
        <w:rPr>
          <w:rFonts w:ascii="Times New Roman" w:hAnsi="Times New Roman"/>
          <w:sz w:val="20"/>
        </w:rPr>
        <w:t xml:space="preserve">The Company further supports retention and purchase frequency through its private label and co-branded credit card programs and its membership rewards program, which drive higher average order values and reinforce habitual brand engagement. Customers who purchase across product categories — combining apparel with intimates, swimwear, footwear and home décor — generate meaningfully higher lifetime value than single-category purchasers, and the Company’s broad assortment across its brand portfolio is structured to capture this multi-category dynamic.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Industry and Sector Context </w:t>
      </w:r>
    </w:p>
    <w:p>
      <w:pPr>
        <w:pStyle w:val="TextBody"/>
        <w:bidi w:val="0"/>
        <w:spacing w:before="120" w:after="0"/>
        <w:jc w:val="left"/>
        <w:rPr>
          <w:rFonts w:ascii="Times New Roman" w:hAnsi="Times New Roman"/>
          <w:sz w:val="20"/>
        </w:rPr>
      </w:pPr>
      <w:r>
        <w:rPr>
          <w:rFonts w:ascii="Times New Roman" w:hAnsi="Times New Roman"/>
          <w:sz w:val="20"/>
        </w:rPr>
        <w:t xml:space="preserve">The apparel industry remains highly promotional, with persistent traffic volatility and elevated customer acquisition costs in the print and digital channels. Consumers across income cohorts demonstrated increased price sensitivity, with discretionary categories such as apparel facing uneven demand. </w:t>
      </w:r>
    </w:p>
    <w:p>
      <w:pPr>
        <w:pStyle w:val="TextBody"/>
        <w:bidi w:val="0"/>
        <w:spacing w:before="240" w:after="0"/>
        <w:jc w:val="left"/>
        <w:rPr>
          <w:rFonts w:ascii="Times New Roman" w:hAnsi="Times New Roman"/>
          <w:sz w:val="20"/>
        </w:rPr>
      </w:pPr>
      <w:r>
        <w:rPr>
          <w:rFonts w:ascii="Times New Roman" w:hAnsi="Times New Roman"/>
          <w:sz w:val="20"/>
        </w:rPr>
        <w:t xml:space="preserve">In the plus-size segment, structural demand drivers remain intact, including limited specialty competition and strong customer loyalty. At the same time, competitive intensity from mass retailers, third-party marketplaces and digitally native brands continues to characterize the plus-size apparel environment. The Company’s response is grounded in capabilities that we believe are difficult for generalist competitors to replicate at comparable scale — proprietary fit expertise, a substantially exclusive product assortment, a multi-brand platform serving distinct demographics, and a data-driven marketing model built specifically for the plus-size customer — and notably, at a moment when some competitors have moderated their commitment to this demographic in response to health and wellness trends including GLP-1 adoption, the Company has deepened its focus and investment here. That strategic conviction is further evidenced by the pending combination with Destination XL Group, which would create the largest direct-to-consumer platform dedicated to the plus-size, extended plus-size and big &amp; tall market. The Company believes this combination of capabilities and strategic commitment positions it favorably within this environment — operating more than 15 owned and licensed primary brands, purpose-built to serve the plus-size, extended plus-size and big &amp; tall customer across a comprehensive range of sizes, styles and lifestyle needs.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Outlook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Looking ahead, the Company is navigating 2026 with cautious optimism. Recent legal challenges to the use of the IEEPA as authority for broad tariff actions have introduced uncertainty into U.S. trade policy. The timing for any refund or credit of previously paid IEEPA tariffs remains uncertain though the process has been outlined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refund requests have been submitted for FullBeauty Brands. Additionally, on May 7, 2026, the Court of International Trade ruled that the 10% global tariff imposed under Section 122 of the Trade Act of 1974 was unlawful. It is not known whether or how any refund process would operate, and the ruling is likely to be appealed to the Supreme Court. As a result of these rulings, the administration is expected to pursue alternative trade authorities to recapture the effect of these tariffs, potentially through Section 301, and the ultimate impact on import cost structures remains difficult to predict. To the extent any judicial limitation on IEEPA or Section 122 tariffs is sustained, it could reduce the risk of abrupt, broad-based import cost increases for apparel retailers and suppliers, potentially creating opportunities for more predictable cost structures and gross profit stability over time. At the same time, the Company remains attentive to ongoing geopolitical uncertainties, including the continued conflict involving Iran and broader tensions in the Middle East, which have the potential to disrupt energy markets, global shipping, and consumer confidence. These and other macro-economic pressures — including inflationary dynamics and discretionary spending patterns — could continue to influence demand and cost conditions across the apparel sector. </w:t>
      </w:r>
    </w:p>
    <w:p>
      <w:pPr>
        <w:pStyle w:val="TextBody"/>
        <w:bidi w:val="0"/>
        <w:spacing w:before="240" w:after="0"/>
        <w:jc w:val="left"/>
        <w:rPr>
          <w:rFonts w:ascii="Times New Roman" w:hAnsi="Times New Roman"/>
          <w:sz w:val="20"/>
        </w:rPr>
      </w:pPr>
      <w:r>
        <w:rPr>
          <w:rFonts w:ascii="Times New Roman" w:hAnsi="Times New Roman"/>
          <w:sz w:val="20"/>
        </w:rPr>
        <w:t xml:space="preserve">Beyond near-term macroeconomic considerations, the Company’s forward outlook is grounded in the structural characteristics of the plus-size and extended plus-size market — a large, historically underserved demographic that we believe continues to represent a meaningful and durable growth opportunity for operators with the scale, fit expertise and brand portfolio to serve it comprehensively. The Company believes that the structural demand dynamics of this market, combined with its platform capabilities and deepened commitment to the plus-size customer, position it to generate long-term growth as near-term headwinds moderate.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centralized shared-services model — spanning sourcing, merchandising, technology, fulfillment and customer care across its brand portfolio — is structured to generate meaningful operating leverage as revenue stabilizes and returns to growth. Because the majority of platform infrastructure costs are largely fixed, incremental revenue growth is expected to convert at attractive rates to Adjusted EBITDA and operating cash flow. The Company views its current investment in platform capabilities as establishing the foundation from which this operating leverage can be realized. The fixed cost deleverage that compressed Adjusted EBITDA margin in fiscal 2025 is the same structural characteristic that is expected to drive meaningful margin expansion as revenue stabilizes and recovers. </w:t>
      </w:r>
    </w:p>
    <w:p>
      <w:pPr>
        <w:pStyle w:val="TextBody"/>
        <w:bidi w:val="0"/>
        <w:spacing w:before="240" w:after="0"/>
        <w:jc w:val="left"/>
        <w:rPr>
          <w:rFonts w:ascii="Times New Roman" w:hAnsi="Times New Roman"/>
          <w:sz w:val="20"/>
        </w:rPr>
      </w:pPr>
      <w:r>
        <w:rPr>
          <w:rFonts w:ascii="Times New Roman" w:hAnsi="Times New Roman"/>
          <w:sz w:val="20"/>
        </w:rPr>
        <w:t xml:space="preserve">Against this backdrop, the Company’s strategic positioning provides a foundation for measured optimism. Its multi-brand platform, proprietary fit expertise, data-driven marketing capabilities, and expanding marketplace distribution collectively represent the Company’s foundation for potentially capturing the structural growth opportunity within the plus-size and extended plus-size market. The Company’s capital-efficient operating model, weighted toward core replenishment styles and a centralized shared-services infrastructure, provides operational flexibility to manage through near-term uncertainty while sustaining investment in the capabilities that drive long-term customer acquisition, retention and lifetime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fiscal year is a 52-week or 53-week period ending on the Saturday closest to December 31. Fiscal 2025 was a 53-week period, fiscal 2024 was a 52-week period and fiscal 2023 was a 52-week period. </w:t>
      </w:r>
    </w:p>
    <w:p>
      <w:pPr>
        <w:pStyle w:val="TextBody"/>
        <w:bidi w:val="0"/>
        <w:spacing w:before="360" w:after="0"/>
        <w:jc w:val="left"/>
        <w:rPr>
          <w:rFonts w:ascii="Times New Roman" w:hAnsi="Times New Roman"/>
          <w:b/>
          <w:sz w:val="20"/>
        </w:rPr>
      </w:pPr>
      <w:r>
        <w:rPr>
          <w:rFonts w:ascii="Times New Roman" w:hAnsi="Times New Roman"/>
          <w:b/>
          <w:sz w:val="20"/>
        </w:rPr>
        <w:t xml:space="preserve">Thirteen weeks ended April 4, 2026 Compared to Thirteen weeks ended March 29, 2025 </w:t>
      </w:r>
    </w:p>
    <w:p>
      <w:pPr>
        <w:pStyle w:val="TextBody"/>
        <w:bidi w:val="0"/>
        <w:spacing w:before="120" w:after="0"/>
        <w:jc w:val="left"/>
        <w:rPr>
          <w:rFonts w:ascii="Times New Roman" w:hAnsi="Times New Roman"/>
          <w:sz w:val="20"/>
        </w:rPr>
      </w:pPr>
      <w:r>
        <w:rPr>
          <w:rFonts w:ascii="Times New Roman" w:hAnsi="Times New Roman"/>
          <w:b/>
          <w:i/>
          <w:sz w:val="20"/>
        </w:rPr>
        <w:t>Executive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Results for the first thirteen weeks of fiscal 2026 reflect continued pressure on discretionary apparel demand amid an uncertain macroeconomic environment, including elevated tariff volatility, higher customer acquisition costs, and weather-related disruption early in the quarter. Within this context, the Company remained focused on controlling key operating levers, including inventory management, marketing efficiency, pricing discipline, and conversion optimization.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sales declined in the first thirteen weeks of 2026, compared to the first thirteen weeks of 2025, reflecting lower demand and reduced marketing investment, particularly in print channels, as the Company adjusted spend in response to prior period inefficiencies and changing customer behavior. Demand trends improved sequentially over the course of the quarter, with year-over-year declines narrowing each month from January through March, consistent with management’s focus on aligning marketing investment with return thresholds. </w:t>
      </w:r>
    </w:p>
    <w:p>
      <w:pPr>
        <w:pStyle w:val="TextBody"/>
        <w:bidi w:val="0"/>
        <w:spacing w:before="240" w:after="0"/>
        <w:jc w:val="left"/>
        <w:rPr>
          <w:rFonts w:ascii="Times New Roman" w:hAnsi="Times New Roman"/>
          <w:sz w:val="20"/>
        </w:rPr>
      </w:pPr>
      <w:r>
        <w:rPr>
          <w:rFonts w:ascii="Times New Roman" w:hAnsi="Times New Roman"/>
          <w:sz w:val="20"/>
        </w:rPr>
        <w:t xml:space="preserve">Profitability in the quarter was negatively impacted by lower sales volume, gross margin pressure, and fixed cost deleverage, partially offset by reductions in marketing expense and ongoing cost management initiatives. The headwinds affecting the first thirteen weeks of fiscal 2026 reflect the same factors described in Outlook Considerations, with sequential monthly improvement through the quarter consistent with these factors beginning to moderate.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53"/>
        <w:gridCol w:w="547"/>
        <w:gridCol w:w="211"/>
        <w:gridCol w:w="851"/>
        <w:gridCol w:w="370"/>
        <w:gridCol w:w="509"/>
        <w:gridCol w:w="282"/>
        <w:gridCol w:w="1152"/>
        <w:gridCol w:w="280"/>
      </w:tblGrid>
      <w:tr>
        <w:trPr/>
        <w:tc>
          <w:tcPr>
            <w:tcW w:w="3553" w:type="dxa"/>
            <w:tcBorders/>
            <w:vAlign w:val="center"/>
          </w:tcPr>
          <w:p>
            <w:pPr>
              <w:pStyle w:val="TableContents"/>
              <w:bidi w:val="0"/>
              <w:spacing w:before="0" w:after="283"/>
              <w:jc w:val="left"/>
              <w:rPr>
                <w:sz w:val="4"/>
                <w:szCs w:val="4"/>
              </w:rPr>
            </w:pPr>
            <w:r>
              <w:rPr>
                <w:sz w:val="4"/>
                <w:szCs w:val="4"/>
              </w:rPr>
            </w:r>
          </w:p>
        </w:tc>
        <w:tc>
          <w:tcPr>
            <w:tcW w:w="54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53"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pPr>
            <w:r>
              <w:rPr>
                <w:b/>
              </w:rPr>
              <w:t xml:space="preserve">April 4, </w:t>
            </w:r>
            <w:r>
              <w:rPr/>
              <w:br/>
            </w:r>
            <w:r>
              <w:rPr>
                <w:b/>
              </w:rPr>
              <w:t>2026</w:t>
            </w:r>
          </w:p>
        </w:tc>
        <w:tc>
          <w:tcPr>
            <w:tcW w:w="37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280" w:type="dxa"/>
            <w:tcBorders/>
            <w:vAlign w:val="bottom"/>
          </w:tcPr>
          <w:p>
            <w:pPr>
              <w:pStyle w:val="TableContents"/>
              <w:bidi w:val="0"/>
              <w:spacing w:before="0" w:after="283"/>
              <w:jc w:val="left"/>
              <w:rPr/>
            </w:pPr>
            <w:r>
              <w:rPr/>
              <w:t> </w:t>
            </w:r>
          </w:p>
        </w:tc>
      </w:tr>
      <w:tr>
        <w:trPr/>
        <w:tc>
          <w:tcPr>
            <w:tcW w:w="3553" w:type="dxa"/>
            <w:tcBorders/>
            <w:vAlign w:val="bottom"/>
          </w:tcPr>
          <w:p>
            <w:pPr>
              <w:pStyle w:val="TableContents"/>
              <w:bidi w:val="0"/>
              <w:spacing w:before="0" w:after="283"/>
              <w:jc w:val="left"/>
              <w:rPr/>
            </w:pPr>
            <w:r>
              <w:rPr/>
              <w:t> </w:t>
            </w:r>
          </w:p>
        </w:tc>
        <w:tc>
          <w:tcPr>
            <w:tcW w:w="547" w:type="dxa"/>
            <w:tcBorders/>
            <w:vAlign w:val="bottom"/>
          </w:tcPr>
          <w:p>
            <w:pPr>
              <w:pStyle w:val="TableContents"/>
              <w:bidi w:val="0"/>
              <w:spacing w:before="0" w:after="283"/>
              <w:jc w:val="left"/>
              <w:rPr/>
            </w:pPr>
            <w:r>
              <w:rPr/>
              <w:t>  </w:t>
            </w:r>
          </w:p>
        </w:tc>
        <w:tc>
          <w:tcPr>
            <w:tcW w:w="3375" w:type="dxa"/>
            <w:gridSpan w:val="6"/>
            <w:tcBorders/>
            <w:vAlign w:val="bottom"/>
          </w:tcPr>
          <w:p>
            <w:pPr>
              <w:pStyle w:val="TableContents"/>
              <w:bidi w:val="0"/>
              <w:spacing w:before="0" w:after="283"/>
              <w:jc w:val="center"/>
              <w:rPr>
                <w:i/>
              </w:rPr>
            </w:pPr>
            <w:r>
              <w:rPr>
                <w:i/>
              </w:rPr>
              <w:t>(in millions, except percentage</w:t>
              <w:br/>
              <w:t>of net sales data)</w:t>
            </w:r>
          </w:p>
        </w:tc>
        <w:tc>
          <w:tcPr>
            <w:tcW w:w="280" w:type="dxa"/>
            <w:tcBorders/>
            <w:vAlign w:val="bottom"/>
          </w:tcPr>
          <w:p>
            <w:pPr>
              <w:pStyle w:val="TableContents"/>
              <w:bidi w:val="0"/>
              <w:spacing w:before="0" w:after="283"/>
              <w:jc w:val="left"/>
              <w:rPr/>
            </w:pPr>
            <w:r>
              <w:rPr/>
              <w:t> </w:t>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151.2</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169.5</w:t>
            </w:r>
          </w:p>
        </w:tc>
        <w:tc>
          <w:tcPr>
            <w:tcW w:w="280" w:type="dxa"/>
            <w:tcBorders/>
            <w:shd w:fill="CCEEFF" w:val="clear"/>
            <w:vAlign w:val="bottom"/>
          </w:tcPr>
          <w:p>
            <w:pPr>
              <w:pStyle w:val="TableContents"/>
              <w:bidi w:val="0"/>
              <w:spacing w:before="0" w:after="283"/>
              <w:jc w:val="left"/>
              <w:rPr/>
            </w:pPr>
            <w:r>
              <w:rPr/>
              <w:t> </w:t>
            </w:r>
          </w:p>
        </w:tc>
      </w:tr>
      <w:tr>
        <w:trPr/>
        <w:tc>
          <w:tcPr>
            <w:tcW w:w="3553"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54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(26.5</w:t>
            </w:r>
          </w:p>
        </w:tc>
        <w:tc>
          <w:tcPr>
            <w:tcW w:w="37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(16.2</w:t>
            </w:r>
          </w:p>
        </w:tc>
        <w:tc>
          <w:tcPr>
            <w:tcW w:w="280" w:type="dxa"/>
            <w:tcBorders/>
            <w:vAlign w:val="bottom"/>
          </w:tcPr>
          <w:p>
            <w:pPr>
              <w:pStyle w:val="TableContents"/>
              <w:bidi w:val="0"/>
              <w:spacing w:before="0" w:after="283"/>
              <w:jc w:val="left"/>
              <w:rPr/>
            </w:pPr>
            <w:r>
              <w:rPr/>
              <w:t>) </w:t>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(5.0</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2.1</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553" w:type="dxa"/>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2223" w:type="dxa"/>
            <w:gridSpan w:val="4"/>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54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58.8</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61.3</w:t>
            </w:r>
          </w:p>
        </w:tc>
        <w:tc>
          <w:tcPr>
            <w:tcW w:w="280" w:type="dxa"/>
            <w:tcBorders/>
            <w:shd w:fill="CCEEFF" w:val="clear"/>
            <w:vAlign w:val="bottom"/>
          </w:tcPr>
          <w:p>
            <w:pPr>
              <w:pStyle w:val="TableContents"/>
              <w:bidi w:val="0"/>
              <w:spacing w:before="0" w:after="283"/>
              <w:jc w:val="left"/>
              <w:rPr/>
            </w:pPr>
            <w:r>
              <w:rPr/>
              <w:t>% </w:t>
            </w:r>
          </w:p>
        </w:tc>
      </w:tr>
      <w:tr>
        <w:trPr/>
        <w:tc>
          <w:tcPr>
            <w:tcW w:w="355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54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51" w:type="dxa"/>
            <w:tcBorders/>
            <w:vAlign w:val="bottom"/>
          </w:tcPr>
          <w:p>
            <w:pPr>
              <w:pStyle w:val="TableContents"/>
              <w:bidi w:val="0"/>
              <w:spacing w:before="0" w:after="283"/>
              <w:jc w:val="right"/>
              <w:rPr/>
            </w:pPr>
            <w:r>
              <w:rPr/>
              <w:t>63.2</w:t>
            </w:r>
          </w:p>
        </w:tc>
        <w:tc>
          <w:tcPr>
            <w:tcW w:w="37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61.1</w:t>
            </w:r>
          </w:p>
        </w:tc>
        <w:tc>
          <w:tcPr>
            <w:tcW w:w="280" w:type="dxa"/>
            <w:tcBorders/>
            <w:vAlign w:val="bottom"/>
          </w:tcPr>
          <w:p>
            <w:pPr>
              <w:pStyle w:val="TableContents"/>
              <w:bidi w:val="0"/>
              <w:spacing w:before="0" w:after="283"/>
              <w:jc w:val="left"/>
              <w:rPr/>
            </w:pPr>
            <w:r>
              <w:rPr/>
              <w:t>% </w:t>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851" w:type="dxa"/>
            <w:tcBorders/>
            <w:shd w:fill="CCEEFF" w:val="clear"/>
            <w:vAlign w:val="bottom"/>
          </w:tcPr>
          <w:p>
            <w:pPr>
              <w:pStyle w:val="TableContents"/>
              <w:bidi w:val="0"/>
              <w:spacing w:before="0" w:after="283"/>
              <w:jc w:val="right"/>
              <w:rPr/>
            </w:pPr>
            <w:r>
              <w:rPr/>
              <w:t>-3.3</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1.3</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553" w:type="dxa"/>
            <w:tcBorders/>
            <w:vAlign w:val="center"/>
          </w:tcPr>
          <w:p>
            <w:pPr>
              <w:pStyle w:val="TableContents"/>
              <w:bidi w:val="0"/>
              <w:spacing w:before="0" w:after="283"/>
              <w:jc w:val="left"/>
              <w:rPr>
                <w:sz w:val="4"/>
                <w:szCs w:val="4"/>
              </w:rPr>
            </w:pPr>
            <w:r>
              <w:rPr>
                <w:sz w:val="4"/>
                <w:szCs w:val="4"/>
              </w:rPr>
            </w:r>
          </w:p>
        </w:tc>
        <w:tc>
          <w:tcPr>
            <w:tcW w:w="1979" w:type="dxa"/>
            <w:gridSpan w:val="4"/>
            <w:tcBorders/>
            <w:vAlign w:val="center"/>
          </w:tcPr>
          <w:p>
            <w:pPr>
              <w:pStyle w:val="TableContents"/>
              <w:bidi w:val="0"/>
              <w:spacing w:before="0" w:after="283"/>
              <w:jc w:val="left"/>
              <w:rPr>
                <w:sz w:val="4"/>
                <w:szCs w:val="4"/>
              </w:rPr>
            </w:pPr>
            <w:r>
              <w:rPr>
                <w:sz w:val="4"/>
                <w:szCs w:val="4"/>
              </w:rPr>
            </w:r>
          </w:p>
        </w:tc>
        <w:tc>
          <w:tcPr>
            <w:tcW w:w="2223" w:type="dxa"/>
            <w:gridSpan w:val="4"/>
            <w:tcBorders/>
            <w:vAlign w:val="center"/>
          </w:tcPr>
          <w:p>
            <w:pPr>
              <w:pStyle w:val="TableContents"/>
              <w:bidi w:val="0"/>
              <w:spacing w:before="0" w:after="283"/>
              <w:jc w:val="left"/>
              <w:rPr>
                <w:sz w:val="4"/>
                <w:szCs w:val="4"/>
              </w:rPr>
            </w:pPr>
            <w:r>
              <w:rPr>
                <w:sz w:val="4"/>
                <w:szCs w:val="4"/>
              </w:rPr>
            </w:r>
          </w:p>
        </w:tc>
      </w:tr>
      <w:tr>
        <w:trPr/>
        <w:tc>
          <w:tcPr>
            <w:tcW w:w="3553"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54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sz w:val="4"/>
                <w:szCs w:val="4"/>
              </w:rPr>
            </w:pPr>
            <w:r>
              <w:rPr>
                <w:sz w:val="4"/>
                <w:szCs w:val="4"/>
              </w:rPr>
            </w:r>
          </w:p>
        </w:tc>
        <w:tc>
          <w:tcPr>
            <w:tcW w:w="115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(26.2</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(14.7</w:t>
            </w:r>
          </w:p>
        </w:tc>
        <w:tc>
          <w:tcPr>
            <w:tcW w:w="280" w:type="dxa"/>
            <w:tcBorders/>
            <w:shd w:fill="CCEEFF" w:val="clear"/>
            <w:vAlign w:val="bottom"/>
          </w:tcPr>
          <w:p>
            <w:pPr>
              <w:pStyle w:val="TableContents"/>
              <w:bidi w:val="0"/>
              <w:spacing w:before="0" w:after="283"/>
              <w:jc w:val="left"/>
              <w:rPr/>
            </w:pPr>
            <w:r>
              <w:rPr/>
              <w:t>) </w:t>
            </w:r>
          </w:p>
        </w:tc>
      </w:tr>
      <w:tr>
        <w:trPr/>
        <w:tc>
          <w:tcPr>
            <w:tcW w:w="3553"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54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(1.6</w:t>
            </w:r>
          </w:p>
        </w:tc>
        <w:tc>
          <w:tcPr>
            <w:tcW w:w="370"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152" w:type="dxa"/>
            <w:tcBorders/>
            <w:vAlign w:val="bottom"/>
          </w:tcPr>
          <w:p>
            <w:pPr>
              <w:pStyle w:val="TableContents"/>
              <w:bidi w:val="0"/>
              <w:spacing w:before="0" w:after="283"/>
              <w:jc w:val="right"/>
              <w:rPr/>
            </w:pPr>
            <w:r>
              <w:rPr/>
              <w:t>(1.8</w:t>
            </w:r>
          </w:p>
        </w:tc>
        <w:tc>
          <w:tcPr>
            <w:tcW w:w="280" w:type="dxa"/>
            <w:tcBorders/>
            <w:vAlign w:val="bottom"/>
          </w:tcPr>
          <w:p>
            <w:pPr>
              <w:pStyle w:val="TableContents"/>
              <w:bidi w:val="0"/>
              <w:spacing w:before="0" w:after="283"/>
              <w:jc w:val="left"/>
              <w:rPr/>
            </w:pPr>
            <w:r>
              <w:rPr/>
              <w:t>) </w:t>
            </w:r>
          </w:p>
        </w:tc>
      </w:tr>
      <w:tr>
        <w:trPr/>
        <w:tc>
          <w:tcPr>
            <w:tcW w:w="35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provided by (used in) financing activities</w:t>
            </w:r>
          </w:p>
        </w:tc>
        <w:tc>
          <w:tcPr>
            <w:tcW w:w="54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22.0</w:t>
            </w:r>
          </w:p>
        </w:tc>
        <w:tc>
          <w:tcPr>
            <w:tcW w:w="370" w:type="dxa"/>
            <w:tcBorders/>
            <w:shd w:fill="CCEEFF" w:val="clear"/>
            <w:vAlign w:val="bottom"/>
          </w:tcPr>
          <w:p>
            <w:pPr>
              <w:pStyle w:val="TableContents"/>
              <w:bidi w:val="0"/>
              <w:spacing w:before="0" w:after="283"/>
              <w:jc w:val="left"/>
              <w:rPr/>
            </w:pPr>
            <w:r>
              <w:rPr/>
              <w:t> </w:t>
            </w:r>
          </w:p>
        </w:tc>
        <w:tc>
          <w:tcPr>
            <w:tcW w:w="50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(2.0</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b/>
          <w:i/>
          <w:sz w:val="20"/>
        </w:rPr>
        <w:t>Net Sales</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87"/>
        <w:gridCol w:w="313"/>
        <w:gridCol w:w="140"/>
        <w:gridCol w:w="919"/>
        <w:gridCol w:w="60"/>
        <w:gridCol w:w="313"/>
        <w:gridCol w:w="60"/>
        <w:gridCol w:w="617"/>
        <w:gridCol w:w="277"/>
        <w:gridCol w:w="210"/>
        <w:gridCol w:w="140"/>
        <w:gridCol w:w="919"/>
        <w:gridCol w:w="60"/>
        <w:gridCol w:w="313"/>
        <w:gridCol w:w="60"/>
        <w:gridCol w:w="617"/>
        <w:gridCol w:w="283"/>
      </w:tblGrid>
      <w:tr>
        <w:trPr/>
        <w:tc>
          <w:tcPr>
            <w:tcW w:w="4087"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087" w:type="dxa"/>
            <w:tcBorders/>
            <w:vAlign w:val="bottom"/>
          </w:tcPr>
          <w:p>
            <w:pPr>
              <w:pStyle w:val="TableContents"/>
              <w:bidi w:val="0"/>
              <w:spacing w:before="0" w:after="283"/>
              <w:jc w:val="left"/>
              <w:rPr>
                <w:i/>
              </w:rPr>
            </w:pPr>
            <w:r>
              <w:rPr>
                <w:i/>
              </w:rPr>
              <w:t>(in thousands)</w:t>
            </w:r>
          </w:p>
        </w:tc>
        <w:tc>
          <w:tcPr>
            <w:tcW w:w="313"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05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77"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4087"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21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April 4, 2026</w:t>
            </w:r>
          </w:p>
        </w:tc>
        <w:tc>
          <w:tcPr>
            <w:tcW w:w="277"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29, 2025</w:t>
            </w:r>
          </w:p>
        </w:tc>
        <w:tc>
          <w:tcPr>
            <w:tcW w:w="283" w:type="dxa"/>
            <w:tcBorders/>
            <w:vAlign w:val="bottom"/>
          </w:tcPr>
          <w:p>
            <w:pPr>
              <w:pStyle w:val="TableContents"/>
              <w:bidi w:val="0"/>
              <w:spacing w:before="0" w:after="283"/>
              <w:jc w:val="left"/>
              <w:rPr/>
            </w:pPr>
            <w:r>
              <w:rPr/>
              <w:t> </w:t>
            </w:r>
          </w:p>
        </w:tc>
      </w:tr>
      <w:tr>
        <w:trPr/>
        <w:tc>
          <w:tcPr>
            <w:tcW w:w="4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125,557</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i/>
              </w:rPr>
            </w:pPr>
            <w:r>
              <w:rPr>
                <w:i/>
              </w:rPr>
              <w:t>83.1</w:t>
            </w:r>
          </w:p>
        </w:tc>
        <w:tc>
          <w:tcPr>
            <w:tcW w:w="277" w:type="dxa"/>
            <w:tcBorders/>
            <w:shd w:fill="CCEEFF" w:val="clear"/>
            <w:vAlign w:val="bottom"/>
          </w:tcPr>
          <w:p>
            <w:pPr>
              <w:pStyle w:val="TableContents"/>
              <w:bidi w:val="0"/>
              <w:spacing w:before="0" w:after="283"/>
              <w:jc w:val="left"/>
              <w:rPr/>
            </w:pPr>
            <w:r>
              <w:rPr>
                <w:i/>
              </w:rPr>
              <w:t>%</w:t>
            </w: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139,906</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i/>
              </w:rPr>
            </w:pPr>
            <w:r>
              <w:rPr>
                <w:i/>
              </w:rPr>
              <w:t>82.6</w:t>
            </w:r>
          </w:p>
        </w:tc>
        <w:tc>
          <w:tcPr>
            <w:tcW w:w="283" w:type="dxa"/>
            <w:tcBorders/>
            <w:shd w:fill="CCEEFF" w:val="clear"/>
            <w:vAlign w:val="bottom"/>
          </w:tcPr>
          <w:p>
            <w:pPr>
              <w:pStyle w:val="TableContents"/>
              <w:bidi w:val="0"/>
              <w:spacing w:before="0" w:after="283"/>
              <w:jc w:val="left"/>
              <w:rPr/>
            </w:pPr>
            <w:r>
              <w:rPr>
                <w:i/>
              </w:rPr>
              <w:t>%</w:t>
            </w:r>
            <w:r>
              <w:rPr/>
              <w:t> </w:t>
            </w:r>
          </w:p>
        </w:tc>
      </w:tr>
      <w:tr>
        <w:trPr/>
        <w:tc>
          <w:tcPr>
            <w:tcW w:w="4087"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18,729</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i/>
              </w:rPr>
            </w:pPr>
            <w:r>
              <w:rPr>
                <w:i/>
              </w:rPr>
              <w:t>12.4</w:t>
            </w:r>
          </w:p>
        </w:tc>
        <w:tc>
          <w:tcPr>
            <w:tcW w:w="277" w:type="dxa"/>
            <w:tcBorders/>
            <w:vAlign w:val="bottom"/>
          </w:tcPr>
          <w:p>
            <w:pPr>
              <w:pStyle w:val="TableContents"/>
              <w:bidi w:val="0"/>
              <w:spacing w:before="0" w:after="283"/>
              <w:jc w:val="left"/>
              <w:rPr/>
            </w:pPr>
            <w:r>
              <w:rPr>
                <w:i/>
              </w:rPr>
              <w:t>%</w:t>
            </w: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22,268</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i/>
              </w:rPr>
            </w:pPr>
            <w:r>
              <w:rPr>
                <w:i/>
              </w:rPr>
              <w:t>13.1</w:t>
            </w:r>
          </w:p>
        </w:tc>
        <w:tc>
          <w:tcPr>
            <w:tcW w:w="283" w:type="dxa"/>
            <w:tcBorders/>
            <w:vAlign w:val="bottom"/>
          </w:tcPr>
          <w:p>
            <w:pPr>
              <w:pStyle w:val="TableContents"/>
              <w:bidi w:val="0"/>
              <w:spacing w:before="0" w:after="283"/>
              <w:jc w:val="left"/>
              <w:rPr/>
            </w:pPr>
            <w:r>
              <w:rPr>
                <w:i/>
              </w:rPr>
              <w:t>%</w:t>
            </w:r>
            <w:r>
              <w:rPr/>
              <w:t> </w:t>
            </w:r>
          </w:p>
        </w:tc>
      </w:tr>
      <w:tr>
        <w:trPr/>
        <w:tc>
          <w:tcPr>
            <w:tcW w:w="40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6,888</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i/>
              </w:rPr>
            </w:pPr>
            <w:r>
              <w:rPr>
                <w:i/>
              </w:rPr>
              <w:t>4.5</w:t>
            </w:r>
          </w:p>
        </w:tc>
        <w:tc>
          <w:tcPr>
            <w:tcW w:w="277" w:type="dxa"/>
            <w:tcBorders/>
            <w:shd w:fill="CCEEFF" w:val="clear"/>
            <w:vAlign w:val="bottom"/>
          </w:tcPr>
          <w:p>
            <w:pPr>
              <w:pStyle w:val="TableContents"/>
              <w:bidi w:val="0"/>
              <w:spacing w:before="0" w:after="283"/>
              <w:jc w:val="left"/>
              <w:rPr/>
            </w:pPr>
            <w:r>
              <w:rPr>
                <w:i/>
              </w:rPr>
              <w:t>%</w:t>
            </w:r>
            <w:r>
              <w:rPr/>
              <w:t> </w:t>
            </w:r>
          </w:p>
        </w:tc>
        <w:tc>
          <w:tcPr>
            <w:tcW w:w="2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7,308</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right"/>
              <w:rPr>
                <w:i/>
              </w:rPr>
            </w:pPr>
            <w:r>
              <w:rPr>
                <w:i/>
              </w:rPr>
              <w:t>4.3</w:t>
            </w:r>
          </w:p>
        </w:tc>
        <w:tc>
          <w:tcPr>
            <w:tcW w:w="283" w:type="dxa"/>
            <w:tcBorders/>
            <w:shd w:fill="CCEEFF" w:val="clear"/>
            <w:vAlign w:val="bottom"/>
          </w:tcPr>
          <w:p>
            <w:pPr>
              <w:pStyle w:val="TableContents"/>
              <w:bidi w:val="0"/>
              <w:spacing w:before="0" w:after="283"/>
              <w:jc w:val="left"/>
              <w:rPr/>
            </w:pPr>
            <w:r>
              <w:rPr>
                <w:i/>
              </w:rPr>
              <w:t>%</w:t>
            </w:r>
            <w:r>
              <w:rPr/>
              <w:t> </w:t>
            </w:r>
          </w:p>
        </w:tc>
      </w:tr>
      <w:tr>
        <w:trPr/>
        <w:tc>
          <w:tcPr>
            <w:tcW w:w="4087"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151,174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i/>
              </w:rPr>
            </w:pPr>
            <w:r>
              <w:rPr>
                <w:i/>
              </w:rPr>
              <w:t>100.0</w:t>
            </w:r>
          </w:p>
        </w:tc>
        <w:tc>
          <w:tcPr>
            <w:tcW w:w="277" w:type="dxa"/>
            <w:tcBorders/>
            <w:vAlign w:val="bottom"/>
          </w:tcPr>
          <w:p>
            <w:pPr>
              <w:pStyle w:val="TableContents"/>
              <w:bidi w:val="0"/>
              <w:spacing w:before="0" w:after="283"/>
              <w:jc w:val="left"/>
              <w:rPr/>
            </w:pPr>
            <w:r>
              <w:rPr>
                <w:i/>
              </w:rPr>
              <w:t>%</w:t>
            </w:r>
            <w:r>
              <w:rPr/>
              <w:t> </w:t>
            </w:r>
          </w:p>
        </w:tc>
        <w:tc>
          <w:tcPr>
            <w:tcW w:w="2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169,482</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right"/>
              <w:rPr>
                <w:i/>
              </w:rPr>
            </w:pPr>
            <w:r>
              <w:rPr>
                <w:i/>
              </w:rPr>
              <w:t>100.0</w:t>
            </w:r>
          </w:p>
        </w:tc>
        <w:tc>
          <w:tcPr>
            <w:tcW w:w="283" w:type="dxa"/>
            <w:tcBorders/>
            <w:vAlign w:val="bottom"/>
          </w:tcPr>
          <w:p>
            <w:pPr>
              <w:pStyle w:val="TableContents"/>
              <w:bidi w:val="0"/>
              <w:spacing w:before="0" w:after="283"/>
              <w:jc w:val="left"/>
              <w:rPr/>
            </w:pPr>
            <w:r>
              <w:rPr>
                <w:i/>
              </w:rPr>
              <w:t>%</w:t>
            </w: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for the first thirteen weeks of 2026 were $151.2 million, compared to $169.5 million in the first thirteen weeks of 2025, representing a decrease of approximately 10.8%.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$125.6 million (83.1% of net sales) in the first thirteen weeks of 2026, compared to $139.9 million (82.5%) in the first thirteen weeks of 2025. Men’s net sales were $18.7 million (12.4%) in the first thirteen weeks of 2026, compared to $22.3 million (13.1%) in the first thirteen weeks of 2025. The Men’s business, anchored by KingSize, applies the Company’s proprietary fit expertise and exclusive assortment model to the big &amp; tall men’s demographic, operating within the Classic Mall platform infrastructure.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Home Décor net sales declined to $6.9 million (4.6%) in the first thirteen weeks of 2026 from $7.3 million (4.3%) in the first thirteen weeks of 2025.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Early-quarter performance was impacted by unseasonably cold weather conditions, which delayed the typical seasonal transition in customer purchasing patterns, and suppressed demand and traffic across both digital and print channels. In addition, the Company moderated marketing investment in response to changing customer behavior and elevated acquisition costs. Marketing spend was reduced by approximately 11% year-over-year, reflecting actions taken to improve marketing efficiency following lower returns in prior periods, particularly within print channels. The combined effect of weather-driven softness and the deliberate marketing pullback was a material contributor to the year-over-year decline in net sales. </w:t>
      </w:r>
    </w:p>
    <w:p>
      <w:pPr>
        <w:pStyle w:val="TextBody"/>
        <w:bidi w:val="0"/>
        <w:spacing w:before="240" w:after="0"/>
        <w:jc w:val="left"/>
        <w:rPr>
          <w:rFonts w:ascii="Times New Roman" w:hAnsi="Times New Roman"/>
          <w:sz w:val="20"/>
        </w:rPr>
      </w:pPr>
      <w:r>
        <w:rPr>
          <w:rFonts w:ascii="Times New Roman" w:hAnsi="Times New Roman"/>
          <w:sz w:val="20"/>
        </w:rPr>
        <w:t xml:space="preserve">Demand trends improved sequentially over the course of the quarter, with monthly year-over-year declines of approximately 13% in January, 9% in February and 3% in March.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prior periods, the Company believes that net sales performance in the quarter was driven primarily by traffic and conversion dynamics rather than changes in pricing, as the Company maintained pricing discipline and did not materially increase promotional intensity.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for the first thirteen weeks of fiscal 2026 was $88.9 million, compared to $103.8 million in the prior year period. Gross margin was 58.8%, compared to 61.3% in the prior year period, representing a decrease of approximately 250 basis points. </w:t>
      </w:r>
    </w:p>
    <w:p>
      <w:pPr>
        <w:pStyle w:val="TextBody"/>
        <w:bidi w:val="0"/>
        <w:spacing w:before="240" w:after="0"/>
        <w:jc w:val="left"/>
        <w:rPr>
          <w:rFonts w:ascii="Times New Roman" w:hAnsi="Times New Roman"/>
          <w:sz w:val="20"/>
        </w:rPr>
      </w:pPr>
      <w:r>
        <w:rPr>
          <w:rFonts w:ascii="Times New Roman" w:hAnsi="Times New Roman"/>
          <w:sz w:val="20"/>
        </w:rPr>
        <w:t xml:space="preserve">The decline in gross margin was primarily attributable to higher tariffs, changes in channel and product mix, lower private label credit income and higher shipping-related costs. These factors were partially offset by continued pricing discipline and the Company’s focus on managing promotional activity in a competitive environment. </w:t>
      </w:r>
    </w:p>
    <w:p>
      <w:pPr>
        <w:pStyle w:val="TextBody"/>
        <w:bidi w:val="0"/>
        <w:spacing w:before="240" w:after="0"/>
        <w:jc w:val="left"/>
        <w:rPr>
          <w:rFonts w:ascii="Times New Roman" w:hAnsi="Times New Roman"/>
          <w:sz w:val="20"/>
        </w:rPr>
      </w:pPr>
      <w:r>
        <w:rPr>
          <w:rFonts w:ascii="Times New Roman" w:hAnsi="Times New Roman"/>
          <w:sz w:val="20"/>
        </w:rPr>
        <w:t xml:space="preserve">Tariffs remained a meaningful headwind during the quarter. The Company has filed for refunds of approximately $5.3 million related to duties previously paid under IEEPA. The timing of such refunds remains subject to ongoing legal and administrative processes though, as of July 1, 2026, the Company has received $2.8 million in refunds. The tariff impact in the first thirteen weeks of fiscal 2026 reflected the IEEPA and Section 122 actions described in ‘Tariffs’ under Recent Developments, which were subsequently ruled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$95.6 million, or 63.2% of net sales, in the first thirteen weeks of 2026, compared to $103.5 million, or 61.1% of net sales, in the first thirteen weeks of 2025.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$8.0 million in the first thirteen weeks of 2026, compared to the first thirteen weeks of 2025. The reductions reflect actions taken to align operating expenses with lower net sales levels.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63.2% in the first thirteen weeks of 2026 from 61.1% in the first thirteen weeks of 2025. The increase in SG&amp;A as a percentage of net sales reflects fixed cost deleverage resulting from lower net sales, as expense reductions did not fully offset the impact of declining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the first thirteen weeks of 2026 was $3.2 million, as compared to $3.4 million in the first thirteen weeks of 2025. The decrease in 2026 compared to 2025 primarily reflects lower amortization expense associated with the Avenue and Dia customer list intangible assets as a result of the higher amortization recognized in the earlier years of the assets’ useful lives.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the first thirteen weeks of 2026 were $1.7 million, primarily related to fees paid for professional services in connection with the Company’s pending Merger, compared to no such costs incurred during the same period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record any impairments in the first thirteen weeks of 2026 while it did record $5.9 million of impairment charges related to intangible assets in the first thirteen weeks of 2025. The impairment charges recognized reflect the results of the Company’s impairment assessments performed in accordance with applicable accounting guidance. These assessments incorporate estimates of future cash flows and other valuation assumptions.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$11.3 million in the first thirteen weeks of 2026, compared to $9.7 million in the first thirteen weeks of 2025. The increase in 2026 compared to 2025 reflects higher average outstanding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the first thirteen weeks of 2026 and 2025, the Company’s effective tax rate was (16.3%) and 12.8%, respectively. The shift to a negative effective tax rate in the first thirteen weeks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evaluates the recoverability of its deferred tax assets on an ongoing basis. Any valuation allowance recorded is based on estimates and assumptions regarding future taxable income and a determination of the magnitude of deferred tax assets that are more likely than not to be realized. During fiscal 2025, the Company recorded a valuation allowance of $19.0 million against its deferred tax asset related to disallowed interest carryforwards. Over the past two years, the plus-size apparel sector has been adversely affected by general economic weakness, including higher interest rates and rising costs, which have reduced discretionary consumer spending. Consistent with these trends, the Company experienced declining revenue over the past two years, generated an operating loss in fiscal 2025, and continued to incur operating losses during the first thirteen weeks of fiscal 2026.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profitability will return over the longer term, management currently expects near-term operating performance to remain under pressure. Based on the weight of available evidence, including recent operating losses and current forecasts, management concluded that the negative evidence outweighed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positive evidence regarding the realizability of the deferred tax asset related to disallowed interest carryforwards and, accordingly, recorded a valuation allowance. The Company will continue to monitor its tax position and reassess recognition of the deferred tax asset for disallowed interest carryforwards in subsequent reporting periods. If estimates and related assumptions change in future periods, the Company may be required to record additional valuation allowances against its deferred tax assets, which could increase the effective tax rate and materially adversely affect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$26.5 million in the first thirteen weeks of 2026, compared to a net loss of $16.2 million in the first thirteen weeks of 2025. The wider net loss in the 2026 period reflects, in part, a lower tax benefit relative to pre-tax loss, as the Company continues to maintain a full valuation allowance against deferred tax assets related to disallowed interest carryforwards established in fiscal 2025; no such valuation allowance was in place during the first thirteen weeks of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($5.0) million in the first thirteen weeks of 2026 from $2.1 million in the first thirteen weeks of 2025.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(3.3%) in the first thirteen weeks of 2026, compared to 1.3% in the first thirteen weeks of 2025.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Year Ended January 3, 2026 Compared to Year Ended December 28, 2024 and Year Ended December 28, 2024 Compared to Year Ended December 30,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Overview – Fiscal 2025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19"/>
        <w:gridCol w:w="391"/>
        <w:gridCol w:w="176"/>
        <w:gridCol w:w="710"/>
        <w:gridCol w:w="349"/>
        <w:gridCol w:w="310"/>
        <w:gridCol w:w="176"/>
        <w:gridCol w:w="710"/>
        <w:gridCol w:w="349"/>
        <w:gridCol w:w="310"/>
        <w:gridCol w:w="176"/>
        <w:gridCol w:w="716"/>
        <w:gridCol w:w="280"/>
      </w:tblGrid>
      <w:tr>
        <w:trPr/>
        <w:tc>
          <w:tcPr>
            <w:tcW w:w="3919"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w:t>
              <w:br/>
              <w:t>2023</w:t>
            </w:r>
          </w:p>
        </w:tc>
        <w:tc>
          <w:tcPr>
            <w:tcW w:w="280" w:type="dxa"/>
            <w:tcBorders/>
            <w:vAlign w:val="bottom"/>
          </w:tcPr>
          <w:p>
            <w:pPr>
              <w:pStyle w:val="TableContents"/>
              <w:bidi w:val="0"/>
              <w:spacing w:before="0" w:after="283"/>
              <w:jc w:val="left"/>
              <w:rPr/>
            </w:pPr>
            <w:r>
              <w:rPr/>
              <w:t> </w:t>
            </w:r>
          </w:p>
        </w:tc>
      </w:tr>
      <w:tr>
        <w:trPr/>
        <w:tc>
          <w:tcPr>
            <w:tcW w:w="3919"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3982" w:type="dxa"/>
            <w:gridSpan w:val="10"/>
            <w:tcBorders/>
            <w:vAlign w:val="bottom"/>
          </w:tcPr>
          <w:p>
            <w:pPr>
              <w:pStyle w:val="TableContents"/>
              <w:bidi w:val="0"/>
              <w:spacing w:before="0" w:after="283"/>
              <w:jc w:val="center"/>
              <w:rPr>
                <w:i/>
              </w:rPr>
            </w:pPr>
            <w:r>
              <w:rPr>
                <w:i/>
              </w:rPr>
              <w:t>(in millions, except percentage of net</w:t>
              <w:br/>
              <w:t>sales and per share data)</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720.3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805.1</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918.6</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(56.7</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1.5</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0.5</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36.3</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62.6</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82.7</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As a percentage of sales: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59.8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62.7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61.8</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56.4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55.4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53.4</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margin (Non-GAAP)</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5.0</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7.8</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9.0</w:t>
            </w:r>
          </w:p>
        </w:tc>
        <w:tc>
          <w:tcPr>
            <w:tcW w:w="280" w:type="dxa"/>
            <w:tcBorders/>
            <w:shd w:fill="CCEEFF" w:val="clear"/>
            <w:vAlign w:val="bottom"/>
          </w:tcPr>
          <w:p>
            <w:pPr>
              <w:pStyle w:val="TableContents"/>
              <w:bidi w:val="0"/>
              <w:spacing w:before="0" w:after="283"/>
              <w:jc w:val="left"/>
              <w:rPr/>
            </w:pPr>
            <w:r>
              <w:rPr/>
              <w:t>% </w:t>
            </w:r>
          </w:p>
        </w:tc>
      </w:tr>
      <w:tr>
        <w:trPr>
          <w:trHeight w:val="120" w:hRule="atLeast"/>
        </w:trPr>
        <w:tc>
          <w:tcPr>
            <w:tcW w:w="3919" w:type="dxa"/>
            <w:tcBorders/>
            <w:vAlign w:val="center"/>
          </w:tcPr>
          <w:p>
            <w:pPr>
              <w:pStyle w:val="TableContents"/>
              <w:bidi w:val="0"/>
              <w:spacing w:before="0" w:after="283"/>
              <w:jc w:val="left"/>
              <w:rPr>
                <w:sz w:val="4"/>
                <w:szCs w:val="4"/>
              </w:rPr>
            </w:pPr>
            <w:r>
              <w:rPr>
                <w:sz w:val="4"/>
                <w:szCs w:val="4"/>
              </w:rPr>
            </w:r>
          </w:p>
        </w:tc>
        <w:tc>
          <w:tcPr>
            <w:tcW w:w="1626" w:type="dxa"/>
            <w:gridSpan w:val="4"/>
            <w:tcBorders/>
            <w:vAlign w:val="center"/>
          </w:tcPr>
          <w:p>
            <w:pPr>
              <w:pStyle w:val="TableContents"/>
              <w:bidi w:val="0"/>
              <w:spacing w:before="0" w:after="283"/>
              <w:jc w:val="left"/>
              <w:rPr>
                <w:sz w:val="4"/>
                <w:szCs w:val="4"/>
              </w:rPr>
            </w:pPr>
            <w:r>
              <w:rPr>
                <w:sz w:val="4"/>
                <w:szCs w:val="4"/>
              </w:rPr>
            </w:r>
          </w:p>
        </w:tc>
        <w:tc>
          <w:tcPr>
            <w:tcW w:w="1545" w:type="dxa"/>
            <w:gridSpan w:val="4"/>
            <w:tcBorders/>
            <w:vAlign w:val="center"/>
          </w:tcPr>
          <w:p>
            <w:pPr>
              <w:pStyle w:val="TableContents"/>
              <w:bidi w:val="0"/>
              <w:spacing w:before="0" w:after="283"/>
              <w:jc w:val="left"/>
              <w:rPr>
                <w:sz w:val="4"/>
                <w:szCs w:val="4"/>
              </w:rPr>
            </w:pPr>
            <w:r>
              <w:rPr>
                <w:sz w:val="4"/>
                <w:szCs w:val="4"/>
              </w:rPr>
            </w:r>
          </w:p>
        </w:tc>
        <w:tc>
          <w:tcPr>
            <w:tcW w:w="1482" w:type="dxa"/>
            <w:gridSpan w:val="4"/>
            <w:tcBorders/>
            <w:vAlign w:val="center"/>
          </w:tcPr>
          <w:p>
            <w:pPr>
              <w:pStyle w:val="TableContents"/>
              <w:bidi w:val="0"/>
              <w:spacing w:before="0" w:after="283"/>
              <w:jc w:val="left"/>
              <w:rPr>
                <w:sz w:val="4"/>
                <w:szCs w:val="4"/>
              </w:rPr>
            </w:pPr>
            <w:r>
              <w:rPr>
                <w:sz w:val="4"/>
                <w:szCs w:val="4"/>
              </w:rPr>
            </w:r>
          </w:p>
        </w:tc>
      </w:tr>
      <w:tr>
        <w:trPr/>
        <w:tc>
          <w:tcPr>
            <w:tcW w:w="3919" w:type="dxa"/>
            <w:tcBorders/>
          </w:tcPr>
          <w:p>
            <w:pPr>
              <w:pStyle w:val="TableContents"/>
              <w:bidi w:val="0"/>
              <w:spacing w:before="0" w:after="0"/>
              <w:jc w:val="left"/>
              <w:rPr>
                <w:rFonts w:ascii="Times New Roman" w:hAnsi="Times New Roman"/>
                <w:i/>
                <w:sz w:val="20"/>
              </w:rPr>
            </w:pPr>
            <w:r>
              <w:rPr>
                <w:rFonts w:ascii="Times New Roman" w:hAnsi="Times New Roman"/>
                <w:i/>
                <w:sz w:val="20"/>
              </w:rPr>
              <w:t>Liquidity:</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0"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provided by operating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(11.2</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36.4</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77.3</w:t>
            </w:r>
          </w:p>
        </w:tc>
        <w:tc>
          <w:tcPr>
            <w:tcW w:w="280" w:type="dxa"/>
            <w:tcBorders/>
            <w:shd w:fill="CCEEFF" w:val="clear"/>
            <w:vAlign w:val="bottom"/>
          </w:tcPr>
          <w:p>
            <w:pPr>
              <w:pStyle w:val="TableContents"/>
              <w:bidi w:val="0"/>
              <w:spacing w:before="0" w:after="283"/>
              <w:jc w:val="left"/>
              <w:rPr/>
            </w:pPr>
            <w:r>
              <w:rPr/>
              <w:t> </w:t>
            </w:r>
          </w:p>
        </w:tc>
      </w:tr>
      <w:tr>
        <w:trPr/>
        <w:tc>
          <w:tcPr>
            <w:tcW w:w="3919" w:type="dxa"/>
            <w:tcBorders/>
          </w:tcPr>
          <w:p>
            <w:pPr>
              <w:pStyle w:val="TableContents"/>
              <w:bidi w:val="0"/>
              <w:spacing w:before="0" w:after="0"/>
              <w:jc w:val="left"/>
              <w:rPr>
                <w:rFonts w:ascii="Times New Roman" w:hAnsi="Times New Roman"/>
                <w:sz w:val="20"/>
              </w:rPr>
            </w:pPr>
            <w:r>
              <w:rPr>
                <w:rFonts w:ascii="Times New Roman" w:hAnsi="Times New Roman"/>
                <w:sz w:val="20"/>
              </w:rPr>
              <w:t>Cash flow used in investing activities</w:t>
            </w:r>
          </w:p>
        </w:tc>
        <w:tc>
          <w:tcPr>
            <w:tcW w:w="39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(8.1</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0" w:type="dxa"/>
            <w:tcBorders/>
            <w:vAlign w:val="bottom"/>
          </w:tcPr>
          <w:p>
            <w:pPr>
              <w:pStyle w:val="TableContents"/>
              <w:bidi w:val="0"/>
              <w:spacing w:before="0" w:after="283"/>
              <w:jc w:val="right"/>
              <w:rPr/>
            </w:pPr>
            <w:r>
              <w:rPr/>
              <w:t>(23.4</w:t>
            </w:r>
          </w:p>
        </w:tc>
        <w:tc>
          <w:tcPr>
            <w:tcW w:w="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16" w:type="dxa"/>
            <w:tcBorders/>
            <w:vAlign w:val="bottom"/>
          </w:tcPr>
          <w:p>
            <w:pPr>
              <w:pStyle w:val="TableContents"/>
              <w:bidi w:val="0"/>
              <w:spacing w:before="0" w:after="283"/>
              <w:jc w:val="right"/>
              <w:rPr/>
            </w:pPr>
            <w:r>
              <w:rPr/>
              <w:t>(17.1</w:t>
            </w:r>
          </w:p>
        </w:tc>
        <w:tc>
          <w:tcPr>
            <w:tcW w:w="280" w:type="dxa"/>
            <w:tcBorders/>
            <w:vAlign w:val="bottom"/>
          </w:tcPr>
          <w:p>
            <w:pPr>
              <w:pStyle w:val="TableContents"/>
              <w:bidi w:val="0"/>
              <w:spacing w:before="0" w:after="283"/>
              <w:jc w:val="left"/>
              <w:rPr/>
            </w:pPr>
            <w:r>
              <w:rPr/>
              <w:t>) </w:t>
            </w:r>
          </w:p>
        </w:tc>
      </w:tr>
      <w:tr>
        <w:trPr/>
        <w:tc>
          <w:tcPr>
            <w:tcW w:w="3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financing activities</w:t>
            </w:r>
          </w:p>
        </w:tc>
        <w:tc>
          <w:tcPr>
            <w:tcW w:w="39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(7.7</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(53.5</w:t>
            </w:r>
          </w:p>
        </w:tc>
        <w:tc>
          <w:tcPr>
            <w:tcW w:w="349"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(31.3</w:t>
            </w:r>
          </w:p>
        </w:tc>
        <w:tc>
          <w:tcPr>
            <w:tcW w:w="28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Fiscal 2025 results reflected a challenging year for the apparel sector, characterized by cautious consumer spending, digital traffic volatility, and heightened competitive intensity across online channels. As a digitally native plus-size retailer, the Company continued to serve a loyal and underserved customer base; however, macroeconomic pressures and softer discretionary demand weighed on overall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120" w:after="0"/>
        <w:jc w:val="left"/>
        <w:rPr>
          <w:rFonts w:ascii="Times New Roman" w:hAnsi="Times New Roman"/>
          <w:sz w:val="20"/>
        </w:rPr>
      </w:pPr>
      <w:r>
        <w:rPr>
          <w:rFonts w:ascii="Times New Roman" w:hAnsi="Times New Roman"/>
          <w:sz w:val="20"/>
        </w:rPr>
        <w:t xml:space="preserve">Net sales for fiscal 2025 were $720.3 million, compared to $805.1 million in fiscal 2024, representing a decline of approximately 10.5%. The decrease primarily reflects lower demand and reduced traffic across digital and print channels, as consumers moderated discretionary apparel spending amid ongoing inflationary pressures and economic uncertainty. While difficult to quantify, we believe that the increased availability and acceptance of GLP-1 medications also negatively impacted demand. At the same time, the Company’s broad size offering — spanning an exceptionally wide range of sizes across its brand portfolio — and its proprietary fit expertise position it to serve customers across a range of sizing needs, including those whose size requirements may change over time. </w:t>
      </w:r>
    </w:p>
    <w:p>
      <w:pPr>
        <w:pStyle w:val="TextBody"/>
        <w:bidi w:val="0"/>
        <w:spacing w:before="240" w:after="0"/>
        <w:jc w:val="left"/>
        <w:rPr>
          <w:rFonts w:ascii="Times New Roman" w:hAnsi="Times New Roman"/>
          <w:sz w:val="20"/>
        </w:rPr>
      </w:pPr>
      <w:r>
        <w:rPr>
          <w:rFonts w:ascii="Times New Roman" w:hAnsi="Times New Roman"/>
          <w:sz w:val="20"/>
        </w:rPr>
        <w:t xml:space="preserve">As the broader apparel industry remained promotional, the Company maintained pricing discipline and while it did strategically lean into key item price points, the Company did not materially increase promotional intensity. The Company’s ability to maintain this discipline reflects, in part, the proprietary and exclusive nature of its product assortment. Because substantially all products are designed in-house and exclusive to its brands, customers cannot directly price-compare the Company’s offerings against competitors. This product exclusivity, combined with fit expertise and brand loyalty, supports the Company’s approach to margin management even during periods of elevated competitive intensity. As a result, we believe net sales trends were influenced more by traffic and conversion dynamics than by pricing actions. Within the plus-size segment, customers remained engaged with the brand’s differentiated fit, quality, and assortment; however, basket sizes and purchase frequency reflected more cautious spending behavior. </w:t>
      </w:r>
    </w:p>
    <w:p>
      <w:pPr>
        <w:pStyle w:val="TextBody"/>
        <w:bidi w:val="0"/>
        <w:spacing w:before="240" w:after="0"/>
        <w:jc w:val="left"/>
        <w:rPr>
          <w:rFonts w:ascii="Times New Roman" w:hAnsi="Times New Roman"/>
          <w:b/>
          <w:i/>
          <w:sz w:val="20"/>
        </w:rPr>
      </w:pPr>
      <w:r>
        <w:rPr>
          <w:rFonts w:ascii="Times New Roman" w:hAnsi="Times New Roman"/>
          <w:b/>
          <w:i/>
          <w:sz w:val="20"/>
        </w:rPr>
        <w:t xml:space="preserve">Profitability and Margins </w:t>
      </w:r>
    </w:p>
    <w:p>
      <w:pPr>
        <w:pStyle w:val="TextBody"/>
        <w:bidi w:val="0"/>
        <w:spacing w:before="120" w:after="0"/>
        <w:jc w:val="left"/>
        <w:rPr>
          <w:rFonts w:ascii="Times New Roman" w:hAnsi="Times New Roman"/>
          <w:sz w:val="20"/>
        </w:rPr>
      </w:pPr>
      <w:r>
        <w:rPr>
          <w:rFonts w:ascii="Times New Roman" w:hAnsi="Times New Roman"/>
          <w:sz w:val="20"/>
        </w:rPr>
        <w:t xml:space="preserve">Gross profit declined to 59.8% in fiscal 2025 from 62.7% in fiscal 2024. The decrease was primarily attributable to the impact of higher tariffs, changes in channel and product mix, lower private label credit income and higher shipping expenses. The Company did not materially increase promotional activity year-over-year, and margin performance reflects continued pricing discipline in a highly competitive online apparel environment. </w:t>
      </w:r>
    </w:p>
    <w:p>
      <w:pPr>
        <w:pStyle w:val="TextBody"/>
        <w:bidi w:val="0"/>
        <w:spacing w:before="240" w:after="0"/>
        <w:jc w:val="left"/>
        <w:rPr>
          <w:rFonts w:ascii="Times New Roman" w:hAnsi="Times New Roman"/>
          <w:sz w:val="20"/>
        </w:rPr>
      </w:pPr>
      <w:r>
        <w:rPr>
          <w:rFonts w:ascii="Times New Roman" w:hAnsi="Times New Roman"/>
          <w:sz w:val="20"/>
        </w:rPr>
        <w:t xml:space="preserve">Multi-brand customers — those engaged across more than one brand in the portfolio — represented approximately 21% of customers but generated approximately 45% of net sales in fiscal 2025, reflecting materially higher engagement per customer relative to single-brand shoppers. This dynamic represents a significant organic growth opportunity as the Company works to increase multi-brand penetration across its active customer base. If consummated, the pending combination with Destination XL Group is expected to extend this multi-brand customer engagement opportunity to the men’s big &amp; tall demographic by bringing KingSize and the DXL brands within a single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increased to 56.4% of net sales, compared to 55.4% in fiscal 2024. The increase as a percentage of net sales was primarily driven by fixed cost deleverage on lower revenue, including technology infrastructure, performance marketing, and corporate overhead. The Company continued to invest in digital platform optimization, customer analytics, and other initiatives intended to support long-term growth and customer retention. During fiscal 2025, the Company also executed a meaningful reduction in its technology cost structure through offshore outsourcing of certain technology and other corporate functions, capturing labor cost arbitrage that is expected to yield further SG&amp;A savings in fiscal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reported a net loss of $56.7 million, compared to net income of $1.5 million in fiscal 2024.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(Non-GAAP) decreased to $36.3 million, compared to $62.6 million in fiscal 2024, with margin compressing to 5.0% from 7.8%. The decline reflects the combined impact of lower net sales, gross profit pressure, and fixed cost deleverage.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Cash Flow </w:t>
      </w:r>
    </w:p>
    <w:p>
      <w:pPr>
        <w:pStyle w:val="TextBody"/>
        <w:bidi w:val="0"/>
        <w:spacing w:before="120" w:after="0"/>
        <w:jc w:val="left"/>
        <w:rPr>
          <w:rFonts w:ascii="Times New Roman" w:hAnsi="Times New Roman"/>
          <w:sz w:val="20"/>
        </w:rPr>
      </w:pPr>
      <w:r>
        <w:rPr>
          <w:rFonts w:ascii="Times New Roman" w:hAnsi="Times New Roman"/>
          <w:sz w:val="20"/>
        </w:rPr>
        <w:t xml:space="preserve">Liquidity metrics reflected the impact of reduced profitability and working capital dynamics. Net cash used in operating activities was $11.2 million in fiscal 2025, compared to generating $36.4 million in fiscal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investing activities totaled $8.1 million, entirely used for capital expenditures while fiscal 2024 reflected investment activities of $23.4 million with $9.6 million used for capital expenditures and $13.8 million used as payment for the acquisitions of Dia and Avenue.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totaled $7.7 million, compared to $53.5 million in the prior year, primarily due to reduced voluntary paydown of the term loan in 2025 as compared to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prioritize balance sheet flexibility, disciplined inventory management, and controlled capital expenditures in light of ongoing macroeconomic uncertainty. The approximately $92 million reduction in First Lien Term Loan principal through equity contributions and debt-for-equity exchanges, together with the extension of the remaining maturity to August 2029, is expected to reduce leverage, address the near-term refinancing maturity, and provide additional financial flexibility to support investment in the combined platform.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or termination of the Merger Agreement. See Note 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Sales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52"/>
        <w:gridCol w:w="184"/>
        <w:gridCol w:w="160"/>
        <w:gridCol w:w="929"/>
        <w:gridCol w:w="60"/>
        <w:gridCol w:w="143"/>
        <w:gridCol w:w="60"/>
        <w:gridCol w:w="642"/>
        <w:gridCol w:w="276"/>
        <w:gridCol w:w="224"/>
        <w:gridCol w:w="160"/>
        <w:gridCol w:w="928"/>
        <w:gridCol w:w="60"/>
        <w:gridCol w:w="143"/>
        <w:gridCol w:w="60"/>
        <w:gridCol w:w="642"/>
        <w:gridCol w:w="276"/>
        <w:gridCol w:w="224"/>
        <w:gridCol w:w="160"/>
        <w:gridCol w:w="929"/>
        <w:gridCol w:w="60"/>
        <w:gridCol w:w="143"/>
        <w:gridCol w:w="60"/>
        <w:gridCol w:w="642"/>
        <w:gridCol w:w="288"/>
      </w:tblGrid>
      <w:tr>
        <w:trPr/>
        <w:tc>
          <w:tcPr>
            <w:tcW w:w="275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2752"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702"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5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9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81.7</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81.8</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80.8</w:t>
            </w:r>
          </w:p>
        </w:tc>
        <w:tc>
          <w:tcPr>
            <w:tcW w:w="288" w:type="dxa"/>
            <w:tcBorders/>
            <w:shd w:fill="CCEEFF" w:val="clear"/>
            <w:vAlign w:val="bottom"/>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Men’s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13.7</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13.1</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13.5</w:t>
            </w:r>
          </w:p>
        </w:tc>
        <w:tc>
          <w:tcPr>
            <w:tcW w:w="288" w:type="dxa"/>
            <w:tcBorders/>
            <w:vAlign w:val="bottom"/>
          </w:tcPr>
          <w:p>
            <w:pPr>
              <w:pStyle w:val="TableContents"/>
              <w:bidi w:val="0"/>
              <w:spacing w:before="0" w:after="283"/>
              <w:jc w:val="left"/>
              <w:rPr/>
            </w:pPr>
            <w:r>
              <w:rPr/>
              <w:t>% </w:t>
            </w:r>
          </w:p>
        </w:tc>
      </w:tr>
      <w:tr>
        <w:trPr/>
        <w:tc>
          <w:tcPr>
            <w:tcW w:w="27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w:t>
            </w:r>
          </w:p>
        </w:tc>
        <w:tc>
          <w:tcPr>
            <w:tcW w:w="18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4.6</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5.1</w:t>
            </w:r>
          </w:p>
        </w:tc>
        <w:tc>
          <w:tcPr>
            <w:tcW w:w="276"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2" w:type="dxa"/>
            <w:tcBorders/>
            <w:shd w:fill="CCEEFF" w:val="clear"/>
            <w:vAlign w:val="bottom"/>
          </w:tcPr>
          <w:p>
            <w:pPr>
              <w:pStyle w:val="TableContents"/>
              <w:bidi w:val="0"/>
              <w:spacing w:before="0" w:after="283"/>
              <w:jc w:val="right"/>
              <w:rPr/>
            </w:pPr>
            <w:r>
              <w:rPr/>
              <w:t>5.7</w:t>
            </w:r>
          </w:p>
        </w:tc>
        <w:tc>
          <w:tcPr>
            <w:tcW w:w="288" w:type="dxa"/>
            <w:tcBorders/>
            <w:shd w:fill="CCEEFF" w:val="clear"/>
            <w:vAlign w:val="bottom"/>
          </w:tcPr>
          <w:p>
            <w:pPr>
              <w:pStyle w:val="TableContents"/>
              <w:bidi w:val="0"/>
              <w:spacing w:before="0" w:after="283"/>
              <w:jc w:val="left"/>
              <w:rPr/>
            </w:pPr>
            <w:r>
              <w:rPr/>
              <w:t>% </w:t>
            </w:r>
          </w:p>
        </w:tc>
      </w:tr>
      <w:tr>
        <w:trPr/>
        <w:tc>
          <w:tcPr>
            <w:tcW w:w="2752" w:type="dxa"/>
            <w:tcBorders/>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100.0</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8"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100.0</w:t>
            </w:r>
          </w:p>
        </w:tc>
        <w:tc>
          <w:tcPr>
            <w:tcW w:w="27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29"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2" w:type="dxa"/>
            <w:tcBorders/>
            <w:vAlign w:val="bottom"/>
          </w:tcPr>
          <w:p>
            <w:pPr>
              <w:pStyle w:val="TableContents"/>
              <w:bidi w:val="0"/>
              <w:spacing w:before="0" w:after="283"/>
              <w:jc w:val="right"/>
              <w:rPr/>
            </w:pPr>
            <w:r>
              <w:rPr/>
              <w:t>100.0</w:t>
            </w:r>
          </w:p>
        </w:tc>
        <w:tc>
          <w:tcPr>
            <w:tcW w:w="28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decreased to $720.3 million in fiscal 2025 from $805.1 million in fiscal 2024 and $918.6 million in fiscal 2023. The 10.5% decline in fiscal 2025 follows a 12.4% decline in fiscal 2024 compared to fiscal 2023, reflecting continued softness in demand. </w:t>
      </w:r>
    </w:p>
    <w:p>
      <w:pPr>
        <w:pStyle w:val="TextBody"/>
        <w:bidi w:val="0"/>
        <w:spacing w:before="240" w:after="0"/>
        <w:jc w:val="left"/>
        <w:rPr>
          <w:rFonts w:ascii="Times New Roman" w:hAnsi="Times New Roman"/>
          <w:sz w:val="20"/>
        </w:rPr>
      </w:pPr>
      <w:r>
        <w:rPr>
          <w:rFonts w:ascii="Times New Roman" w:hAnsi="Times New Roman"/>
          <w:sz w:val="20"/>
        </w:rPr>
        <w:t xml:space="preserve">The Company disaggregates net sales by product category (Women’s, Men’s and Home Décor) as management believes this presentation best depicts the nature of the Company’s products and how economic factors affect revenue performance. These categories reflect how the Company evaluates revenue trends and provides meaningful information regarding shifts in customer demand and product mix. </w:t>
      </w:r>
    </w:p>
    <w:p>
      <w:pPr>
        <w:pStyle w:val="TextBody"/>
        <w:bidi w:val="0"/>
        <w:spacing w:before="240" w:after="0"/>
        <w:jc w:val="left"/>
        <w:rPr>
          <w:rFonts w:ascii="Times New Roman" w:hAnsi="Times New Roman"/>
          <w:sz w:val="20"/>
        </w:rPr>
      </w:pPr>
      <w:r>
        <w:rPr>
          <w:rFonts w:ascii="Times New Roman" w:hAnsi="Times New Roman"/>
          <w:sz w:val="20"/>
        </w:rPr>
        <w:t xml:space="preserve">By category, Women’s net sales totaled $588.2 million (81.7% of net sales) in fiscal 2025, compared to $658.3 million (81.8%) in fiscal 2024 and $742.0 million (80.8%) in fiscal 2023. Men’s net sales were $98.4 million (13.7%) in fiscal 2025, compared to $105.8 million (13.1%) in fiscal 2024 and $123.8 million (13.5%) in fiscal 2023. The Men’s business, anchored by KingSize, applies the Company’s proprietary fit expertise and exclusive assortment model to the big &amp; tall men’s demographic, operating within the Classic Mall platform infrastructure. Home Décor net sales declined to $33.8 million (4.6%) in fiscal 2025 from $41.0 million (5.1%) in fiscal 2024 and $52.8 million (5.7%) in fiscal 2023. The Home Décor business, anchored by BrylaneHome, offers an affordable home furnishings assortment across bedding, bath, furniture and outdoor categories with broad customer appeal, and uniquely extends the Company’s plus-size expertise into the home through a Plus Size Living collection of oversized bedding, oversized furniture and big &amp; tall home essentials. The category mix has remained relatively stable, with Women’s continuing to represent the majority of total net sales.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revenue decline in both fiscal 2025 as compared to fiscal 2024 as well as fiscal 2024 as compared to fiscal 2023 reflects primarily the impact of reduced traffic and new customer acquisition headwinds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rather than deterioration in its core customer relationships. The Company’s most engaged customers — those purchasing four or more times over their lifetime — continue to drive approximately 91% of active customer sales, and approximately 76% of active customers are multi-purchase buyers. These retention dynamics may suggest the Company’s brand loyalty and fit-driven customer relationships remain intact, with fiscal 2025 revenue performance more closely tied to top-of-funnel traffic and acquisition conditions than to meaningful erosion of its established customer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w:t>
      </w:r>
    </w:p>
    <w:p>
      <w:pPr>
        <w:pStyle w:val="TextBody"/>
        <w:bidi w:val="0"/>
        <w:spacing w:before="120" w:after="0"/>
        <w:jc w:val="left"/>
        <w:rPr>
          <w:rFonts w:ascii="Times New Roman" w:hAnsi="Times New Roman"/>
          <w:sz w:val="20"/>
        </w:rPr>
      </w:pPr>
      <w:r>
        <w:rPr>
          <w:rFonts w:ascii="Times New Roman" w:hAnsi="Times New Roman"/>
          <w:sz w:val="20"/>
        </w:rPr>
        <w:t xml:space="preserve">Gross profit totaled approximately $430.5 million in fiscal 2025, compared to $504.4 million in fiscal 2024 and $567.6 million in fiscal 2023. Gross profit was 59.8% in fiscal 2025, compared to 62.7% in fiscal 2024 and 61.8% in fiscal 2023. The 290 basis point decline in fiscal 2025 compared to fiscal 2024 follows a 90 basis point increase in fiscal 2024 compared to fiscal 2023. The decline in 2025 was driven by a 190 basis point decrease in product margin as product mix and promotion pressure caused a decrease in selling price of 2.7% while tariffs contributed to an increase in average unit cost of 2.8%. Shipping costs per order were also up in 2025 due to an increase in split shipments. In 2024, the increase was a result of an 80 basis point increase in product margin due to lower product costs. The Company’s merchandise strategy, weighted toward core replenishment styles that carry over across seasons, is designed to reduce markdown exposure and support margin stability over time as transitory headwinds moderate.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(“SG&amp;A”) expenses were $406.2 million, or 56.4% of net sales, in fiscal 2025, compared to $445.8 million, or 55.4% of net sales, in fiscal 2024 and $490.3 million, or 53.4% of net sales,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SG&amp;A expenses decreased by $39.6 million in fiscal 2025 compared to fiscal 2024 and decreased by $44.5 million in fiscal 2024 compared to fiscal 2023. The reductions reflect actions taken to align operating expenses with lower net sales levels.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decline in absolute SG&amp;A expense, SG&amp;A increased as a percentage of net sales to 56.4% in fiscal 2025 from 55.4% in fiscal 2024 and 53.4% in fiscal 2023. The increase in SG&amp;A as a percentage of net sales reflects fixed cost deleverage resulting from lower net sales, as expense reductions did not fully offset the impact of declining revenue.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continues to actively align its cost structure with revenue trends and believes its ongoing expense management initiatives position it to improve SG&amp;A leverage and operating margins as net sales stabilize or improve.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pressure from fixed cost deleverage, the Company continued to make deliberate investments in capabilities central to its long-term platform strategy, including technology infrastructure supporting the Universal Cart and multi-brand cross-shopping, digital marketing analytics and customer lifetime value modeling, and ongoing product development in fit and proprietary design. During fiscal 2025, the Company also executed a meaningful reduction in its technology cost structure through offshore outsourcing of certain technology and other corporate functions, capturing labor cost arbitrage that is expected to yield further benefit to SG&amp;A in fiscal 2026 and beyond. The Company believes that maintaining investment in its core platform capabilities while actively managing its cost base positions it to capture operating leverage as demand stabilizes and revenue returns to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Depreciation and amortization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expense for fiscal 2025 was $13.6 million, as compared to $12.1 million in fiscal 2024 and $14.4 million in fiscal 2023. The increase in fiscal 2025 compared to fiscal 2024 reflects the increase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expenditures in 2024 relative to 2023 generating more depreciation in 2025. The decrease in fiscal 2024 compared to fiscal 2023 reflects the decrease in amortization of the customer list intangible assets.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Transaction-Related Costs </w:t>
      </w:r>
    </w:p>
    <w:p>
      <w:pPr>
        <w:pStyle w:val="TextBody"/>
        <w:bidi w:val="0"/>
        <w:spacing w:before="120" w:after="0"/>
        <w:jc w:val="left"/>
        <w:rPr>
          <w:rFonts w:ascii="Times New Roman" w:hAnsi="Times New Roman"/>
          <w:sz w:val="20"/>
        </w:rPr>
      </w:pPr>
      <w:r>
        <w:rPr>
          <w:rFonts w:ascii="Times New Roman" w:hAnsi="Times New Roman"/>
          <w:sz w:val="20"/>
        </w:rPr>
        <w:t xml:space="preserve">Transaction-related costs for fiscal 2025 were $4.8 million and primarily related to fees paid for professional services in connection with the Company’s pending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Intangible Assets, Goodwill and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During fiscal 2025, the Company recorded $5.9 million of impairment charges related to intangible assets and $10.1 million of goodwill impairment. No impairment charges were recorded in fiscal 2024. In fiscal 2023, the Company recorded $14.8 million of impairment charges related to tradenames of $11.5 million and property, plant and equipment of $3.3 million. </w:t>
      </w:r>
    </w:p>
    <w:p>
      <w:pPr>
        <w:pStyle w:val="TextBody"/>
        <w:bidi w:val="0"/>
        <w:spacing w:before="240" w:after="0"/>
        <w:jc w:val="left"/>
        <w:rPr>
          <w:rFonts w:ascii="Times New Roman" w:hAnsi="Times New Roman"/>
          <w:sz w:val="20"/>
        </w:rPr>
      </w:pPr>
      <w:r>
        <w:rPr>
          <w:rFonts w:ascii="Times New Roman" w:hAnsi="Times New Roman"/>
          <w:sz w:val="20"/>
        </w:rPr>
        <w:t xml:space="preserve">The impairment charges recognized in fiscal 2025 reflect the results of the Company’s impairment assessments performed in accordance with applicable accounting guidance. These assessments incorporate estimates of future cash flows and other valuation assumptions. The impairment charge recorded in fiscal 2023 similarly resulted from the Company’s evaluation of the recoverability of certain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monitor its intangible assets for indicators of impairment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 – net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net, was $38.8 million in fiscal 2025, compared to $41.8 million in fiscal 2024 and $48.1 million in fiscal 2023. The decrease in fiscal 2025 compared to fiscal 2024, and in fiscal 2024 compared to fiscal 2023, reflects lower average outstanding debt balances and changes in interest rates over the three-year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There was no loss on extinguishment of debt in fiscal 2025, as compared to $3.2 million in fiscal 2024 and $1.7 million in fiscal 2023. The losses in 2024 and 2023 were related to early paydowns of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 (benefit) </w:t>
      </w:r>
    </w:p>
    <w:p>
      <w:pPr>
        <w:pStyle w:val="TextBody"/>
        <w:bidi w:val="0"/>
        <w:spacing w:before="120" w:after="0"/>
        <w:jc w:val="left"/>
        <w:rPr>
          <w:rFonts w:ascii="Times New Roman" w:hAnsi="Times New Roman"/>
          <w:sz w:val="20"/>
        </w:rPr>
      </w:pPr>
      <w:r>
        <w:rPr>
          <w:rFonts w:ascii="Times New Roman" w:hAnsi="Times New Roman"/>
          <w:sz w:val="20"/>
        </w:rPr>
        <w:t xml:space="preserve">For fiscal 2025, fiscal 2024 and fiscal 2023, the Company’s effective tax rate was (16.4%), 35.5% and (506.7%) respectively. The decrease in the effective tax rate in fiscal 2025 compared to fiscal 2024 was primarily due to a $19.0 million valuation allowance recorded in 2025. The effective tax rate before the valuation allowance was 22.5% for fiscal 2025. The Company’s effective tax rate for fiscal 2023 was distorted by the fact that income was close to zero. The most significant item affecting the effective tax rate in 2023 was a nontaxable revaluation of the Company’s outstanding warrants.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In fiscal 2025, the Company recorded a valuation allowance of $19.0 million against its deferred tax asset for disallowed interest carryforwards. Over the past two years, the plus-size apparel sector has been adversely affected by general economic weakness, including higher interest rates and rising costs, which has reduced discretionary consumer spending. Consistent with these trends, the Company has experienced declining revenue over the past two years and generated an operating loss in fiscal 2025. While we believe that profitability will return over the longer term, in the near term we are forecasting operating losses. Management concluded that this negative evidence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outweighs available positive evidence regarding realizability of its disallowed interest carryforward and consequently recorded a valuation allowance. We will continue to monitor our tax position and will reassess recognition of the deferred tax asset for disallowed interest carryforwards in subsequent reporting periods. If these estimates and related assumptions change in the future, the Company may be required to record additional valuation allowances against its deferred tax assets and its effective tax rate may increase which could result in a material adverse impact on the Company’s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reported a net loss of $56.7 million in fiscal 2025, compared to net income of $1.5 million in fiscal 2024 and $0.5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Fiscal 2025 results included $5.9 million of intangible asset impairment charges and $10.1 million of goodwill impairment, which adversely impacted net income for the year. In fiscal 2023, the Company recorded $14.8 million of impairment charges related to tradenames of $11.5 million and property, plant and equipment of $3.3 million while no impairment charges were recorded in fiscal 2024. There was a charge related to adjusting our valuation allowance of $19.0 million in 2025 while neither 2024 nor 2023 had a valuation allowance.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EBITDA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EBITDA decreased to $36.3 million in fiscal 2025 from $62.6 million in fiscal 2024 and $82.7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margin declined to 5.0% in fiscal 2025, compared to 7.8% in fiscal 2024 and 9.0% in fiscal 2023. The margin compression reflects the combined impact of declining net sales, gross profit variability, and operating expense deleverage.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views Adjusted EBITDA as one of the key indicators of its platform’s operating performance, as it reflects the cash-generative characteristics of the shared-services model before the effects of capital structure, non-cash charges and non-recurring items. The compression in Adjusted EBITDA margin from 7.8% to 5.0% in fiscal 2025 reflects the fixed cost deleverage inherent in a platform business during a period of revenue decline. This was evident in the decrease from 9.0% in fiscal 2023 to 7.8% in fiscal 2024 as well. The Company’s continued positive Adjusted EBITDA generation during fiscal 2025, despite the magnitude of revenue pressure, reflects the resilience of its underlying business economics and its disciplined approach to cost management.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business shows relative consistency by semester with net sales in spring summer, fiscal January through fiscal June, and fall winter, fiscal July through fiscal December, being very comparable and approximately an even split of the annual results. A comparison of net sales by semester for each of the past three fiscal years is presented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4"/>
        <w:gridCol w:w="184"/>
        <w:gridCol w:w="60"/>
        <w:gridCol w:w="988"/>
        <w:gridCol w:w="60"/>
        <w:gridCol w:w="184"/>
        <w:gridCol w:w="60"/>
        <w:gridCol w:w="599"/>
        <w:gridCol w:w="275"/>
        <w:gridCol w:w="133"/>
        <w:gridCol w:w="140"/>
        <w:gridCol w:w="844"/>
        <w:gridCol w:w="60"/>
        <w:gridCol w:w="184"/>
        <w:gridCol w:w="60"/>
        <w:gridCol w:w="598"/>
        <w:gridCol w:w="275"/>
        <w:gridCol w:w="133"/>
        <w:gridCol w:w="140"/>
        <w:gridCol w:w="988"/>
        <w:gridCol w:w="60"/>
        <w:gridCol w:w="184"/>
        <w:gridCol w:w="60"/>
        <w:gridCol w:w="599"/>
        <w:gridCol w:w="283"/>
      </w:tblGrid>
      <w:tr>
        <w:trPr/>
        <w:tc>
          <w:tcPr>
            <w:tcW w:w="305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4" w:type="dxa"/>
            <w:tcBorders/>
            <w:vAlign w:val="bottom"/>
          </w:tcPr>
          <w:p>
            <w:pPr>
              <w:pStyle w:val="TableContents"/>
              <w:bidi w:val="0"/>
              <w:spacing w:before="0" w:after="283"/>
              <w:jc w:val="left"/>
              <w:rPr>
                <w:i/>
              </w:rPr>
            </w:pPr>
            <w:r>
              <w:rPr>
                <w:i/>
              </w:rPr>
              <w:t>(in thousands)</w:t>
            </w:r>
          </w:p>
        </w:tc>
        <w:tc>
          <w:tcPr>
            <w:tcW w:w="184" w:type="dxa"/>
            <w:tcBorders/>
            <w:vAlign w:val="bottom"/>
          </w:tcPr>
          <w:p>
            <w:pPr>
              <w:pStyle w:val="TableContents"/>
              <w:bidi w:val="0"/>
              <w:spacing w:before="0" w:after="283"/>
              <w:jc w:val="left"/>
              <w:rPr/>
            </w:pPr>
            <w:r>
              <w:rPr/>
              <w:t>  </w:t>
            </w:r>
          </w:p>
        </w:tc>
        <w:tc>
          <w:tcPr>
            <w:tcW w:w="19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8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27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0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283" w:type="dxa"/>
            <w:tcBorders/>
            <w:vAlign w:val="bottom"/>
          </w:tcPr>
          <w:p>
            <w:pPr>
              <w:pStyle w:val="TableContents"/>
              <w:bidi w:val="0"/>
              <w:spacing w:before="0" w:after="283"/>
              <w:jc w:val="left"/>
              <w:rPr/>
            </w:pPr>
            <w:r>
              <w:rPr/>
              <w:t> </w:t>
            </w:r>
          </w:p>
        </w:tc>
      </w:tr>
      <w:tr>
        <w:trPr/>
        <w:tc>
          <w:tcPr>
            <w:tcW w:w="3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half</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$360,580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i/>
              </w:rPr>
            </w:pPr>
            <w:r>
              <w:rPr>
                <w:i/>
              </w:rPr>
              <w:t>50.1</w:t>
            </w:r>
          </w:p>
        </w:tc>
        <w:tc>
          <w:tcPr>
            <w:tcW w:w="275" w:type="dxa"/>
            <w:tcBorders/>
            <w:shd w:fill="CCEEFF" w:val="clear"/>
            <w:vAlign w:val="bottom"/>
          </w:tcPr>
          <w:p>
            <w:pPr>
              <w:pStyle w:val="TableContents"/>
              <w:bidi w:val="0"/>
              <w:spacing w:before="0" w:after="283"/>
              <w:jc w:val="left"/>
              <w:rPr>
                <w:i/>
              </w:rPr>
            </w:pPr>
            <w:r>
              <w:rPr>
                <w:i/>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410,715</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i/>
              </w:rPr>
            </w:pPr>
            <w:r>
              <w:rPr>
                <w:i/>
              </w:rPr>
              <w:t>51.0</w:t>
            </w:r>
          </w:p>
        </w:tc>
        <w:tc>
          <w:tcPr>
            <w:tcW w:w="275" w:type="dxa"/>
            <w:tcBorders/>
            <w:shd w:fill="CCEEFF" w:val="clear"/>
            <w:vAlign w:val="bottom"/>
          </w:tcPr>
          <w:p>
            <w:pPr>
              <w:pStyle w:val="TableContents"/>
              <w:bidi w:val="0"/>
              <w:spacing w:before="0" w:after="283"/>
              <w:jc w:val="left"/>
              <w:rPr>
                <w:i/>
              </w:rPr>
            </w:pPr>
            <w:r>
              <w:rPr>
                <w:i/>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8" w:type="dxa"/>
            <w:tcBorders/>
            <w:shd w:fill="CCEEFF" w:val="clear"/>
            <w:vAlign w:val="bottom"/>
          </w:tcPr>
          <w:p>
            <w:pPr>
              <w:pStyle w:val="TableContents"/>
              <w:bidi w:val="0"/>
              <w:spacing w:before="0" w:after="283"/>
              <w:jc w:val="right"/>
              <w:rPr/>
            </w:pPr>
            <w:r>
              <w:rPr/>
              <w:t>461,157</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i/>
              </w:rPr>
            </w:pPr>
            <w:r>
              <w:rPr>
                <w:i/>
              </w:rPr>
              <w:t>50.2</w:t>
            </w:r>
          </w:p>
        </w:tc>
        <w:tc>
          <w:tcPr>
            <w:tcW w:w="283" w:type="dxa"/>
            <w:tcBorders/>
            <w:shd w:fill="CCEEFF" w:val="clear"/>
            <w:vAlign w:val="bottom"/>
          </w:tcPr>
          <w:p>
            <w:pPr>
              <w:pStyle w:val="TableContents"/>
              <w:bidi w:val="0"/>
              <w:spacing w:before="0" w:after="283"/>
              <w:jc w:val="left"/>
              <w:rPr>
                <w:i/>
              </w:rPr>
            </w:pPr>
            <w:r>
              <w:rPr>
                <w:i/>
              </w:rPr>
              <w:t>% </w:t>
            </w:r>
          </w:p>
        </w:tc>
      </w:tr>
      <w:tr>
        <w:trPr/>
        <w:tc>
          <w:tcPr>
            <w:tcW w:w="3054" w:type="dxa"/>
            <w:tcBorders/>
          </w:tcPr>
          <w:p>
            <w:pPr>
              <w:pStyle w:val="TableContents"/>
              <w:bidi w:val="0"/>
              <w:spacing w:before="0" w:after="0"/>
              <w:jc w:val="left"/>
              <w:rPr>
                <w:rFonts w:ascii="Times New Roman" w:hAnsi="Times New Roman"/>
                <w:sz w:val="20"/>
              </w:rPr>
            </w:pPr>
            <w:r>
              <w:rPr>
                <w:rFonts w:ascii="Times New Roman" w:hAnsi="Times New Roman"/>
                <w:sz w:val="20"/>
              </w:rPr>
              <w:t>Second half</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359,752</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i/>
              </w:rPr>
            </w:pPr>
            <w:r>
              <w:rPr>
                <w:i/>
              </w:rPr>
              <w:t>49.9</w:t>
            </w:r>
          </w:p>
        </w:tc>
        <w:tc>
          <w:tcPr>
            <w:tcW w:w="275" w:type="dxa"/>
            <w:tcBorders/>
            <w:vAlign w:val="bottom"/>
          </w:tcPr>
          <w:p>
            <w:pPr>
              <w:pStyle w:val="TableContents"/>
              <w:bidi w:val="0"/>
              <w:spacing w:before="0" w:after="283"/>
              <w:jc w:val="left"/>
              <w:rPr>
                <w:i/>
              </w:rPr>
            </w:pPr>
            <w:r>
              <w:rPr>
                <w:i/>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4" w:type="dxa"/>
            <w:tcBorders/>
            <w:vAlign w:val="bottom"/>
          </w:tcPr>
          <w:p>
            <w:pPr>
              <w:pStyle w:val="TableContents"/>
              <w:bidi w:val="0"/>
              <w:spacing w:before="0" w:after="283"/>
              <w:jc w:val="right"/>
              <w:rPr/>
            </w:pPr>
            <w:r>
              <w:rPr/>
              <w:t>394,382</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i/>
              </w:rPr>
            </w:pPr>
            <w:r>
              <w:rPr>
                <w:i/>
              </w:rPr>
              <w:t>49.0</w:t>
            </w:r>
          </w:p>
        </w:tc>
        <w:tc>
          <w:tcPr>
            <w:tcW w:w="275" w:type="dxa"/>
            <w:tcBorders/>
            <w:vAlign w:val="bottom"/>
          </w:tcPr>
          <w:p>
            <w:pPr>
              <w:pStyle w:val="TableContents"/>
              <w:bidi w:val="0"/>
              <w:spacing w:before="0" w:after="283"/>
              <w:jc w:val="left"/>
              <w:rPr>
                <w:i/>
              </w:rPr>
            </w:pPr>
            <w:r>
              <w:rPr>
                <w:i/>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8" w:type="dxa"/>
            <w:tcBorders/>
            <w:vAlign w:val="bottom"/>
          </w:tcPr>
          <w:p>
            <w:pPr>
              <w:pStyle w:val="TableContents"/>
              <w:bidi w:val="0"/>
              <w:spacing w:before="0" w:after="283"/>
              <w:jc w:val="right"/>
              <w:rPr/>
            </w:pPr>
            <w:r>
              <w:rPr/>
              <w:t>457,433</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i/>
              </w:rPr>
            </w:pPr>
            <w:r>
              <w:rPr>
                <w:i/>
              </w:rPr>
              <w:t>49.8</w:t>
            </w:r>
          </w:p>
        </w:tc>
        <w:tc>
          <w:tcPr>
            <w:tcW w:w="283" w:type="dxa"/>
            <w:tcBorders/>
            <w:vAlign w:val="bottom"/>
          </w:tcPr>
          <w:p>
            <w:pPr>
              <w:pStyle w:val="TableContents"/>
              <w:bidi w:val="0"/>
              <w:spacing w:before="0" w:after="283"/>
              <w:jc w:val="left"/>
              <w:rPr>
                <w:i/>
              </w:rPr>
            </w:pPr>
            <w:r>
              <w:rPr>
                <w:i/>
              </w:rPr>
              <w:t>% </w:t>
            </w:r>
          </w:p>
        </w:tc>
      </w:tr>
      <w:tr>
        <w:trPr/>
        <w:tc>
          <w:tcPr>
            <w:tcW w:w="305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8"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0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Sales</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$720,332</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i/>
              </w:rPr>
            </w:pPr>
            <w:r>
              <w:rPr>
                <w:i/>
              </w:rPr>
              <w:t>100.0</w:t>
            </w:r>
          </w:p>
        </w:tc>
        <w:tc>
          <w:tcPr>
            <w:tcW w:w="275" w:type="dxa"/>
            <w:tcBorders/>
            <w:shd w:fill="CCEEFF" w:val="clear"/>
            <w:vAlign w:val="bottom"/>
          </w:tcPr>
          <w:p>
            <w:pPr>
              <w:pStyle w:val="TableContents"/>
              <w:bidi w:val="0"/>
              <w:spacing w:before="0" w:after="283"/>
              <w:jc w:val="left"/>
              <w:rPr>
                <w:i/>
              </w:rPr>
            </w:pPr>
            <w:r>
              <w:rPr>
                <w:i/>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4" w:type="dxa"/>
            <w:tcBorders/>
            <w:shd w:fill="CCEEFF" w:val="clear"/>
            <w:vAlign w:val="bottom"/>
          </w:tcPr>
          <w:p>
            <w:pPr>
              <w:pStyle w:val="TableContents"/>
              <w:bidi w:val="0"/>
              <w:spacing w:before="0" w:after="283"/>
              <w:jc w:val="right"/>
              <w:rPr/>
            </w:pPr>
            <w:r>
              <w:rPr/>
              <w:t>805,097</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i/>
              </w:rPr>
            </w:pPr>
            <w:r>
              <w:rPr>
                <w:i/>
              </w:rPr>
              <w:t>100.0</w:t>
            </w:r>
          </w:p>
        </w:tc>
        <w:tc>
          <w:tcPr>
            <w:tcW w:w="275" w:type="dxa"/>
            <w:tcBorders/>
            <w:shd w:fill="CCEEFF" w:val="clear"/>
            <w:vAlign w:val="bottom"/>
          </w:tcPr>
          <w:p>
            <w:pPr>
              <w:pStyle w:val="TableContents"/>
              <w:bidi w:val="0"/>
              <w:spacing w:before="0" w:after="283"/>
              <w:jc w:val="left"/>
              <w:rPr>
                <w:i/>
              </w:rPr>
            </w:pPr>
            <w:r>
              <w:rPr>
                <w:i/>
              </w:rPr>
              <w:t>% </w:t>
            </w:r>
          </w:p>
        </w:tc>
        <w:tc>
          <w:tcPr>
            <w:tcW w:w="1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8" w:type="dxa"/>
            <w:tcBorders/>
            <w:shd w:fill="CCEEFF" w:val="clear"/>
            <w:vAlign w:val="bottom"/>
          </w:tcPr>
          <w:p>
            <w:pPr>
              <w:pStyle w:val="TableContents"/>
              <w:bidi w:val="0"/>
              <w:spacing w:before="0" w:after="283"/>
              <w:jc w:val="right"/>
              <w:rPr/>
            </w:pPr>
            <w:r>
              <w:rPr/>
              <w:t>$918,590</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i/>
              </w:rPr>
            </w:pPr>
            <w:r>
              <w:rPr>
                <w:i/>
              </w:rPr>
              <w:t>100.0</w:t>
            </w:r>
          </w:p>
        </w:tc>
        <w:tc>
          <w:tcPr>
            <w:tcW w:w="283" w:type="dxa"/>
            <w:tcBorders/>
            <w:shd w:fill="CCEEFF" w:val="clear"/>
            <w:vAlign w:val="bottom"/>
          </w:tcPr>
          <w:p>
            <w:pPr>
              <w:pStyle w:val="TableContents"/>
              <w:bidi w:val="0"/>
              <w:spacing w:before="0" w:after="283"/>
              <w:jc w:val="left"/>
              <w:rPr>
                <w:i/>
              </w:rPr>
            </w:pPr>
            <w:r>
              <w:rPr>
                <w:i/>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primary sources of liquidity are our cash and cash equivalents, cash generated from operations and availability under our ABL Credit Facility, as discussed below. We believe that our cash, cash equivalents, cash generated from operations, and borrowings available to us under our ABL Credit Facility will be adequate to meet our liquidity needs and capital expenditure requirements for at least the next 12 months assuming the Merger closes.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first fiscal quarter of 2026 and 2025, respectively: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19"/>
        <w:gridCol w:w="573"/>
        <w:gridCol w:w="268"/>
        <w:gridCol w:w="1080"/>
        <w:gridCol w:w="155"/>
        <w:gridCol w:w="573"/>
        <w:gridCol w:w="329"/>
        <w:gridCol w:w="1316"/>
        <w:gridCol w:w="159"/>
      </w:tblGrid>
      <w:tr>
        <w:trPr/>
        <w:tc>
          <w:tcPr>
            <w:tcW w:w="4119"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1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573" w:type="dxa"/>
            <w:tcBorders/>
            <w:vAlign w:val="bottom"/>
          </w:tcPr>
          <w:p>
            <w:pPr>
              <w:pStyle w:val="TableContents"/>
              <w:bidi w:val="0"/>
              <w:spacing w:before="0" w:after="283"/>
              <w:jc w:val="left"/>
              <w:rPr/>
            </w:pPr>
            <w:r>
              <w:rPr/>
              <w:t>  </w:t>
            </w:r>
          </w:p>
        </w:tc>
        <w:tc>
          <w:tcPr>
            <w:tcW w:w="13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 2026</w:t>
            </w:r>
          </w:p>
        </w:tc>
        <w:tc>
          <w:tcPr>
            <w:tcW w:w="15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1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 2025</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 operating activities (GAAP basis)</w:t>
            </w:r>
          </w:p>
        </w:tc>
        <w:tc>
          <w:tcPr>
            <w:tcW w:w="57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(26.2</w:t>
            </w:r>
          </w:p>
        </w:tc>
        <w:tc>
          <w:tcPr>
            <w:tcW w:w="15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(14.7</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57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(1.8</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57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(1.8</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by/(used in) financing activities</w:t>
            </w:r>
          </w:p>
        </w:tc>
        <w:tc>
          <w:tcPr>
            <w:tcW w:w="57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(2.0</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period end</w:t>
            </w:r>
          </w:p>
        </w:tc>
        <w:tc>
          <w:tcPr>
            <w:tcW w:w="57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19.8</w:t>
            </w:r>
          </w:p>
        </w:tc>
        <w:tc>
          <w:tcPr>
            <w:tcW w:w="159" w:type="dxa"/>
            <w:tcBorders/>
            <w:shd w:fill="CCEEFF" w:val="clear"/>
            <w:vAlign w:val="bottom"/>
          </w:tcPr>
          <w:p>
            <w:pPr>
              <w:pStyle w:val="TableContents"/>
              <w:bidi w:val="0"/>
              <w:spacing w:before="0" w:after="283"/>
              <w:jc w:val="left"/>
              <w:rPr/>
            </w:pPr>
            <w:r>
              <w:rPr/>
              <w:t> </w:t>
            </w:r>
          </w:p>
        </w:tc>
      </w:tr>
      <w:tr>
        <w:trPr/>
        <w:tc>
          <w:tcPr>
            <w:tcW w:w="4119"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573"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276.2</w:t>
            </w:r>
          </w:p>
        </w:tc>
        <w:tc>
          <w:tcPr>
            <w:tcW w:w="155"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254.3</w:t>
            </w:r>
          </w:p>
        </w:tc>
        <w:tc>
          <w:tcPr>
            <w:tcW w:w="159" w:type="dxa"/>
            <w:tcBorders/>
            <w:vAlign w:val="bottom"/>
          </w:tcPr>
          <w:p>
            <w:pPr>
              <w:pStyle w:val="TableContents"/>
              <w:bidi w:val="0"/>
              <w:spacing w:before="0" w:after="283"/>
              <w:jc w:val="left"/>
              <w:rPr/>
            </w:pPr>
            <w:r>
              <w:rPr/>
              <w:t> </w:t>
            </w:r>
          </w:p>
        </w:tc>
      </w:tr>
      <w:tr>
        <w:trPr/>
        <w:tc>
          <w:tcPr>
            <w:tcW w:w="41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573"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53.0</w:t>
            </w:r>
          </w:p>
        </w:tc>
        <w:tc>
          <w:tcPr>
            <w:tcW w:w="155"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77.5</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flow from operating activities was a use of $26.2 million for the first thirteen weeks of 2026, compared to a use of $14.7 million for the first thirteen weeks of 2025. The increase in cash used in operating activities was primarily driven by the higher net loss in the current-year period.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$1.6 million for the first thirteen weeks of 2026, compared to $1.8 million for the first thirteen weeks of 2025, primarily reflecting capital expenditures in both periods.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was $22.0 million for the first thirteen weeks of 2026, compared to a use of $2.0 million for the first thirteen weeks of 2025, primarily reflecting higher net borrowings under the ABL facility during the 2026 period.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financial data regarding our liquidity position at the end of the past three fiscal years: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74"/>
        <w:gridCol w:w="396"/>
        <w:gridCol w:w="229"/>
        <w:gridCol w:w="917"/>
        <w:gridCol w:w="155"/>
        <w:gridCol w:w="396"/>
        <w:gridCol w:w="229"/>
        <w:gridCol w:w="917"/>
        <w:gridCol w:w="155"/>
        <w:gridCol w:w="396"/>
        <w:gridCol w:w="229"/>
        <w:gridCol w:w="917"/>
        <w:gridCol w:w="162"/>
      </w:tblGrid>
      <w:tr>
        <w:trPr/>
        <w:tc>
          <w:tcPr>
            <w:tcW w:w="3474"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7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millions)</w:t>
            </w:r>
          </w:p>
        </w:tc>
        <w:tc>
          <w:tcPr>
            <w:tcW w:w="396"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2024</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2023</w:t>
            </w:r>
          </w:p>
        </w:tc>
        <w:tc>
          <w:tcPr>
            <w:tcW w:w="162" w:type="dxa"/>
            <w:tcBorders/>
            <w:vAlign w:val="bottom"/>
          </w:tcPr>
          <w:p>
            <w:pPr>
              <w:pStyle w:val="TableContents"/>
              <w:bidi w:val="0"/>
              <w:spacing w:before="0" w:after="283"/>
              <w:jc w:val="left"/>
              <w:rPr/>
            </w:pPr>
            <w:r>
              <w:rPr/>
              <w:t> </w:t>
            </w:r>
          </w:p>
        </w:tc>
      </w:tr>
      <w:tr>
        <w:trPr/>
        <w:tc>
          <w:tcPr>
            <w:tcW w:w="3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 (used in)/provided by operating activities (GAAP basis)</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36.4</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77.3</w:t>
            </w:r>
          </w:p>
        </w:tc>
        <w:tc>
          <w:tcPr>
            <w:tcW w:w="162" w:type="dxa"/>
            <w:tcBorders/>
            <w:shd w:fill="CCEEFF" w:val="clear"/>
            <w:vAlign w:val="bottom"/>
          </w:tcPr>
          <w:p>
            <w:pPr>
              <w:pStyle w:val="TableContents"/>
              <w:bidi w:val="0"/>
              <w:spacing w:before="0" w:after="283"/>
              <w:jc w:val="left"/>
              <w:rPr/>
            </w:pPr>
            <w:r>
              <w:rPr/>
              <w:t> </w:t>
            </w:r>
          </w:p>
        </w:tc>
      </w:tr>
      <w:tr>
        <w:trPr/>
        <w:tc>
          <w:tcPr>
            <w:tcW w:w="3474"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(9.6</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(8.2</w:t>
            </w:r>
          </w:p>
        </w:tc>
        <w:tc>
          <w:tcPr>
            <w:tcW w:w="162" w:type="dxa"/>
            <w:tcBorders/>
            <w:vAlign w:val="bottom"/>
          </w:tcPr>
          <w:p>
            <w:pPr>
              <w:pStyle w:val="TableContents"/>
              <w:bidi w:val="0"/>
              <w:spacing w:before="0" w:after="283"/>
              <w:jc w:val="left"/>
              <w:rPr/>
            </w:pPr>
            <w:r>
              <w:rPr/>
              <w:t>) </w:t>
            </w:r>
          </w:p>
        </w:tc>
      </w:tr>
      <w:tr>
        <w:trPr/>
        <w:tc>
          <w:tcPr>
            <w:tcW w:w="3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(23.4</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(17.1</w:t>
            </w:r>
          </w:p>
        </w:tc>
        <w:tc>
          <w:tcPr>
            <w:tcW w:w="162" w:type="dxa"/>
            <w:tcBorders/>
            <w:shd w:fill="CCEEFF" w:val="clear"/>
            <w:vAlign w:val="bottom"/>
          </w:tcPr>
          <w:p>
            <w:pPr>
              <w:pStyle w:val="TableContents"/>
              <w:bidi w:val="0"/>
              <w:spacing w:before="0" w:after="283"/>
              <w:jc w:val="left"/>
              <w:rPr/>
            </w:pPr>
            <w:r>
              <w:rPr/>
              <w:t>) </w:t>
            </w:r>
          </w:p>
        </w:tc>
      </w:tr>
      <w:tr>
        <w:trPr/>
        <w:tc>
          <w:tcPr>
            <w:tcW w:w="3474"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(53.5</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(31.3</w:t>
            </w:r>
          </w:p>
        </w:tc>
        <w:tc>
          <w:tcPr>
            <w:tcW w:w="162" w:type="dxa"/>
            <w:tcBorders/>
            <w:vAlign w:val="bottom"/>
          </w:tcPr>
          <w:p>
            <w:pPr>
              <w:pStyle w:val="TableContents"/>
              <w:bidi w:val="0"/>
              <w:spacing w:before="0" w:after="283"/>
              <w:jc w:val="left"/>
              <w:rPr/>
            </w:pPr>
            <w:r>
              <w:rPr/>
              <w:t>) </w:t>
            </w:r>
          </w:p>
        </w:tc>
      </w:tr>
      <w:tr>
        <w:trPr/>
        <w:tc>
          <w:tcPr>
            <w:tcW w:w="3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year end</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38.3</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78.7</w:t>
            </w:r>
          </w:p>
        </w:tc>
        <w:tc>
          <w:tcPr>
            <w:tcW w:w="162" w:type="dxa"/>
            <w:tcBorders/>
            <w:shd w:fill="CCEEFF" w:val="clear"/>
            <w:vAlign w:val="bottom"/>
          </w:tcPr>
          <w:p>
            <w:pPr>
              <w:pStyle w:val="TableContents"/>
              <w:bidi w:val="0"/>
              <w:spacing w:before="0" w:after="283"/>
              <w:jc w:val="left"/>
              <w:rPr/>
            </w:pPr>
            <w:r>
              <w:rPr/>
              <w:t> </w:t>
            </w:r>
          </w:p>
        </w:tc>
      </w:tr>
      <w:tr>
        <w:trPr/>
        <w:tc>
          <w:tcPr>
            <w:tcW w:w="3474" w:type="dxa"/>
            <w:tcBorders/>
          </w:tcPr>
          <w:p>
            <w:pPr>
              <w:pStyle w:val="TableContents"/>
              <w:bidi w:val="0"/>
              <w:spacing w:before="0" w:after="0"/>
              <w:jc w:val="left"/>
              <w:rPr>
                <w:rFonts w:ascii="Times New Roman" w:hAnsi="Times New Roman"/>
                <w:sz w:val="20"/>
              </w:rPr>
            </w:pPr>
            <w:r>
              <w:rPr>
                <w:rFonts w:ascii="Times New Roman" w:hAnsi="Times New Roman"/>
                <w:sz w:val="20"/>
              </w:rPr>
              <w:t>Total debt, net of unamortized debt issuance costs</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252.9</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254.8</w:t>
            </w:r>
          </w:p>
        </w:tc>
        <w:tc>
          <w:tcPr>
            <w:tcW w:w="155" w:type="dxa"/>
            <w:tcBorders/>
            <w:vAlign w:val="bottom"/>
          </w:tcPr>
          <w:p>
            <w:pPr>
              <w:pStyle w:val="TableContents"/>
              <w:bidi w:val="0"/>
              <w:spacing w:before="0" w:after="283"/>
              <w:jc w:val="left"/>
              <w:rPr/>
            </w:pPr>
            <w:r>
              <w:rPr/>
              <w:t> </w:t>
            </w:r>
          </w:p>
        </w:tc>
        <w:tc>
          <w:tcPr>
            <w:tcW w:w="39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298.9</w:t>
            </w:r>
          </w:p>
        </w:tc>
        <w:tc>
          <w:tcPr>
            <w:tcW w:w="162" w:type="dxa"/>
            <w:tcBorders/>
            <w:vAlign w:val="bottom"/>
          </w:tcPr>
          <w:p>
            <w:pPr>
              <w:pStyle w:val="TableContents"/>
              <w:bidi w:val="0"/>
              <w:spacing w:before="0" w:after="283"/>
              <w:jc w:val="left"/>
              <w:rPr/>
            </w:pPr>
            <w:r>
              <w:rPr/>
              <w:t> </w:t>
            </w:r>
          </w:p>
        </w:tc>
      </w:tr>
      <w:tr>
        <w:trPr/>
        <w:tc>
          <w:tcPr>
            <w:tcW w:w="34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Unused excess availability under Credit Facility</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66.9</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75.4</w:t>
            </w:r>
          </w:p>
        </w:tc>
        <w:tc>
          <w:tcPr>
            <w:tcW w:w="155" w:type="dxa"/>
            <w:tcBorders/>
            <w:shd w:fill="CCEEFF" w:val="clear"/>
            <w:vAlign w:val="bottom"/>
          </w:tcPr>
          <w:p>
            <w:pPr>
              <w:pStyle w:val="TableContents"/>
              <w:bidi w:val="0"/>
              <w:spacing w:before="0" w:after="283"/>
              <w:jc w:val="left"/>
              <w:rPr/>
            </w:pPr>
            <w:r>
              <w:rPr/>
              <w:t> </w:t>
            </w:r>
          </w:p>
        </w:tc>
        <w:tc>
          <w:tcPr>
            <w:tcW w:w="39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83.0</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decrease in cash flow from operating activities for fiscal 2025 compared to fiscal 2024 was primarily driven by a net loss of $(56.7) million in the current year, including non-cash impairment charges of $10.1 million related to goodwill and $5.9 million related to intangible assets, partially offset by favorable changes in working capital, particularly a $6.4 million reduction in merchandise inventories. For fiscal 2024, cash flow from operating activities decreased to $36.4 million as compared to $77.3 million for fiscal 2023. The decrease in cash flow from operating activities in fiscal 2024 compared to fiscal 2023 was primarily due to unfavorable changes in working capital, which generated $9.8 million in 2024 versus $42.5 million in 2023.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was $8.1 million for fiscal 2025 as compared to $23.4 million for fiscal 2024. The decrease was primarily due to $13.8 million use of cash as payment for the acquisitions of Dia and Avenue in 2024. Net cash used in investing activities was $23.4 million for fiscal 2024 as compared to $17.1 million for fiscal 2023. The increase was primarily due to the acquisition costs of Dia and Avenue which totaled $13.8 million in 2024, compared to the acquisitions of Eloquii and CUUP in 2023, which totaled $8.9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for fiscal 2025, 2024 and 2023 was $7.7 million, $53.5 million and $31.3 million, respectively, and was primarily for debt repayments.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Non-GAAP Reconciliations </w:t>
      </w:r>
    </w:p>
    <w:p>
      <w:pPr>
        <w:pStyle w:val="TextBody"/>
        <w:bidi w:val="0"/>
        <w:spacing w:before="120" w:after="0"/>
        <w:jc w:val="left"/>
        <w:rPr>
          <w:rFonts w:ascii="Times New Roman" w:hAnsi="Times New Roman"/>
          <w:sz w:val="20"/>
        </w:rPr>
      </w:pPr>
      <w:r>
        <w:rPr>
          <w:rFonts w:ascii="Times New Roman" w:hAnsi="Times New Roman"/>
          <w:sz w:val="20"/>
        </w:rPr>
        <w:t xml:space="preserve">We monitor certain non-GAAP financial measures on a regular basis in order to track the progress of our business, including the measures below. These non-GAAP financial measures include EBITDA, adjusted EBITDA and adjusted EBITDA margin. We believe that these measures provide helpful information with respect to the Company’s operating performance to stockholders, investors and analysts, and that the inclusion of these non-GAAP measures is important to assist investors in comparing our performance in the periods presented, on a comparable basis. However, these measures may not be comparable to similar measures used by other companies and should not be considered superior to or as a substitute for operating net income, net income per diluted share or cash flows from operating activities in accordance with GAAP. Certain amounts in the following tables may not foot due to rounding.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EBITDA, Adjusted EBITDA and Adjusted EBITDA Margin </w:t>
      </w:r>
    </w:p>
    <w:p>
      <w:pPr>
        <w:pStyle w:val="TextBody"/>
        <w:bidi w:val="0"/>
        <w:spacing w:before="120" w:after="0"/>
        <w:jc w:val="left"/>
        <w:rPr>
          <w:rFonts w:ascii="Times New Roman" w:hAnsi="Times New Roman"/>
          <w:sz w:val="20"/>
        </w:rPr>
      </w:pPr>
      <w:r>
        <w:rPr>
          <w:rFonts w:ascii="Times New Roman" w:hAnsi="Times New Roman"/>
          <w:sz w:val="20"/>
        </w:rPr>
        <w:t xml:space="preserve">EBITDA, Adjusted EBITDA and adjusted EBITDA margin are presented because we believe that these measures are useful to investors in evaluating our performance. Management uses adjusted EBITDA as a key metric to measure profitability and economic productivity. Adjusted EBITDA is calculated as earnings before interest, taxes, depreciation and amortization and before any impairment (gain) of assets, accrual for estimated non-recurring legal settlement costs, severance tied to restructuring, transaction expenses and other non-recurring expenses, such as one time workforce transformation costs, stock compensation expenses and specialized one-time consulting charges. The adjustments are excluded from adjusted EBITDA due to their unusual and non-recurring nature. Adjusted EBITDA margin is calculated as adjusted EBITDA divided by net sales.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reconciliation of net income on a GAAP basis to EBITDA and then adjusted EBITDA and adjusted EBITDA margin, on a non-GAAP basis, for each fiscal year as well as the first thirteen weeks of fiscal 2026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29"/>
        <w:gridCol w:w="169"/>
        <w:gridCol w:w="235"/>
        <w:gridCol w:w="942"/>
        <w:gridCol w:w="275"/>
        <w:gridCol w:w="110"/>
        <w:gridCol w:w="235"/>
        <w:gridCol w:w="942"/>
        <w:gridCol w:w="275"/>
        <w:gridCol w:w="110"/>
        <w:gridCol w:w="235"/>
        <w:gridCol w:w="942"/>
        <w:gridCol w:w="275"/>
        <w:gridCol w:w="110"/>
        <w:gridCol w:w="268"/>
        <w:gridCol w:w="1072"/>
        <w:gridCol w:w="275"/>
        <w:gridCol w:w="110"/>
        <w:gridCol w:w="322"/>
        <w:gridCol w:w="1293"/>
        <w:gridCol w:w="281"/>
      </w:tblGrid>
      <w:tr>
        <w:trPr/>
        <w:tc>
          <w:tcPr>
            <w:tcW w:w="1729"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bottom"/>
          </w:tcPr>
          <w:p>
            <w:pPr>
              <w:pStyle w:val="TableContents"/>
              <w:bidi w:val="0"/>
              <w:spacing w:before="0" w:after="283"/>
              <w:jc w:val="left"/>
              <w:rPr/>
            </w:pPr>
            <w:r>
              <w:rPr/>
              <w:t> </w:t>
            </w:r>
          </w:p>
        </w:tc>
        <w:tc>
          <w:tcPr>
            <w:tcW w:w="169" w:type="dxa"/>
            <w:vMerge w:val="restart"/>
            <w:tcBorders/>
            <w:vAlign w:val="bottom"/>
          </w:tcPr>
          <w:p>
            <w:pPr>
              <w:pStyle w:val="TableContents"/>
              <w:bidi w:val="0"/>
              <w:spacing w:before="0" w:after="283"/>
              <w:jc w:val="left"/>
              <w:rPr/>
            </w:pPr>
            <w:r>
              <w:rPr/>
              <w:t>  </w:t>
            </w:r>
          </w:p>
        </w:tc>
        <w:tc>
          <w:tcPr>
            <w:tcW w:w="117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2025</w:t>
            </w:r>
          </w:p>
        </w:tc>
        <w:tc>
          <w:tcPr>
            <w:tcW w:w="275" w:type="dxa"/>
            <w:vMerge w:val="restart"/>
            <w:tcBorders/>
            <w:vAlign w:val="bottom"/>
          </w:tcPr>
          <w:p>
            <w:pPr>
              <w:pStyle w:val="TableContents"/>
              <w:bidi w:val="0"/>
              <w:spacing w:before="0" w:after="283"/>
              <w:jc w:val="left"/>
              <w:rPr/>
            </w:pPr>
            <w:r>
              <w:rPr/>
              <w:t> </w:t>
            </w:r>
          </w:p>
        </w:tc>
        <w:tc>
          <w:tcPr>
            <w:tcW w:w="110" w:type="dxa"/>
            <w:vMerge w:val="restart"/>
            <w:tcBorders/>
            <w:vAlign w:val="bottom"/>
          </w:tcPr>
          <w:p>
            <w:pPr>
              <w:pStyle w:val="TableContents"/>
              <w:bidi w:val="0"/>
              <w:spacing w:before="0" w:after="283"/>
              <w:jc w:val="left"/>
              <w:rPr/>
            </w:pPr>
            <w:r>
              <w:rPr/>
              <w:t> </w:t>
            </w:r>
          </w:p>
        </w:tc>
        <w:tc>
          <w:tcPr>
            <w:tcW w:w="117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2024</w:t>
            </w:r>
          </w:p>
        </w:tc>
        <w:tc>
          <w:tcPr>
            <w:tcW w:w="275" w:type="dxa"/>
            <w:vMerge w:val="restart"/>
            <w:tcBorders/>
            <w:vAlign w:val="bottom"/>
          </w:tcPr>
          <w:p>
            <w:pPr>
              <w:pStyle w:val="TableContents"/>
              <w:bidi w:val="0"/>
              <w:spacing w:before="0" w:after="283"/>
              <w:jc w:val="left"/>
              <w:rPr/>
            </w:pPr>
            <w:r>
              <w:rPr/>
              <w:t> </w:t>
            </w:r>
          </w:p>
        </w:tc>
        <w:tc>
          <w:tcPr>
            <w:tcW w:w="110" w:type="dxa"/>
            <w:vMerge w:val="restart"/>
            <w:tcBorders/>
            <w:vAlign w:val="bottom"/>
          </w:tcPr>
          <w:p>
            <w:pPr>
              <w:pStyle w:val="TableContents"/>
              <w:bidi w:val="0"/>
              <w:spacing w:before="0" w:after="283"/>
              <w:jc w:val="left"/>
              <w:rPr/>
            </w:pPr>
            <w:r>
              <w:rPr/>
              <w:t> </w:t>
            </w:r>
          </w:p>
        </w:tc>
        <w:tc>
          <w:tcPr>
            <w:tcW w:w="117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Fiscal Year</w:t>
              <w:br/>
              <w:t>2023</w:t>
            </w:r>
          </w:p>
        </w:tc>
        <w:tc>
          <w:tcPr>
            <w:tcW w:w="275" w:type="dxa"/>
            <w:vMerge w:val="restart"/>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340" w:type="dxa"/>
            <w:gridSpan w:val="6"/>
            <w:tcBorders/>
            <w:vAlign w:val="bottom"/>
          </w:tcPr>
          <w:p>
            <w:pPr>
              <w:pStyle w:val="TableContents"/>
              <w:bidi w:val="0"/>
              <w:spacing w:before="0" w:after="283"/>
              <w:jc w:val="center"/>
              <w:rPr>
                <w:b/>
              </w:rPr>
            </w:pPr>
            <w:r>
              <w:rPr>
                <w:b/>
              </w:rPr>
              <w:t>Thirteen Weeks Ended</w:t>
            </w:r>
          </w:p>
        </w:tc>
        <w:tc>
          <w:tcPr>
            <w:tcW w:w="281" w:type="dxa"/>
            <w:tcBorders/>
            <w:vAlign w:val="bottom"/>
          </w:tcPr>
          <w:p>
            <w:pPr>
              <w:pStyle w:val="TableContents"/>
              <w:bidi w:val="0"/>
              <w:spacing w:before="0" w:after="283"/>
              <w:jc w:val="left"/>
              <w:rPr/>
            </w:pPr>
            <w:r>
              <w:rPr/>
              <w:t> </w:t>
            </w:r>
          </w:p>
        </w:tc>
      </w:tr>
      <w:tr>
        <w:trPr/>
        <w:tc>
          <w:tcPr>
            <w:tcW w:w="1729" w:type="dxa"/>
            <w:tcBorders/>
            <w:vAlign w:val="bottom"/>
          </w:tcPr>
          <w:p>
            <w:pPr>
              <w:pStyle w:val="TableContents"/>
              <w:bidi w:val="0"/>
              <w:spacing w:before="0" w:after="283"/>
              <w:jc w:val="left"/>
              <w:rPr/>
            </w:pPr>
            <w:r>
              <w:rPr/>
              <w:t> </w:t>
            </w:r>
          </w:p>
        </w:tc>
        <w:tc>
          <w:tcPr>
            <w:tcW w:w="169" w:type="dxa"/>
            <w:vMerge w:val="continue"/>
            <w:tcBorders/>
            <w:vAlign w:val="bottom"/>
          </w:tcPr>
          <w:p>
            <w:pPr>
              <w:pStyle w:val="Normal"/>
              <w:bidi w:val="0"/>
              <w:jc w:val="left"/>
              <w:rPr/>
            </w:pPr>
            <w:r>
              <w:rPr/>
            </w:r>
          </w:p>
        </w:tc>
        <w:tc>
          <w:tcPr>
            <w:tcW w:w="1177"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10" w:type="dxa"/>
            <w:vMerge w:val="continue"/>
            <w:tcBorders>
              <w:bottom w:val="single" w:sz="8" w:space="0" w:color="000000"/>
            </w:tcBorders>
            <w:tcMar>
              <w:bottom w:w="28" w:type="dxa"/>
            </w:tcMar>
            <w:vAlign w:val="bottom"/>
          </w:tcPr>
          <w:p>
            <w:pPr>
              <w:pStyle w:val="Normal"/>
              <w:bidi w:val="0"/>
              <w:jc w:val="left"/>
              <w:rPr/>
            </w:pPr>
            <w:r>
              <w:rPr/>
            </w:r>
          </w:p>
        </w:tc>
        <w:tc>
          <w:tcPr>
            <w:tcW w:w="1177"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110" w:type="dxa"/>
            <w:vMerge w:val="continue"/>
            <w:tcBorders/>
            <w:vAlign w:val="bottom"/>
          </w:tcPr>
          <w:p>
            <w:pPr>
              <w:pStyle w:val="Normal"/>
              <w:bidi w:val="0"/>
              <w:jc w:val="left"/>
              <w:rPr/>
            </w:pPr>
            <w:r>
              <w:rPr/>
            </w:r>
          </w:p>
        </w:tc>
        <w:tc>
          <w:tcPr>
            <w:tcW w:w="1177"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1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 2026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 2025</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on a GAAP basis</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(26.5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(16.2</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Add back:</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94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sz w:val="4"/>
                <w:szCs w:val="4"/>
              </w:rPr>
            </w:pPr>
            <w:r>
              <w:rPr>
                <w:sz w:val="4"/>
                <w:szCs w:val="4"/>
              </w:rPr>
            </w:r>
          </w:p>
        </w:tc>
        <w:tc>
          <w:tcPr>
            <w:tcW w:w="1072"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sz w:val="4"/>
                <w:szCs w:val="4"/>
              </w:rPr>
            </w:pPr>
            <w:r>
              <w:rPr>
                <w:sz w:val="4"/>
                <w:szCs w:val="4"/>
              </w:rPr>
            </w:r>
          </w:p>
        </w:tc>
        <w:tc>
          <w:tcPr>
            <w:tcW w:w="1293"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38.8</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41.8</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48.1</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11.3</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9.7</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3.2</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expense</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8.0</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3.7</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(2.4</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13.6</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12.1</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14.4</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3.4</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3.5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58.6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62.5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(8.3</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172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5.9</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10.1</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3.3</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 expenses</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0.4</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0.8</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1.2</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0.0</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Expenses</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9.5</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1.8</w:t>
            </w:r>
          </w:p>
        </w:tc>
        <w:tc>
          <w:tcPr>
            <w:tcW w:w="281" w:type="dxa"/>
            <w:tcBorders/>
            <w:vAlign w:val="bottom"/>
          </w:tcPr>
          <w:p>
            <w:pPr>
              <w:pStyle w:val="TableContents"/>
              <w:bidi w:val="0"/>
              <w:spacing w:before="0" w:after="283"/>
              <w:jc w:val="left"/>
              <w:rPr/>
            </w:pPr>
            <w:r>
              <w:rPr/>
              <w:t> </w:t>
            </w:r>
          </w:p>
        </w:tc>
      </w:tr>
      <w:tr>
        <w:trPr/>
        <w:tc>
          <w:tcPr>
            <w:tcW w:w="172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94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single" w:sz="2" w:space="1" w:color="000000"/>
              </w:pBdr>
              <w:bidi w:val="0"/>
              <w:spacing w:before="0" w:after="0"/>
              <w:jc w:val="left"/>
              <w:rPr/>
            </w:pPr>
            <w:r>
              <w:rPr/>
              <w:t> </w:t>
            </w:r>
          </w:p>
        </w:tc>
        <w:tc>
          <w:tcPr>
            <w:tcW w:w="10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93"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 on a non-GAAP basis</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36.3</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62.6</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942" w:type="dxa"/>
            <w:tcBorders/>
            <w:shd w:fill="CCEEFF" w:val="clear"/>
            <w:vAlign w:val="bottom"/>
          </w:tcPr>
          <w:p>
            <w:pPr>
              <w:pStyle w:val="TableContents"/>
              <w:bidi w:val="0"/>
              <w:spacing w:before="0" w:after="283"/>
              <w:jc w:val="right"/>
              <w:rPr/>
            </w:pPr>
            <w:r>
              <w:rPr/>
              <w:t>82.7</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w:t>
            </w:r>
          </w:p>
        </w:tc>
        <w:tc>
          <w:tcPr>
            <w:tcW w:w="1072"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2.1</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94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pBdr>
                <w:top w:val="double" w:sz="6" w:space="1" w:color="000000"/>
              </w:pBdr>
              <w:bidi w:val="0"/>
              <w:spacing w:before="0" w:after="0"/>
              <w:jc w:val="left"/>
              <w:rPr/>
            </w:pPr>
            <w:r>
              <w:rPr/>
              <w:t> </w:t>
            </w:r>
          </w:p>
        </w:tc>
        <w:tc>
          <w:tcPr>
            <w:tcW w:w="107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93"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720.3</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805.1</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w:t>
            </w:r>
          </w:p>
        </w:tc>
        <w:tc>
          <w:tcPr>
            <w:tcW w:w="942" w:type="dxa"/>
            <w:tcBorders/>
            <w:vAlign w:val="bottom"/>
          </w:tcPr>
          <w:p>
            <w:pPr>
              <w:pStyle w:val="TableContents"/>
              <w:bidi w:val="0"/>
              <w:spacing w:before="0" w:after="283"/>
              <w:jc w:val="right"/>
              <w:rPr/>
            </w:pPr>
            <w:r>
              <w:rPr/>
              <w:t>918.6</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w:t>
            </w:r>
          </w:p>
        </w:tc>
        <w:tc>
          <w:tcPr>
            <w:tcW w:w="1072" w:type="dxa"/>
            <w:tcBorders/>
            <w:vAlign w:val="bottom"/>
          </w:tcPr>
          <w:p>
            <w:pPr>
              <w:pStyle w:val="TableContents"/>
              <w:bidi w:val="0"/>
              <w:spacing w:before="0" w:after="283"/>
              <w:jc w:val="right"/>
              <w:rPr/>
            </w:pPr>
            <w:r>
              <w:rPr/>
              <w:t>151.2</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93" w:type="dxa"/>
            <w:tcBorders/>
            <w:vAlign w:val="bottom"/>
          </w:tcPr>
          <w:p>
            <w:pPr>
              <w:pStyle w:val="TableContents"/>
              <w:bidi w:val="0"/>
              <w:spacing w:before="0" w:after="283"/>
              <w:jc w:val="right"/>
              <w:rPr/>
            </w:pPr>
            <w:r>
              <w:rPr/>
              <w:t>169.5</w:t>
            </w:r>
          </w:p>
        </w:tc>
        <w:tc>
          <w:tcPr>
            <w:tcW w:w="281" w:type="dxa"/>
            <w:tcBorders/>
            <w:vAlign w:val="bottom"/>
          </w:tcPr>
          <w:p>
            <w:pPr>
              <w:pStyle w:val="TableContents"/>
              <w:bidi w:val="0"/>
              <w:spacing w:before="0" w:after="283"/>
              <w:jc w:val="left"/>
              <w:rPr/>
            </w:pPr>
            <w:r>
              <w:rPr/>
              <w:t> </w:t>
            </w:r>
          </w:p>
        </w:tc>
      </w:tr>
      <w:tr>
        <w:trPr/>
        <w:tc>
          <w:tcPr>
            <w:tcW w:w="17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margin</w:t>
            </w:r>
          </w:p>
        </w:tc>
        <w:tc>
          <w:tcPr>
            <w:tcW w:w="169"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-7.9</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942"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-17.5</w:t>
            </w:r>
          </w:p>
        </w:tc>
        <w:tc>
          <w:tcPr>
            <w:tcW w:w="27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-9.6</w:t>
            </w:r>
          </w:p>
        </w:tc>
        <w:tc>
          <w:tcPr>
            <w:tcW w:w="281" w:type="dxa"/>
            <w:tcBorders/>
            <w:shd w:fill="CCEEFF" w:val="clear"/>
            <w:vAlign w:val="bottom"/>
          </w:tcPr>
          <w:p>
            <w:pPr>
              <w:pStyle w:val="TableContents"/>
              <w:bidi w:val="0"/>
              <w:spacing w:before="0" w:after="283"/>
              <w:jc w:val="left"/>
              <w:rPr/>
            </w:pPr>
            <w:r>
              <w:rPr/>
              <w:t>% </w:t>
            </w:r>
          </w:p>
        </w:tc>
      </w:tr>
      <w:tr>
        <w:trPr/>
        <w:tc>
          <w:tcPr>
            <w:tcW w:w="172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margin, on a non-GAAP basis:</w:t>
            </w:r>
          </w:p>
        </w:tc>
        <w:tc>
          <w:tcPr>
            <w:tcW w:w="16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5.0</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942"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283"/>
              <w:jc w:val="right"/>
              <w:rPr/>
            </w:pPr>
            <w:r>
              <w:rPr/>
              <w:t>-3.3</w:t>
            </w:r>
          </w:p>
        </w:tc>
        <w:tc>
          <w:tcPr>
            <w:tcW w:w="27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1.3</w:t>
            </w:r>
          </w:p>
        </w:tc>
        <w:tc>
          <w:tcPr>
            <w:tcW w:w="28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first thirteen weeks of 2026, Adjusted EBITDA increased to ($5.0) million from reported EBITDA of ($8.3) million, primarily reflecting transaction expenses related to the Merger of $1.7 million. The Company also excluded $0.8 million in one-time litigation-related expenses, $0.6 million of charges in connection with a cost reduction initiative expected to deliver future SG&amp;A savings and $0.2 million on severance. </w:t>
      </w:r>
    </w:p>
    <w:p>
      <w:pPr>
        <w:pStyle w:val="TextBody"/>
        <w:bidi w:val="0"/>
        <w:spacing w:before="240" w:after="0"/>
        <w:jc w:val="left"/>
        <w:rPr>
          <w:rFonts w:ascii="Times New Roman" w:hAnsi="Times New Roman"/>
          <w:sz w:val="20"/>
        </w:rPr>
      </w:pPr>
      <w:r>
        <w:rPr>
          <w:rFonts w:ascii="Times New Roman" w:hAnsi="Times New Roman"/>
          <w:sz w:val="20"/>
        </w:rPr>
        <w:t xml:space="preserve">For fiscal year 2025, Adjusted EBITDA increased to $36.3 million from reported EBITDA of $3.5 million, primarily reflecting the exclusion of non-cash impairment charges and certain items not considered indicative of ongoing operations. Adjustments included $10.1 million related to goodwill impairment and $5.9 million related to intangible asset impairments, both of which were non-cash charges resulting from a reassessment of asset values.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excluded $9.5 million of expenses associated with discrete initiatives and nonrecurring events, including $6.7 million of charges incurred in connection with a cost reduction initiative expected to deliver future SG&amp;A savings, $1.7 million related to a private label credit card renewal, and $1.1 million associated with an abandoned acquisition-related contract in 2024. In addition, the Company excluded $4.8 million of transaction-related expenses, primarily legal fees incurred in connection with the pending Merger. </w:t>
      </w:r>
    </w:p>
    <w:p>
      <w:pPr>
        <w:pStyle w:val="TextBody"/>
        <w:bidi w:val="0"/>
        <w:spacing w:before="240" w:after="0"/>
        <w:jc w:val="left"/>
        <w:rPr>
          <w:rFonts w:ascii="Times New Roman" w:hAnsi="Times New Roman"/>
          <w:sz w:val="20"/>
        </w:rPr>
      </w:pPr>
      <w:r>
        <w:rPr>
          <w:rFonts w:ascii="Times New Roman" w:hAnsi="Times New Roman"/>
          <w:sz w:val="20"/>
        </w:rPr>
        <w:t xml:space="preserve">Additional adjustments included $1.5 million of severance costs and $1.1 million of litigation-related expenses. Management believes these adjustments provide a clearer view of underlying operating performance; however, such items may recur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senior secured asset-based revolving credit facility (the “ABL Facility”). The ABL Facility was amended in May 2021 to extend the maturity date and was further amended in December 2022 to increase total commitments to $120.0 million and extend the maturity to the earlier of December 2027 or 91 days prior to the maturity of the Company’s First Lien Term Loan (as defined below). The ABL Facility provides for borrowings of up to $120.0 million, subject to a borrowing base derived primarily from eligible inventory, in-transit inventory, and certain credit card receivables, and is reduced by outstanding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As of April 4, 2026, availability under the ABL Facility was $53.0 million, reflecting total capacity of $81.7 million, less $4.9 million of outstanding letters of credit and $23.8 million of outstanding borrowings.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ABL Facility bear interest, at the Borrower’s option, at either a base rate (based on the greatest of the Prime Rate, the Federal Funds rate plus 0.50%, or SOFR plus 1.00%) or a SOFR-based rate, in each case plus an applicable margin that varies based on excess availability. The Borrower is also required to pay a commitment fee on unused commitments and customary letter of credit and agency fees. There is no scheduled amortization under the ABL Facility. Obligations under the ABL Facility are guaranteed by the Borrower and substantially all of its wholly owned domestic subsidiaries and are secured by the assets of the Borrower and the other loan parties. The ABL Facility contains customary representations and warranties, affirmative covenants and events of default and, among other things and subject to certain exceptions, restricts the ability of the Borrower and its subsidiaries to incur additional indebtedness or liens, make investments or acquisitions, dispose of assets, pay dividends, or engage in transactions with affiliates, and requires the Borrower to maintain a minimum fixed charge coverage ratio of 1.0 to 1.0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is described in more detail in Note 11 to our annual audited consolidated financial statements included elsewhere in this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entering into a First Lien Security Agreement (the “First Lien Term Loan”), the Company raised $350.0 million and used the proceeds to repay its existing first lien and second lien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facilities, including accrued interest. In addition, the Company used a portion of the proceeds to pay a dividend to shareholders, pay lender fees and original issue discount, and issue warrants to the debt holders. The First Lien Term Loan has a maturity date of August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First Lien Term Loan bear interest, at the Company’s option, at either a base rate (based on the highest of the Prime Rate, the Federal Funds rate plus 0.50%, adjusted one-month SOFR plus 1.00%, or 2.00%) or a SOFR-based rate, in each case plus an applicable margin, subject to a 1.00% floor. The First Lien Term Loan requires scheduled quarterly amortization payments of $1.75 million, as well as an annual payment based on a percentage of excess cash flow, subject to certain leverage thresholds and reductions for voluntary prepayments, with the remaining balance due at maturity. Obligations under the First Lien Term Loan are guaranteed by the borrower and substantially all of its existing wholly owned domestic subsidiaries and are required to be guaranteed by certain future domestic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Term Loan includes customary representations and warranties, affirmative covenants, and events of default, and contains covenants that, among other things and subject to certain exceptions, restrict the ability of the Company and its subsidiaries to incur additional indebtedness or liens, make investments or acquisitions, dispose of assets, engage in affiliate transactions, or pay dividends, and requires the Company to maintain a maximum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27, 2025, the Company was not in compliance with the total leverage ratio covenant under its First Lien Term Loan. The Company received a covenant waiver effective through the earlier of consummation of the pending Merger with DXL or termination of the Merger Agreement. See Note 1 to our annual audited consolidated financial statements included elsewhere in this proxy statement. The First Lien Term Loan is described in more detail in Note 11 to our consolidated financial statements included elsewhere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Cash interest paid was $7.9 million in the first thirteen weeks of 2026 and $8.6 million in the first thirteen weeks of 2025. Cash interest paid was $33.0 million for fiscal 2025, $38.4 million for fiscal 2024 and $43.8 million for fiscal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 off-balance sheet arrangements as defined by 303(b)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Capital expenditures were $1.6 million in the first thirteen weeks of 2026, compared to $1.8 million in the first thirteen weeks of 2025. Capital expenditures were $8.1 million in fiscal 2025, compared to $9.6 million in fiscal 2024 and $8.2 million in fiscal 2023. </w:t>
      </w:r>
    </w:p>
    <w:p>
      <w:pPr>
        <w:pStyle w:val="TextBody"/>
        <w:bidi w:val="0"/>
        <w:spacing w:before="240" w:after="0"/>
        <w:jc w:val="left"/>
        <w:rPr>
          <w:rFonts w:ascii="Times New Roman" w:hAnsi="Times New Roman"/>
          <w:sz w:val="20"/>
        </w:rPr>
      </w:pPr>
      <w:r>
        <w:rPr>
          <w:rFonts w:ascii="Times New Roman" w:hAnsi="Times New Roman"/>
          <w:sz w:val="20"/>
        </w:rPr>
        <w:t xml:space="preserve">Capital investments during 2025 and continuing into the first thirteen weeks of 2026 were primarily focused on the technology infrastructure supporting the Company’s multi-brand platform strategy, including continued development of its Universal Cart and cross-shopping capabilities, customer data and analytics systems, and e-commerce platform enhancements. The Company also continued to invest in robotic automation and other fulfillment center initiatives designed to improve throughput efficiency and reduce unit fulfillment costs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our consolidated financial statements in accordance with U.S. GAAP requires management to make estimates and assumptions that affect the amounts reported and disclosed. These estimates are based on historical experience, current business conditions, and various other assumptions that we believe to be reasonable under the circumstances. However, because future events and economic conditions are inherently uncertain, actual results may differ materially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consider an accounting estimate to be critical if it requires significant judgment and involves a high degree of estimation uncertainty, and if changes in the estimate could have a material impact on our consolidated financial statements. Our most significant critical accounting estimates are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Merchandise Inventories </w:t>
      </w:r>
    </w:p>
    <w:p>
      <w:pPr>
        <w:pStyle w:val="TextBody"/>
        <w:bidi w:val="0"/>
        <w:spacing w:before="120" w:after="0"/>
        <w:jc w:val="left"/>
        <w:rPr>
          <w:rFonts w:ascii="Times New Roman" w:hAnsi="Times New Roman"/>
          <w:sz w:val="20"/>
        </w:rPr>
      </w:pPr>
      <w:r>
        <w:rPr>
          <w:rFonts w:ascii="Times New Roman" w:hAnsi="Times New Roman"/>
          <w:sz w:val="20"/>
        </w:rPr>
        <w:t xml:space="preserve">Merchandise inventories consist primarily of purchased finished goods and are stated at the lower of cost or net realizable value. Cost is determined using a standard cost method, which includes the cost of merchandise and import-related costs such as freight, duties, and agent commissions. Inventory is relieved on a first-in, first-out (“FIFO”) basis.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net realizable value requires significant management judgment. We continually evaluate merchandise inventory to assess whether the carrying value exceeds its estimated net realizable value. This evaluation requires us to make assumptions and estimates based on a variety of factors, including the age of the inventory, the average selling cycle, current and anticipated economic conditions and estimated loss rates. </w:t>
      </w:r>
    </w:p>
    <w:p>
      <w:pPr>
        <w:pStyle w:val="TextBody"/>
        <w:bidi w:val="0"/>
        <w:spacing w:before="240" w:after="0"/>
        <w:jc w:val="left"/>
        <w:rPr>
          <w:rFonts w:ascii="Times New Roman" w:hAnsi="Times New Roman"/>
          <w:sz w:val="20"/>
        </w:rPr>
      </w:pPr>
      <w:r>
        <w:rPr>
          <w:rFonts w:ascii="Times New Roman" w:hAnsi="Times New Roman"/>
          <w:sz w:val="20"/>
        </w:rPr>
        <w:t xml:space="preserve">When we determine that the carrying value of inventory is not recoverable, we record a write-down to reduce inventory to its estimated net realizable value.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merchandise inventories totaled $117.2 million, compared to $123.6 million as of December 28, 2024. Given the significance of inventory to our consolidated financial statements, changes in assumptions regarding demand, pricing, or macroeconomic conditions could have a material impact on inventory valuation and gross profit.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Our intangible assets consist primarily of tradenames (indefinite-lived). Indefinite-lived intangible assets are not amortized but are evaluated for impairment annually, or more frequently if events or changes in circumstances indicate potential impairment. </w:t>
      </w:r>
    </w:p>
    <w:p>
      <w:pPr>
        <w:pStyle w:val="TextBody"/>
        <w:bidi w:val="0"/>
        <w:spacing w:before="240" w:after="0"/>
        <w:jc w:val="left"/>
        <w:rPr>
          <w:rFonts w:ascii="Times New Roman" w:hAnsi="Times New Roman"/>
          <w:sz w:val="20"/>
        </w:rPr>
      </w:pPr>
      <w:r>
        <w:rPr>
          <w:rFonts w:ascii="Times New Roman" w:hAnsi="Times New Roman"/>
          <w:sz w:val="20"/>
        </w:rPr>
        <w:t xml:space="preserve">We may first perform a qualitative assessment to determine whether it is more likely than not that the asset is impaired. If necessary, a quantitative assessment is performed by comparing the estimated fair value of the asset to its carrying value. Fair value is determined using the relief-from-royalty method, which requires significant assumptions, including projected revenue growth, long-term growth rates, royalty rates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These assumptions are inherently subjective and highly sensitive to changes in market conditions and business performance.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an impairment expense of $5.9 million related to certain tradenames, primarily driven by declines in demand for certain brands. No impairment was recorded in 2024. Changes in future operating performance or market conditions could result in additional impairment charges.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of 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purchase price over the fair value of identifiable net assets acquired and is not amortized. Goodwill is tested for impairment at least annually, or more frequently if triggering events occur. </w:t>
      </w:r>
    </w:p>
    <w:p>
      <w:pPr>
        <w:pStyle w:val="TextBody"/>
        <w:bidi w:val="0"/>
        <w:spacing w:before="240" w:after="0"/>
        <w:jc w:val="left"/>
        <w:rPr>
          <w:rFonts w:ascii="Times New Roman" w:hAnsi="Times New Roman"/>
          <w:sz w:val="20"/>
        </w:rPr>
      </w:pPr>
      <w:r>
        <w:rPr>
          <w:rFonts w:ascii="Times New Roman" w:hAnsi="Times New Roman"/>
          <w:sz w:val="20"/>
        </w:rPr>
        <w:t xml:space="preserve">We perform either a qualitative assessment or a quantitative assessment. Qualitative factors may include, but are not limited to, economic conditions, industry and market considerations, expense factors, overall financial performance, entity specific and reporting unit events, capital markets and pricing and breakeven multiples. The quantitative test compares the fair value of the reporting unit to its carrying value. Fair value is estimated using valuation techniques that incorporate significant assumptions, including projected future cash flows, discount rates, growth rates, market multiples and comparable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estimates require significant judgment and are sensitive to changes in financial performance and macroeconomic conditions.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ended January 3, 2026, we recorded a goodwill impairment charge of $10.1 million following a quantitative assessment triggered by declines in net sales and gross profit. No impairment was recorded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 Valuation Allowance </w:t>
      </w:r>
    </w:p>
    <w:p>
      <w:pPr>
        <w:pStyle w:val="TextBody"/>
        <w:bidi w:val="0"/>
        <w:spacing w:before="120" w:after="0"/>
        <w:jc w:val="left"/>
        <w:rPr>
          <w:rFonts w:ascii="Times New Roman" w:hAnsi="Times New Roman"/>
          <w:sz w:val="20"/>
        </w:rPr>
      </w:pPr>
      <w:r>
        <w:rPr>
          <w:rFonts w:ascii="Times New Roman" w:hAnsi="Times New Roman"/>
          <w:sz w:val="20"/>
        </w:rPr>
        <w:t xml:space="preserve">We account for income taxes using the asset and liability method, which requires recognition of deferred tax assets and liabilities for temporary differences between the financial statement and tax bases of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We evaluate the realizability of deferred tax assets on a periodic basis by assessing whether it is more likely than not that such assets will be realized. This assessment requires significant judgment and is based on historical operating results, forecasted future taxable income, reversal of existing temporary differences and available tax planning strategies. </w:t>
      </w:r>
    </w:p>
    <w:p>
      <w:pPr>
        <w:pStyle w:val="TextBody"/>
        <w:bidi w:val="0"/>
        <w:spacing w:before="240" w:after="0"/>
        <w:jc w:val="left"/>
        <w:rPr>
          <w:rFonts w:ascii="Times New Roman" w:hAnsi="Times New Roman"/>
          <w:sz w:val="20"/>
        </w:rPr>
      </w:pPr>
      <w:r>
        <w:rPr>
          <w:rFonts w:ascii="Times New Roman" w:hAnsi="Times New Roman"/>
          <w:sz w:val="20"/>
        </w:rPr>
        <w:t xml:space="preserve">When it is determined that some or all of a deferred tax asset is not realizable, a valuation allowance is recorded.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we recorded a valuation allowance of $19.0 million against deferred tax assets related to disallowed interest carryforwards, reflecting our assessment that it is more likely than not that these assets will not be realized. No valuation allowance was recorded as of December 28, 2024. Changes in our profitability assumptions or tax planning strategies could materially impact the valuation allowance and our effective tax rate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accounting pronouncements and interpretations thereof that have effective dates during the periods reported and in future periods. See Note 2 to our consolidated annual financial statements included elsewhere in this proxy statement for information on recent accounting pronouncements and the impact of impending standards on our future filings.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form of changes in interest rates, as our outstanding debt is subject to interest computed based upon variable interest rates. A 1% increase in the base interest rate applied to our debt outstanding at January 3, 2026 would result in an annual increase to interest expense of $2.6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2" w:name="tx76201_79"/>
      <w:bookmarkEnd w:id="82"/>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Destination XL Group, Inc., a Delaware corporation (“DXL”), Divine Merger Sub I, Inc., a Delaware corporation and wholly owned direct subsidiary of DXL (the “merger subsidiary”), and FBB Holdings I, Inc., a Delaware corporation (“FBB”), entered into an Agreement and Plan of Merger (the “merger agreement”), pursuant to which the merger subsidiary will merge with and into FBB, with FBB continuing as the surviving corporation and a wholly owned subsidiary of DXL (the “merger”). </w:t>
      </w:r>
    </w:p>
    <w:p>
      <w:pPr>
        <w:pStyle w:val="TextBody"/>
        <w:bidi w:val="0"/>
        <w:spacing w:before="240" w:after="0"/>
        <w:jc w:val="left"/>
        <w:rPr>
          <w:rFonts w:ascii="Times New Roman" w:hAnsi="Times New Roman"/>
          <w:sz w:val="20"/>
        </w:rPr>
      </w:pPr>
      <w:r>
        <w:rPr>
          <w:rFonts w:ascii="Times New Roman" w:hAnsi="Times New Roman"/>
          <w:sz w:val="20"/>
        </w:rPr>
        <w:t>The following unaudited pro forma condensed combined financial information has been prepared in accordance with Article 11 of Regulation S-X. The unaudited pro forma condensed combined financial information assumes that the merger is accounted for as a reverse acquisition under the acquisition method of accounting for business combinations in accordance with U.S. generally accepted accounting principles (“U.S. GAAP”), with FBB as the accounting acquirer pursuant to Accounting Standards Codification Topic 805, Business Combinations (“ASC 805”). Accordingly, the unaudited pro forma condensed combined financial information also assumes that the assets and liabilities of DXL will be recorded by FBB at their respective fair values as of the effective date. The historical financial statements of FBB and DXL have been adjusted in the accompanying unaudited pro forma condensed combined financial information to give pro forma effect to the transaction accounting adjustments which are necessary to account for the merger (the “Transaction Accounting Adjustments”) and other transactions (the “Other Transaction Accounting Adjustments”, collectively the “Transactions”), in accordance with U.S. GAAP. See the “</w:t>
      </w:r>
      <w:r>
        <w:rPr>
          <w:rFonts w:ascii="Times New Roman" w:hAnsi="Times New Roman"/>
          <w:i/>
          <w:sz w:val="20"/>
        </w:rPr>
        <w:t>Description of the Concurrent Financing and Equity Transactions</w:t>
      </w:r>
      <w:r>
        <w:rPr>
          <w:rFonts w:ascii="Times New Roman" w:hAnsi="Times New Roman"/>
          <w:sz w:val="20"/>
        </w:rPr>
        <w:t xml:space="preserve">” section below for further explanation of the Other Transaction Accounting Adjustments. The unaudited pro forma adjustments are based upon available information and certain assumptions that our management believes are reasonable.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 Accounting Adjustments and Other Transaction Accounting Adjustments (collectively, the “Adjustments”) as if those transactions had been completed on May 2, 2026 and combines the unaudited condensed consolidated balance sheet of FBB as of April 4, 2026 with DXL’s unaudited consolidated balance sheet as of May 2, 2026.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statement of operations for the three months ended May 2, 2026 and the fiscal year ended January 31, 2026 gives effect to the Transactions as if those Transactions had occurred on February 2, 2025. The unaudited pro forma condensed combined statement of operations for the three months ended May 2, 2026 combines the unaudited condensed consolidated statement of operations of FBB for the thirteen weeks ended April 4, 2026 and DXL’s unaudited consolidated statement of operations for the three months ended May 2, 2026. The unaudited pro forma condensed combined statement of operations for the fiscal year ended January 31, 2026 combines the audited consolidated statement of operations of FBB for the fiscal year ended January 3, 2026 and DXL’s audited consolidated statement of operations for the fiscal year ended January 31, 2026. Amounts, including share amounts, in the unaudited pro forma financial information below may not foot due to immaterial rounding differences.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has been compiled using, and should be read in conjunction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FBB as of and for the thirteen weeks ended April 4,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FBB as of and for the fiscal year ended January 3, 2026 and the related notes, included elsewhere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unaudited financial statements of DXL as of and for the three months ended May 2, 2026 and the related notes, included in DXL’s Quarterly Report on Form 10-Q for the period ended May 2, 2026, as filed with the Securities and Exchange Commission (the “SEC”) on June 3,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separate audited financial statements of DXL as of and for the fiscal year ended January 31, 2026 and the related notes, included in DXL’s Annual Report on Form 10-K for the fiscal year ended January 31, 2026, as filed with the Securities and Exchange Commission (the “SEC”) on March 19,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DXL, merger subsidiary, and FBB, entered into the merger agreement, pursuant to which the merger subsidiary will merge with and into FBB, with FBB continuing as the surviving corporation as a wholly owned subsidiary of DXL.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if the merger is consummated, at the effective time of the merger, each share of common stock, par value $0.01 per share, of FBB (“FBB common stock”) (excluding (i) any shares held as treasury stock by FBB or held or owned by DXL or any subsidiary of DXL or FBB (“Excluded Shares”), (ii) any dissenting shares (“Appraisal Shares”), and (iii) any shares held by a FBB stockholder that is an unaccredited investor (“Unaccredited Investor Shares”) would be converted into the right to receive that number of fully paid and nonassessable shares of the common stock, par value $0.01 per share, of DXL (“DXL common stock”) equal to the exchange ratio, which would be calculated based on the total number of the new issuance of DXL common stock (which would be the number of shares equal to the fully diluted DXL shares multiplied by the quotient of fifty-five percent (55%) divided by forty-five percent (45%) divided by the number of FBB common stock issued and outstanding immediately prior to the effective time of the merger. If the merger is consummated, immediately following the effective time of the merger, FBB stockholders would be expected to own or hold rights to acquire 55% of the combined company (as defined below) and DXL stockholders would be expected to own or hold rights to acquire 45% of the combined company, in each case, on a fully diluted basis using the treasury stock method and subject to certain assumptions, including, but not limited to: (i) the closing date and (ii) FBB issuing approximately 111.4 million shares of common stock in the private placement. The post-closing equity split is subject to certain adjustments, including the closing date, the number of shares of FBB common stock issued in the private placement, and to account for the effect of a reverse stock split. If the merger is consummated, DXL would continue to operate under the same name.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each share of FBB common stock held immediately prior to the effective time by an FBB stockholder that is an unaccredited investor, the Unaccredited Investor Shares, will be converted into the right to receive cash (without any interest) equal to the product of (a) the exchange ratio and (b) the DXL stock price. The DXL stock price is the dollar value of the average of the daily volume-weighted average sales price per share of DXL common stock (as reported by Bloomberg L.P.) for each of the 10 consecutive trading days immediately preceding the trading day 2 days before the closing date of the merger. No unaccredited investor will receive any stock consideration in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purposes of the unaudited pro forma condensed combined financial information, the estimated number of shares of DXL common stock that DXL expects to issue to FBB’s stockholders (ignoring rounding of fractional shares) is determined as follows, prior to giving effect to the proposed reverse stock split: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88"/>
        <w:gridCol w:w="468"/>
        <w:gridCol w:w="60"/>
        <w:gridCol w:w="805"/>
        <w:gridCol w:w="60"/>
        <w:gridCol w:w="468"/>
        <w:gridCol w:w="250"/>
        <w:gridCol w:w="1575"/>
        <w:gridCol w:w="281"/>
      </w:tblGrid>
      <w:tr>
        <w:trPr/>
        <w:tc>
          <w:tcPr>
            <w:tcW w:w="3788"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(shares, in thousands)</w:t>
            </w:r>
          </w:p>
        </w:tc>
        <w:tc>
          <w:tcPr>
            <w:tcW w:w="468"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1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 Held</w:t>
              <w:br/>
              <w:t>at Close</w:t>
            </w:r>
          </w:p>
        </w:tc>
        <w:tc>
          <w:tcPr>
            <w:tcW w:w="281" w:type="dxa"/>
            <w:tcBorders/>
            <w:vAlign w:val="bottom"/>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issued and outstanding at April 4, 2026(1)</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Shares of preferred stock converted into common stock immediately prior to close(2)</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FBB common stock that will be sold and issued for the private placement prior to closing</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111,426</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112,444</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575"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 ratio(3)</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0.6103</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575"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shares of DXL common stock expected to be issued to FBB upon closing</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68,623</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55</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shares of DXL on closing, on a diluted basis</w:t>
            </w:r>
          </w:p>
        </w:tc>
        <w:tc>
          <w:tcPr>
            <w:tcW w:w="46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56,146</w:t>
            </w:r>
          </w:p>
        </w:tc>
        <w:tc>
          <w:tcPr>
            <w:tcW w:w="60" w:type="dxa"/>
            <w:tcBorders/>
            <w:shd w:fill="CCEEFF" w:val="clear"/>
            <w:vAlign w:val="bottom"/>
          </w:tcPr>
          <w:p>
            <w:pPr>
              <w:pStyle w:val="TableContents"/>
              <w:bidi w:val="0"/>
              <w:spacing w:before="0" w:after="283"/>
              <w:jc w:val="left"/>
              <w:rPr/>
            </w:pPr>
            <w:r>
              <w:rPr/>
              <w:t> </w:t>
            </w:r>
          </w:p>
        </w:tc>
        <w:tc>
          <w:tcPr>
            <w:tcW w:w="468"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575" w:type="dxa"/>
            <w:tcBorders/>
            <w:shd w:fill="CCEEFF" w:val="clear"/>
            <w:vAlign w:val="bottom"/>
          </w:tcPr>
          <w:p>
            <w:pPr>
              <w:pStyle w:val="TableContents"/>
              <w:bidi w:val="0"/>
              <w:spacing w:before="0" w:after="283"/>
              <w:jc w:val="right"/>
              <w:rPr/>
            </w:pPr>
            <w:r>
              <w:rPr/>
              <w:t>45</w:t>
            </w:r>
          </w:p>
        </w:tc>
        <w:tc>
          <w:tcPr>
            <w:tcW w:w="281" w:type="dxa"/>
            <w:tcBorders/>
            <w:shd w:fill="CCEEFF" w:val="clear"/>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575"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788" w:type="dxa"/>
            <w:tcBorders/>
          </w:tcPr>
          <w:p>
            <w:pPr>
              <w:pStyle w:val="TableContents"/>
              <w:bidi w:val="0"/>
              <w:spacing w:before="0" w:after="0"/>
              <w:jc w:val="left"/>
              <w:rPr>
                <w:rFonts w:ascii="Times New Roman" w:hAnsi="Times New Roman"/>
                <w:sz w:val="20"/>
              </w:rPr>
            </w:pPr>
            <w:r>
              <w:rPr>
                <w:rFonts w:ascii="Times New Roman" w:hAnsi="Times New Roman"/>
                <w:sz w:val="20"/>
              </w:rPr>
              <w:t>Estimated total shares of DXL upon closing, on a diluted basis</w:t>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124,769</w:t>
            </w:r>
          </w:p>
        </w:tc>
        <w:tc>
          <w:tcPr>
            <w:tcW w:w="60" w:type="dxa"/>
            <w:tcBorders/>
            <w:vAlign w:val="bottom"/>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575" w:type="dxa"/>
            <w:tcBorders/>
            <w:vAlign w:val="bottom"/>
          </w:tcPr>
          <w:p>
            <w:pPr>
              <w:pStyle w:val="TableContents"/>
              <w:bidi w:val="0"/>
              <w:spacing w:before="0" w:after="283"/>
              <w:jc w:val="right"/>
              <w:rPr/>
            </w:pPr>
            <w:r>
              <w:rPr/>
              <w:t>100</w:t>
            </w:r>
          </w:p>
        </w:tc>
        <w:tc>
          <w:tcPr>
            <w:tcW w:w="281" w:type="dxa"/>
            <w:tcBorders/>
            <w:vAlign w:val="bottom"/>
          </w:tcPr>
          <w:p>
            <w:pPr>
              <w:pStyle w:val="TableContents"/>
              <w:bidi w:val="0"/>
              <w:spacing w:before="0" w:after="283"/>
              <w:jc w:val="left"/>
              <w:rPr/>
            </w:pPr>
            <w:r>
              <w:rPr/>
              <w:t>% </w:t>
            </w:r>
          </w:p>
        </w:tc>
      </w:tr>
      <w:tr>
        <w:trPr/>
        <w:tc>
          <w:tcPr>
            <w:tcW w:w="3788" w:type="dxa"/>
            <w:tcBorders/>
            <w:vAlign w:val="bottom"/>
          </w:tcPr>
          <w:p>
            <w:pPr>
              <w:pStyle w:val="TableContents"/>
              <w:bidi w:val="0"/>
              <w:spacing w:before="0" w:after="283"/>
              <w:jc w:val="left"/>
              <w:rPr>
                <w:sz w:val="4"/>
                <w:szCs w:val="4"/>
              </w:rPr>
            </w:pPr>
            <w:r>
              <w:rPr>
                <w:sz w:val="4"/>
                <w:szCs w:val="4"/>
              </w:rPr>
            </w:r>
          </w:p>
        </w:tc>
        <w:tc>
          <w:tcPr>
            <w:tcW w:w="46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8"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575"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Excludes the following FBB common stock, due to immaterial impact; (i) Excluded Shares, (ii) Appraisal Shares, and (iii) Unaccredited Investor Shares.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discussed elsewhere in the proxy statement, Holders of Preferred Stock will convert their shares to common stock at a pro-rata conversion equal to 15% of outstanding common stock as of April 4, 2026.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calculation assumes that there were 56,146,116 outstanding shares of DXL common stock on a fully diluted basis using the treasury stock method as of May 2, 2026 for purposes of the unaudited pro forma condensed combined financial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DXL common stock expected to be issued in connection with the merger is preliminary, and the estimated number of shares utilized in the unaudited pro forma condensed combined financial information is based upon FBB and DXL common stock outstanding as of their respective fiscal year-end dates presented above and estimated common stock in connection with the merger. The actual number of shares issued at closing will depend on the number of shares outstanding immediately prior to the effective time of the merger, including shares issued in connection with the private placement, as well as any changes in equity structure or other adjustments in accordance with the merger agreement. Accordingly, the final number of shares issued at closing may differ from the amounts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DXL will seek the approval of its stockholders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the issuance of shares of DXL common stock as the merger consideration pursuant to the terms of the merger agreement and the resulting “change of control” under the Nasdaq rules;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proposal to approve and adopt an amendment to the restated certificate of incorporation of DXL to effect a reverse stock split at a ratio of not less than 1-for-2 and not more than 1-for-30, as discussed below.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Treatment of DXL Equity and Performance-Based Awards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DXL common stock, each option to purchase DXL common stock and each DXL restricted stock unit award, that is issued and outstanding at the effective time of the merger will remain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will be unaffected by the merger, other than adjustments for the reverse stock split and those shares subject to acceleration upon the consummation of the merger. The consideration transferred has been updated to include the fair value of these awards attributable to pre-combination service. The DXL performance stock unit award will be treated in accordance with its existing terms. DXL’s deferred stock automatically vest upon a change in control and the fair value at the closing date is attributable to pre-combination service and included in consideration transferred. </w:t>
      </w:r>
    </w:p>
    <w:p>
      <w:pPr>
        <w:pStyle w:val="TextBody"/>
        <w:bidi w:val="0"/>
        <w:spacing w:before="240" w:after="0"/>
        <w:jc w:val="left"/>
        <w:rPr>
          <w:rFonts w:ascii="Times New Roman" w:hAnsi="Times New Roman"/>
          <w:sz w:val="20"/>
        </w:rPr>
      </w:pPr>
      <w:r>
        <w:rPr>
          <w:rFonts w:ascii="Times New Roman" w:hAnsi="Times New Roman"/>
          <w:sz w:val="20"/>
        </w:rPr>
        <w:t xml:space="preserve">Each DXL performance-based award that is issued and outstanding under the DXL long-term incentive plan at the effective time of the merger (a) will be cancelled and paid out on a pro rata basis equal to the product of (i) the earned amount of the award based on actual achievement of the applicable performance metrics through the latest practicable date prior to the closing of the merger and (ii) a fraction, the numerator of which is the number of calendar days elapsed from the first day of the performance period to the closing of the merger and the denominator of which is the total number of calendar days in the applicable performance period and (b) the payment will be made in a combination of cash (up to a maximum aggregate value of $1.4 million) and the remainder in shares of DXL common stock. The performance conditions are not considered probable of vesting and there is no impact to stock-based compensation expense or purchase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FBB Equity Awards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prior to the effective time of the merger, FBB may take all actions deemed necessary and permissible to permit and effectuate vesting, settlement and payment of any FBB restricted stock awards (including any accrued dividends or dividend equivalents thereon) held by employees of FBB. Vesting of FBB’s equity awards was accelerated in connection with the merger. As a result, the related stock-based compensation expense has been reflected in the pro forma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the Concurrent Financing and Equity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As stipulated in the merger agreement, FBB will issue and sell FBB common stock for aggregate gross proceeds of approximately $92 million (the “private placement”). The proceeds of the private placement will be used to cancel a portion of FBB’s indebtedness by certain commitment and subscription agreements with certain of its existing stockholders and lenders prior to the closing of the effective date of the merger. </w:t>
      </w:r>
    </w:p>
    <w:p>
      <w:pPr>
        <w:pStyle w:val="TextBody"/>
        <w:bidi w:val="0"/>
        <w:spacing w:before="240" w:after="0"/>
        <w:jc w:val="left"/>
        <w:rPr>
          <w:rFonts w:ascii="Times New Roman" w:hAnsi="Times New Roman"/>
          <w:sz w:val="20"/>
        </w:rPr>
      </w:pPr>
      <w:r>
        <w:rPr>
          <w:rFonts w:ascii="Times New Roman" w:hAnsi="Times New Roman"/>
          <w:sz w:val="20"/>
        </w:rPr>
        <w:t xml:space="preserve">Around the date of the merger agreement, FBB entered into commitment and subscription agreements with the purchasers named therein (the “private placement investors”), pursuant to which the private placement investors agreed to purchase, and FBB agreed to sell, shares of FBB common stock for an aggregate purchase price of approximately $92 million. In addition, in connection with the private placement, the private placement investors were granted certain registration rights with respect to the shares of FBB common stock purchased in the private placement, which will be exchanged for shares of DXL common stock at the effective time. Such registration rights will require the combined company to use reasonable best efforts to prepare and file a registration statement with the SEC as soon as practicable following the closing of the merger but in no event later than the 30th day following such closing to register the resale of the shares purchased in the private placement. The closing of the private placement is expected to occur immediately prior to the closing of the merger. The closing of the private placement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DXL and FBB are each required to use reasonable best efforts to cooperate with the other party in connection with (i) the amendment and restatement of FBB’s existing term loan facility to authorize and give effect to the merger and the capital structure of the surviving company following the closing, and (ii) the establishment, documentation and closing of a combined asset-based revolving credit facility for the surviving company and its subsidiaries, whether through an amendment or amendment and restatement of the Existing FBB ABL Agreement (as defined in the merger agreement) or, if reasonably determined by FBB in consultation with DXL, an amendment or amendment and restatement of the Existing DXL ABL Agreement (as defined in the merger agreement) or a new ABL credit agreement. Following the closing date of the Merger, the intent is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and DXL, as a combined company, to enter into a new ABL credit agreement, cancelling the Existing FBB ABL Agreement and Existing DXL ABL Agreement, and draw on the new ABL to pay off a portion of the FBB term loan and Existing FBB ABL. In connection with the Merger, FBB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These debt and equity transactions contemplated in the merger agreement and this proxy statement, as well as the reverse stock split are referred to herein as the Other Transaction Accounting Adjustments.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being accounted for as a business combination, and reverse acquisition, using the acquisition method in accordance with ASC 805, where FBB, the legal acquiree, is determined to be the accounting acquirer of DXL. Refer to Note 1 - Basis of Presentation for more information. Under this method of accounting, the aggregate merger consideration will be allocated to DXL’s assets acquired and liabilities assumed based upon their estimated fair values at the date of completion of the merger. The process of valuing the aggregate merger consideration and net assets of DXL immediately prior to the merger, as well as evaluating accounting policies for conformity, is preliminary. Any excess or shortfall between the estimated fair value of the consideration transferred and the estimated fair value of the assets acquired and liabilities assumed will be recorded as goodwill or gain on bargain purchase, respectively. Fair value measurements can be highly subjective, and it is possible the application of reasonable judgment could develop different assumptions resulting in a range of alternative estimates using the same facts and circumstances. Accordingly, the aggregate merger consideration allocation and related adjustments reflected in this unaudited pro forma condensed combined financial information are preliminary and subject to revision as additional information becomes available, change in market conditions, and management’s final determinations of fair value.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All financial data included in the accompanying notes to the unaudited combined financial information is presented in millions of U.S. Dollars, unless otherwise stated, and has been prepared on the basis of U.S. GAAP. Refer to Note 1 - Basis of Presentation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presented is for informational purposes only and is not necessarily indicative of the financial position or results of operations that would have been realized if the merger and the private placement had been completed on the dates set forth above, nor is it indicative of the future results or financial position of the combined company. The unaudited pro forma condensed combined financial information does not reflect any anticipated synergies,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management believes are reasonable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120" w:after="0"/>
        <w:jc w:val="center"/>
        <w:rPr>
          <w:rFonts w:ascii="Times New Roman" w:hAnsi="Times New Roman"/>
          <w:b/>
          <w:sz w:val="16"/>
        </w:rPr>
      </w:pPr>
      <w:r>
        <w:rPr>
          <w:rFonts w:ascii="Times New Roman" w:hAnsi="Times New Roman"/>
          <w:b/>
          <w:sz w:val="16"/>
        </w:rPr>
        <w:t xml:space="preserve">As of May 2, 2026 </w:t>
      </w:r>
    </w:p>
    <w:p>
      <w:pPr>
        <w:pStyle w:val="TextBody"/>
        <w:bidi w:val="0"/>
        <w:spacing w:before="0" w:after="0"/>
        <w:jc w:val="center"/>
        <w:rPr>
          <w:rFonts w:ascii="Times New Roman" w:hAnsi="Times New Roman"/>
          <w:b/>
          <w:sz w:val="16"/>
        </w:rPr>
      </w:pPr>
      <w:r>
        <w:rPr>
          <w:rFonts w:ascii="Times New Roman" w:hAnsi="Times New Roman"/>
          <w:b/>
          <w:sz w:val="16"/>
        </w:rPr>
        <w:t xml:space="preserve">($ in thousands) </w:t>
      </w:r>
    </w:p>
    <w:p>
      <w:pPr>
        <w:pStyle w:val="TextBody"/>
        <w:bidi w:val="0"/>
        <w:spacing w:before="0" w:after="0"/>
        <w:jc w:val="left"/>
        <w:rPr/>
      </w:pPr>
      <w:r>
        <w:rPr/>
        <w:t> </w:t>
      </w:r>
    </w:p>
    <w:tbl>
      <w:tblPr>
        <w:tblW w:w="10860" w:type="dxa"/>
        <w:jc w:val="center"/>
        <w:tblInd w:w="0" w:type="dxa"/>
        <w:tblLayout w:type="fixed"/>
        <w:tblCellMar>
          <w:top w:w="0" w:type="dxa"/>
          <w:left w:w="0" w:type="dxa"/>
          <w:bottom w:w="0" w:type="dxa"/>
          <w:right w:w="0" w:type="dxa"/>
        </w:tblCellMar>
      </w:tblPr>
      <w:tblGrid>
        <w:gridCol w:w="1085"/>
        <w:gridCol w:w="60"/>
        <w:gridCol w:w="220"/>
        <w:gridCol w:w="1375"/>
        <w:gridCol w:w="155"/>
        <w:gridCol w:w="60"/>
        <w:gridCol w:w="201"/>
        <w:gridCol w:w="1259"/>
        <w:gridCol w:w="155"/>
        <w:gridCol w:w="60"/>
        <w:gridCol w:w="180"/>
        <w:gridCol w:w="1130"/>
        <w:gridCol w:w="155"/>
        <w:gridCol w:w="60"/>
        <w:gridCol w:w="164"/>
        <w:gridCol w:w="591"/>
        <w:gridCol w:w="155"/>
        <w:gridCol w:w="60"/>
        <w:gridCol w:w="204"/>
        <w:gridCol w:w="1106"/>
        <w:gridCol w:w="155"/>
        <w:gridCol w:w="60"/>
        <w:gridCol w:w="164"/>
        <w:gridCol w:w="591"/>
        <w:gridCol w:w="155"/>
        <w:gridCol w:w="60"/>
        <w:gridCol w:w="149"/>
        <w:gridCol w:w="936"/>
        <w:gridCol w:w="155"/>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As of</w:t>
              <w:br/>
              <w:t>May 2,</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As of</w:t>
              <w:br/>
              <w:t>April 4,</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pPr>
            <w:r>
              <w:rPr>
                <w:b/>
              </w:rPr>
              <w:t>Transaction</w:t>
            </w:r>
            <w:r>
              <w:rPr/>
              <w:br/>
            </w:r>
            <w:r>
              <w:rPr>
                <w:b/>
              </w:rP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0"/>
              <w:jc w:val="left"/>
              <w:rPr/>
            </w:pPr>
            <w:r>
              <w:rPr/>
              <w:t> </w:t>
            </w:r>
          </w:p>
        </w:tc>
        <w:tc>
          <w:tcPr>
            <w:tcW w:w="1375"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0"/>
              <w:jc w:val="left"/>
              <w:rPr/>
            </w:pPr>
            <w:r>
              <w:rPr/>
              <w:t> </w:t>
            </w:r>
          </w:p>
        </w:tc>
        <w:tc>
          <w:tcPr>
            <w:tcW w:w="1259"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0"/>
              <w:jc w:val="left"/>
              <w:rPr/>
            </w:pPr>
            <w:r>
              <w:rPr/>
              <w:t> </w:t>
            </w:r>
          </w:p>
        </w:tc>
        <w:tc>
          <w:tcPr>
            <w:tcW w:w="1130"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0"/>
              <w:jc w:val="left"/>
              <w:rPr/>
            </w:pPr>
            <w:r>
              <w:rPr/>
              <w:t> </w:t>
            </w:r>
          </w:p>
        </w:tc>
        <w:tc>
          <w:tcPr>
            <w:tcW w:w="110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0"/>
              <w:jc w:val="left"/>
              <w:rPr/>
            </w:pPr>
            <w:r>
              <w:rPr/>
              <w:t> </w:t>
            </w:r>
          </w:p>
        </w:tc>
        <w:tc>
          <w:tcPr>
            <w:tcW w:w="591"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0"/>
              <w:jc w:val="left"/>
              <w:rPr/>
            </w:pPr>
            <w:r>
              <w:rPr/>
              <w:t> </w:t>
            </w:r>
          </w:p>
        </w:tc>
        <w:tc>
          <w:tcPr>
            <w:tcW w:w="936" w:type="dxa"/>
            <w:tcBorders/>
            <w:shd w:fill="CCEEFF" w:val="clear"/>
            <w:vAlign w:val="bottom"/>
          </w:tcPr>
          <w:p>
            <w:pPr>
              <w:pStyle w:val="TableContents"/>
              <w:bidi w:val="0"/>
              <w:spacing w:before="0" w:after="0"/>
              <w:jc w:val="left"/>
              <w:rPr/>
            </w:pPr>
            <w:r>
              <w:rPr/>
              <w:t> </w:t>
            </w:r>
          </w:p>
        </w:tc>
        <w:tc>
          <w:tcPr>
            <w:tcW w:w="155" w:type="dxa"/>
            <w:tcBorders/>
            <w:shd w:fill="CCEEFF" w:val="clear"/>
            <w:vAlign w:val="bottom"/>
          </w:tcPr>
          <w:p>
            <w:pPr>
              <w:pStyle w:val="TableContents"/>
              <w:bidi w:val="0"/>
              <w:spacing w:before="0" w:after="0"/>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11,098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(1,145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(a</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14,518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5,078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5,078</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7,590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122,473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203,867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9,503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18,524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27,951</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108,847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152,378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(1,221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(1,000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259,004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Property, plant, and equipment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58,301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31,898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(43,894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46,305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197,078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26,590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(17,395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206,273</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Intangible assets - net</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130,417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(1,150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130,417</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744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(f</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725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2,560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Deferred tax assets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16,595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16,595</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366,120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359,227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(63,918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661,154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705" w:type="dxa"/>
            <w:gridSpan w:val="28"/>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Current liabilities:</w:t>
            </w:r>
          </w:p>
        </w:tc>
        <w:tc>
          <w:tcPr>
            <w:tcW w:w="155" w:type="dxa"/>
            <w:tcBorders/>
            <w:shd w:fill="CCEEFF" w:val="clear"/>
          </w:tcPr>
          <w:p>
            <w:pPr>
              <w:pStyle w:val="TableContents"/>
              <w:bidi w:val="0"/>
              <w:spacing w:before="0" w:after="0"/>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75" w:type="dxa"/>
            <w:tcBorders/>
            <w:vAlign w:val="bottom"/>
          </w:tcPr>
          <w:p>
            <w:pPr>
              <w:pStyle w:val="TableContents"/>
              <w:bidi w:val="0"/>
              <w:spacing w:before="0" w:after="283"/>
              <w:jc w:val="right"/>
              <w:rPr/>
            </w:pPr>
            <w:r>
              <w:rPr/>
              <w:t>30,064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259" w:type="dxa"/>
            <w:tcBorders/>
            <w:vAlign w:val="bottom"/>
          </w:tcPr>
          <w:p>
            <w:pPr>
              <w:pStyle w:val="TableContents"/>
              <w:bidi w:val="0"/>
              <w:spacing w:before="0" w:after="283"/>
              <w:jc w:val="right"/>
              <w:rPr/>
            </w:pPr>
            <w:r>
              <w:rPr/>
              <w:t>47,561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77,625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20,237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50,077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(h</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73,200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Short-term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36,273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r>
              <w:rPr/>
              <w:t>7,982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44,255</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86,574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112,620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2,886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202,080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13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113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9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Other noncurrent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3,446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(i</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2,636</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Long-term debt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269,217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(69,530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(c</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199,687</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Long-term operating lease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176,810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21,721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198,531</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non-current liabilities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176,976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294,384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(69,530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400,854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263,550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407,004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1,910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(69,530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602,934</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Commitments and contingencies</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13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113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9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Convertible preferred stock</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Common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810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1,244</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331,439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(268,239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68,850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335,664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sz w:val="18"/>
              </w:rPr>
            </w:pPr>
            <w:r>
              <w:rPr>
                <w:rFonts w:ascii="Times New Roman" w:hAnsi="Times New Roman"/>
                <w:sz w:val="18"/>
              </w:rPr>
              <w:t>Treasury stock</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143,985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(j</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pPr>
            <w:r>
              <w:rPr/>
              <w:t>(85,694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(273,112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80,393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(j</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(d</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(278,688</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stockholders’ equity</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75" w:type="dxa"/>
            <w:tcBorders/>
            <w:vAlign w:val="bottom"/>
          </w:tcPr>
          <w:p>
            <w:pPr>
              <w:pStyle w:val="TableContents"/>
              <w:bidi w:val="0"/>
              <w:spacing w:before="0" w:after="283"/>
              <w:jc w:val="right"/>
              <w:rPr/>
            </w:pPr>
            <w:r>
              <w:rPr/>
              <w:t>102,570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(69,489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(44,116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69,255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58,220</w:t>
            </w:r>
          </w:p>
        </w:tc>
        <w:tc>
          <w:tcPr>
            <w:tcW w:w="155"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75" w:type="dxa"/>
            <w:tcBorders/>
            <w:shd w:fill="CCEEFF" w:val="clear"/>
            <w:vAlign w:val="bottom"/>
          </w:tcPr>
          <w:p>
            <w:pPr>
              <w:pStyle w:val="TableContents"/>
              <w:bidi w:val="0"/>
              <w:spacing w:before="0" w:after="283"/>
              <w:jc w:val="right"/>
              <w:rPr/>
            </w:pPr>
            <w:r>
              <w:rPr/>
              <w:t>366,120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359,227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(63,918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59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661,154</w:t>
            </w:r>
          </w:p>
        </w:tc>
        <w:tc>
          <w:tcPr>
            <w:tcW w:w="155"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113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Three Months Ended May 2,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1300" w:type="dxa"/>
        <w:jc w:val="center"/>
        <w:tblInd w:w="0" w:type="dxa"/>
        <w:tblLayout w:type="fixed"/>
        <w:tblCellMar>
          <w:top w:w="0" w:type="dxa"/>
          <w:left w:w="0" w:type="dxa"/>
          <w:bottom w:w="0" w:type="dxa"/>
          <w:right w:w="0" w:type="dxa"/>
        </w:tblCellMar>
      </w:tblPr>
      <w:tblGrid>
        <w:gridCol w:w="1400"/>
        <w:gridCol w:w="120"/>
        <w:gridCol w:w="235"/>
        <w:gridCol w:w="1345"/>
        <w:gridCol w:w="155"/>
        <w:gridCol w:w="60"/>
        <w:gridCol w:w="248"/>
        <w:gridCol w:w="1422"/>
        <w:gridCol w:w="155"/>
        <w:gridCol w:w="60"/>
        <w:gridCol w:w="236"/>
        <w:gridCol w:w="1074"/>
        <w:gridCol w:w="155"/>
        <w:gridCol w:w="60"/>
        <w:gridCol w:w="110"/>
        <w:gridCol w:w="645"/>
        <w:gridCol w:w="60"/>
        <w:gridCol w:w="60"/>
        <w:gridCol w:w="236"/>
        <w:gridCol w:w="1074"/>
        <w:gridCol w:w="155"/>
        <w:gridCol w:w="60"/>
        <w:gridCol w:w="129"/>
        <w:gridCol w:w="626"/>
        <w:gridCol w:w="60"/>
        <w:gridCol w:w="60"/>
        <w:gridCol w:w="170"/>
        <w:gridCol w:w="975"/>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w:t>
              <w:br/>
              <w:t>Three Months</w:t>
              <w:br/>
              <w:t>Ended May 2,</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FBB Holdings I,</w:t>
              <w:br/>
              <w:t>Inc. Thirteen</w:t>
              <w:br/>
              <w:t>Weeks Ended</w:t>
              <w:br/>
              <w:t>April 4, 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(Note 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sales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103,335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151,174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254,509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Cost of merchandise sold</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58,022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62,230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119,475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Gross profit</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45,313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88,944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135,034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46,043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95,553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141,596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3,968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3,153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(2,886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4,235</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1,241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1,703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2,944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Total expenses</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51,252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100,409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(2,886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148,775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(11,465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3,663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(13,741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11,332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(7,193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4,058</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(5,877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1422" w:type="dxa"/>
            <w:tcBorders/>
            <w:shd w:fill="CCEEFF" w:val="clear"/>
            <w:vAlign w:val="bottom"/>
          </w:tcPr>
          <w:p>
            <w:pPr>
              <w:pStyle w:val="TableContents"/>
              <w:bidi w:val="0"/>
              <w:spacing w:before="0" w:after="283"/>
              <w:jc w:val="right"/>
              <w:rPr/>
            </w:pPr>
            <w:r>
              <w:rPr/>
              <w:t>(22,797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3,682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7,193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(17,799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422" w:type="dxa"/>
            <w:tcBorders/>
            <w:vAlign w:val="bottom"/>
          </w:tcPr>
          <w:p>
            <w:pPr>
              <w:pStyle w:val="TableContents"/>
              <w:bidi w:val="0"/>
              <w:spacing w:before="0" w:after="283"/>
              <w:jc w:val="right"/>
              <w:rPr/>
            </w:pPr>
            <w:r>
              <w:rPr/>
              <w:t>3,709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645"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626"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6,415</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single" w:sz="2" w:space="1" w:color="000000"/>
              </w:pBdr>
              <w:bidi w:val="0"/>
              <w:spacing w:before="0" w:after="0"/>
              <w:jc w:val="left"/>
              <w:rPr/>
            </w:pPr>
            <w:r>
              <w:rPr/>
              <w:t> </w:t>
            </w:r>
          </w:p>
        </w:tc>
        <w:tc>
          <w:tcPr>
            <w:tcW w:w="14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(5,939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w:t>
            </w:r>
          </w:p>
        </w:tc>
        <w:tc>
          <w:tcPr>
            <w:tcW w:w="1422"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2,787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5,444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(24,214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pBdr>
                <w:top w:val="double" w:sz="6" w:space="1" w:color="000000"/>
              </w:pBdr>
              <w:bidi w:val="0"/>
              <w:spacing w:before="0" w:after="0"/>
              <w:jc w:val="left"/>
              <w:rPr/>
            </w:pPr>
            <w:r>
              <w:rPr/>
              <w:t> </w:t>
            </w:r>
          </w:p>
        </w:tc>
        <w:tc>
          <w:tcPr>
            <w:tcW w:w="14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(0.20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12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sz w:val="4"/>
                <w:szCs w:val="4"/>
              </w:rPr>
            </w:pPr>
            <w:r>
              <w:rPr>
                <w:sz w:val="4"/>
                <w:szCs w:val="4"/>
              </w:rPr>
            </w:r>
          </w:p>
        </w:tc>
        <w:tc>
          <w:tcPr>
            <w:tcW w:w="14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6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62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9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12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54,916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sz w:val="4"/>
                <w:szCs w:val="4"/>
              </w:rPr>
            </w:pPr>
            <w:r>
              <w:rPr>
                <w:sz w:val="4"/>
                <w:szCs w:val="4"/>
              </w:rPr>
            </w:r>
          </w:p>
        </w:tc>
        <w:tc>
          <w:tcPr>
            <w:tcW w:w="142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6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62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123,539</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For the Year Ended January 31, 2026 </w:t>
      </w:r>
    </w:p>
    <w:p>
      <w:pPr>
        <w:pStyle w:val="TextBody"/>
        <w:bidi w:val="0"/>
        <w:spacing w:before="0" w:after="0"/>
        <w:jc w:val="center"/>
        <w:rPr>
          <w:rFonts w:ascii="Times New Roman" w:hAnsi="Times New Roman"/>
          <w:b/>
          <w:sz w:val="20"/>
        </w:rPr>
      </w:pPr>
      <w:r>
        <w:rPr>
          <w:rFonts w:ascii="Times New Roman" w:hAnsi="Times New Roman"/>
          <w:b/>
          <w:sz w:val="20"/>
        </w:rPr>
        <w:t xml:space="preserve">($ in thousands, except per share data) </w:t>
      </w:r>
    </w:p>
    <w:p>
      <w:pPr>
        <w:pStyle w:val="TextBody"/>
        <w:bidi w:val="0"/>
        <w:spacing w:before="0" w:after="0"/>
        <w:jc w:val="left"/>
        <w:rPr/>
      </w:pPr>
      <w:r>
        <w:rPr/>
        <w:t> </w:t>
      </w:r>
    </w:p>
    <w:tbl>
      <w:tblPr>
        <w:tblW w:w="10495" w:type="dxa"/>
        <w:jc w:val="center"/>
        <w:tblInd w:w="0" w:type="dxa"/>
        <w:tblLayout w:type="fixed"/>
        <w:tblCellMar>
          <w:top w:w="0" w:type="dxa"/>
          <w:left w:w="0" w:type="dxa"/>
          <w:bottom w:w="0" w:type="dxa"/>
          <w:right w:w="0" w:type="dxa"/>
        </w:tblCellMar>
      </w:tblPr>
      <w:tblGrid>
        <w:gridCol w:w="1400"/>
        <w:gridCol w:w="60"/>
        <w:gridCol w:w="235"/>
        <w:gridCol w:w="1345"/>
        <w:gridCol w:w="155"/>
        <w:gridCol w:w="60"/>
        <w:gridCol w:w="217"/>
        <w:gridCol w:w="1243"/>
        <w:gridCol w:w="155"/>
        <w:gridCol w:w="60"/>
        <w:gridCol w:w="204"/>
        <w:gridCol w:w="1106"/>
        <w:gridCol w:w="155"/>
        <w:gridCol w:w="60"/>
        <w:gridCol w:w="560"/>
        <w:gridCol w:w="60"/>
        <w:gridCol w:w="204"/>
        <w:gridCol w:w="1106"/>
        <w:gridCol w:w="155"/>
        <w:gridCol w:w="60"/>
        <w:gridCol w:w="560"/>
        <w:gridCol w:w="60"/>
        <w:gridCol w:w="140"/>
        <w:gridCol w:w="980"/>
        <w:gridCol w:w="15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w:t>
              <w:br/>
              <w:t>January 31,</w:t>
              <w:br/>
              <w:t>2026 (Note 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b/>
              </w:rPr>
              <w:t>FBB Holdings</w:t>
              <w:br/>
              <w:t>I, Inc. Year</w:t>
              <w:br/>
              <w:t>Ended</w:t>
              <w:br/>
              <w:t>January 3,</w:t>
            </w:r>
            <w:r>
              <w:rPr/>
              <w:br/>
            </w:r>
            <w:r>
              <w:rPr>
                <w:b/>
              </w:rPr>
              <w:t>2026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4)</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Transaction</w:t>
              <w:br/>
              <w:t>Accounting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(Note 5)</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Combined</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435,017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1,155,349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247,645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(3,106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(k)</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534,393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Gross profit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187,372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3,106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620,956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Expenses: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185,762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406,227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(l)</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594,404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15,331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(11,543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(m)</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17,380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Transaction-related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4,228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(n)</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11,930</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(gain) of assets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210</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5,857</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10,108</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vAlign w:val="bottom"/>
          </w:tcPr>
          <w:p>
            <w:pPr>
              <w:pStyle w:val="TableContents"/>
              <w:bidi w:val="0"/>
              <w:spacing w:before="0" w:after="283"/>
              <w:jc w:val="left"/>
              <w:rPr>
                <w:b/>
              </w:rPr>
            </w:pPr>
            <w:r>
              <w:rPr>
                <w:b/>
              </w:rPr>
              <w:t>Total expenses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205,531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440,600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(6,242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639,889</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Operating (loss) income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(18,159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9,348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(18,933</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expense, net</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(113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(o)</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(22,053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center"/>
              <w:rPr/>
            </w:pPr>
            <w:r>
              <w:rPr/>
              <w:t>(e)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15,801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(f)</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income before income taxes</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(17,349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(48,685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9,461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21,839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(34,734</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sz w:val="18"/>
              </w:rPr>
            </w:pPr>
            <w:r>
              <w:rPr>
                <w:rFonts w:ascii="Times New Roman" w:hAnsi="Times New Roman"/>
                <w:sz w:val="18"/>
              </w:rPr>
              <w:t>Income tax expense</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345" w:type="dxa"/>
            <w:tcBorders/>
            <w:vAlign w:val="bottom"/>
          </w:tcPr>
          <w:p>
            <w:pPr>
              <w:pStyle w:val="TableContents"/>
              <w:bidi w:val="0"/>
              <w:spacing w:before="0" w:after="283"/>
              <w:jc w:val="right"/>
              <w:rPr/>
            </w:pPr>
            <w:r>
              <w:rPr/>
              <w:t>18,559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8,006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2,301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(p)</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5,311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center"/>
              <w:rPr/>
            </w:pPr>
            <w:r>
              <w:rPr/>
              <w:t>(g)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34,177</w:t>
            </w:r>
          </w:p>
        </w:tc>
        <w:tc>
          <w:tcPr>
            <w:tcW w:w="155" w:type="dxa"/>
            <w:tcBorders/>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3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Net (loss) income - net of tax</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(35,908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7,160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6" w:type="dxa"/>
            <w:tcBorders/>
            <w:shd w:fill="CCEEFF" w:val="clear"/>
            <w:vAlign w:val="bottom"/>
          </w:tcPr>
          <w:p>
            <w:pPr>
              <w:pStyle w:val="TableContents"/>
              <w:bidi w:val="0"/>
              <w:spacing w:before="0" w:after="283"/>
              <w:jc w:val="right"/>
              <w:rPr/>
            </w:pPr>
            <w:r>
              <w:rPr/>
              <w:t>16,528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(68,911</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1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Net loss per share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 per share – 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345" w:type="dxa"/>
            <w:tcBorders/>
            <w:shd w:fill="CCEEFF" w:val="clear"/>
            <w:vAlign w:val="bottom"/>
          </w:tcPr>
          <w:p>
            <w:pPr>
              <w:pStyle w:val="TableContents"/>
              <w:bidi w:val="0"/>
              <w:spacing w:before="0" w:after="283"/>
              <w:jc w:val="right"/>
              <w:rPr/>
            </w:pPr>
            <w:r>
              <w:rPr/>
              <w:t>(0.66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(0.56</w:t>
            </w:r>
          </w:p>
        </w:tc>
        <w:tc>
          <w:tcPr>
            <w:tcW w:w="155" w:type="dxa"/>
            <w:tcBorders/>
            <w:shd w:fill="CCEEFF" w:val="clear"/>
            <w:vAlign w:val="bottom"/>
          </w:tcPr>
          <w:p>
            <w:pPr>
              <w:pStyle w:val="TableContents"/>
              <w:bidi w:val="0"/>
              <w:spacing w:before="0" w:after="283"/>
              <w:jc w:val="left"/>
              <w:rPr/>
            </w:pPr>
            <w:r>
              <w:rPr/>
              <w:t>) </w:t>
            </w:r>
          </w:p>
        </w:tc>
      </w:tr>
      <w:tr>
        <w:trPr/>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3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400" w:type="dxa"/>
            <w:tcBorders/>
          </w:tcPr>
          <w:p>
            <w:pPr>
              <w:pStyle w:val="TableContents"/>
              <w:bidi w:val="0"/>
              <w:spacing w:before="0" w:after="0"/>
              <w:jc w:val="left"/>
              <w:rPr>
                <w:rFonts w:ascii="Times New Roman" w:hAnsi="Times New Roman"/>
                <w:b/>
                <w:sz w:val="18"/>
              </w:rPr>
            </w:pPr>
            <w:r>
              <w:rPr>
                <w:rFonts w:ascii="Times New Roman" w:hAnsi="Times New Roman"/>
                <w:b/>
                <w:sz w:val="18"/>
              </w:rPr>
              <w:t>Weighted-average number of common shares outstanding (Note 6):</w:t>
            </w:r>
          </w:p>
        </w:tc>
        <w:tc>
          <w:tcPr>
            <w:tcW w:w="60"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sz w:val="4"/>
                <w:szCs w:val="4"/>
              </w:rPr>
            </w:pPr>
            <w:r>
              <w:rPr>
                <w:sz w:val="4"/>
                <w:szCs w:val="4"/>
              </w:rPr>
            </w:r>
          </w:p>
        </w:tc>
        <w:tc>
          <w:tcPr>
            <w:tcW w:w="134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40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Basic and diluted</w:t>
            </w:r>
          </w:p>
        </w:tc>
        <w:tc>
          <w:tcPr>
            <w:tcW w:w="60"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345" w:type="dxa"/>
            <w:tcBorders/>
            <w:shd w:fill="CCEEFF" w:val="clear"/>
            <w:vAlign w:val="bottom"/>
          </w:tcPr>
          <w:p>
            <w:pPr>
              <w:pStyle w:val="TableContents"/>
              <w:bidi w:val="0"/>
              <w:spacing w:before="0" w:after="283"/>
              <w:jc w:val="right"/>
              <w:rPr/>
            </w:pPr>
            <w:r>
              <w:rPr/>
              <w:t>54,104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10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122,727</w:t>
            </w:r>
          </w:p>
        </w:tc>
        <w:tc>
          <w:tcPr>
            <w:tcW w:w="15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See the accompanying notes to the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Note 1 -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and related notes are prepared in accordance with Article 11 of Regulation S-X as amended by the final rule, Release No. 33-10786 “Amendments to Financial Disclosures about Acquired and Disposed Businesses”. </w:t>
      </w:r>
    </w:p>
    <w:p>
      <w:pPr>
        <w:pStyle w:val="TextBody"/>
        <w:bidi w:val="0"/>
        <w:spacing w:before="240" w:after="0"/>
        <w:jc w:val="left"/>
        <w:rPr>
          <w:rFonts w:ascii="Times New Roman" w:hAnsi="Times New Roman"/>
          <w:sz w:val="20"/>
        </w:rPr>
      </w:pPr>
      <w:r>
        <w:rPr>
          <w:rFonts w:ascii="Times New Roman" w:hAnsi="Times New Roman"/>
          <w:sz w:val="20"/>
        </w:rPr>
        <w:t xml:space="preserve">DXL and FBB’s historical financial statements were prepared in accordance with U.S. GAAP and presented in U.S. dollars. As discussed in Note 2, certain reclassifications were made to align DXL and FBB’s financial statement presentation. Management is currently in the process of evaluating the alignment of accounting policies, which will be finalized upon completion of the merger, or as more information becomes available. As a result of that review, additional differences could be identified between the accounting policies of the two companies. With the information currently available, FBB has determined that no significant adjustments are necessary to conform DXL’s financial statements to the accounting policies used by FBB. </w:t>
      </w:r>
    </w:p>
    <w:p>
      <w:pPr>
        <w:pStyle w:val="TextBody"/>
        <w:bidi w:val="0"/>
        <w:spacing w:before="240" w:after="0"/>
        <w:jc w:val="left"/>
        <w:rPr>
          <w:rFonts w:ascii="Times New Roman" w:hAnsi="Times New Roman"/>
          <w:sz w:val="20"/>
        </w:rPr>
      </w:pPr>
      <w:r>
        <w:rPr>
          <w:rFonts w:ascii="Times New Roman" w:hAnsi="Times New Roman"/>
          <w:sz w:val="20"/>
        </w:rPr>
        <w:t xml:space="preserve">The merger is accounted for as a business combination and a reverse acquisition pursuant to ASC 805, where FBB, the legal acquiree, is determined to be the accounting acquirer of DXL based upon an evaluation of the following primary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FBB shareholders will have approximately 55% of the voting rights in the combined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surpasses DXL in size as measured in key performance metrics including revenue, assets and Earnings Before Interest, Taxes, Depreciation, and Amortization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existing senior management team is expected to have greater influence and control, including the FBB Chief Executive Officer continuing as the Chief Executive Officer and becoming a director of the combined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DXL and committees thereof will be comprised of four members designated by DXL, four members designated by FBB, including the FBB Chief Executive Officer, and an additional board member to be appointed upon approval of both DXL and FBB.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reverse acquisition method of accounting, the assets and liabilities of DXL as of the closing date will be recognized by FBB at their respective fair values, and the excess or shortfall of the purchase price consideration over the fair value of DXL’s net assets will be recognized as goodwill or gain on bargain purchase, respectively. Fair value is defined in Accounting Standards Codification Topic 820, Fair Value Measurements and Disclosures (“ASC 820”) as “the price that would be received to sell an asset or paid to transfer a liability in an orderly transaction between market participants at the measurement date.” Fair value measurements can be highly subjective, and it is possible the application of reasonable judgment could develop different assumptions resulting in a range of alternative estimates using the same facts and circumstances. Upon consummation of the merger, the historical financial statements of FBB will become the historical consolidated financial statements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The measurement and allocation of the aggregate merger consideration depends upon certain estimates and assumptions, all of which are preliminary. The allocation of the aggregate merger consideration has been made for the purpose of developing the unaudited pro forma condensed combined financial information. The final determination of fair values of assets acquired and liabilities assumed relating to the merger could differ materially from the preliminary allocation of aggregate merger consideration. The final valuation will be based on the actual net tangible and intangible assets of DXL existing at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gives effect to the Transactions as if those Transactions had been completed on May 2, 2026 and combines the unaudited condensed consolidated balance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sheet of FBB as of April 4, 2026 with DXL’s unaudited consolidated balance sheet as of May 2, 2026. The unaudited pro forma condensed combined statement of operations for the three months ended May 2, 2026 and fiscal year ended January 31, 2026 gives effect to the Transactions as if those Transactions had occurred on February 2, 2025, the beginning of DXL’s fiscal year ended and combines the historical results of FBB and DXL. </w:t>
      </w:r>
    </w:p>
    <w:p>
      <w:pPr>
        <w:pStyle w:val="TextBody"/>
        <w:bidi w:val="0"/>
        <w:spacing w:before="240" w:after="0"/>
        <w:jc w:val="left"/>
        <w:rPr>
          <w:rFonts w:ascii="Times New Roman" w:hAnsi="Times New Roman"/>
          <w:sz w:val="20"/>
        </w:rPr>
      </w:pPr>
      <w:r>
        <w:rPr>
          <w:rFonts w:ascii="Times New Roman" w:hAnsi="Times New Roman"/>
          <w:sz w:val="20"/>
        </w:rPr>
        <w:t xml:space="preserve">DXL’s fiscal year ends on January 31, 2026 and FBB’s fiscal year ends on January 3, 2026. The unaudited pro forma condensed combined financial information has been prepared utilizing periods that differ by less than one quarter, as permitted by SEC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presented are for illustrative purposes only and are not necessarily indicative of what the condensed combined statements of operations would have been had the merger and other related transactions been consummated as of the dates indicated or will be for any future periods. The unaudited pro forma condensed combined financial statements do not purport to project the future results of operations of the combined companies following the closing date of the merger. The unaudited pro forma condensed combined financial information does not reflect any anticipated synergies or dissynergies, operating efficiencies or cost savings that may result from the merger or any acquisition and integration costs that may be incurred. The pro forma adjustments represent management’s best estimates and are based upon currently available information and certain assumptions that FBB and DXL believe are reasonable under the circumstances. FBB is not aware of any material transactions between FBB and DXL during the period presented. Accordingly, adjustments to eliminate transactions between FBB and DXL have not been reflected in the unaudited pro forma condensed combined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2 - FBB and DXL Reclassification Adjustments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this unaudited pro forma condensed combined financial information, management performed a preliminary analysis of DXL’s and FBB’s financial information to identify material differences in accounting policies and differences in financial statement presentation. With the information currently available, management has determined that no significant adjustments are necessary to conform accounting policies of the combined companies. However, certain reclassification adjustments have been made to conform historical financial statement presentation to the financial statement presentation of the combined company. Following the merger, the combined company will finalize the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reclassification adjustments made to present DXL’s balance sheet as of May 2, 2026 to conform with that of FBB’s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76"/>
        <w:gridCol w:w="3808"/>
        <w:gridCol w:w="176"/>
        <w:gridCol w:w="389"/>
        <w:gridCol w:w="2437"/>
        <w:gridCol w:w="159"/>
      </w:tblGrid>
      <w:tr>
        <w:trPr/>
        <w:tc>
          <w:tcPr>
            <w:tcW w:w="30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Destination XL Group, Inc. Historical</w:t>
              <w:br/>
              <w:t>Consolidated Balance Sheet Line Items</w:t>
            </w:r>
          </w:p>
        </w:tc>
        <w:tc>
          <w:tcPr>
            <w:tcW w:w="176" w:type="dxa"/>
            <w:tcBorders/>
            <w:vAlign w:val="bottom"/>
          </w:tcPr>
          <w:p>
            <w:pPr>
              <w:pStyle w:val="TableContents"/>
              <w:bidi w:val="0"/>
              <w:spacing w:before="0" w:after="283"/>
              <w:jc w:val="left"/>
              <w:rPr/>
            </w:pPr>
            <w:r>
              <w:rPr/>
              <w:t>  </w:t>
            </w:r>
          </w:p>
        </w:tc>
        <w:tc>
          <w:tcPr>
            <w:tcW w:w="380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FBB Holdings I, Inc. Historical Consolidated</w:t>
            </w:r>
          </w:p>
          <w:p>
            <w:pPr>
              <w:pStyle w:val="TableContents"/>
              <w:bidi w:val="0"/>
              <w:spacing w:before="0" w:after="20"/>
              <w:jc w:val="center"/>
              <w:rPr>
                <w:rFonts w:ascii="Times New Roman" w:hAnsi="Times New Roman"/>
                <w:b/>
                <w:sz w:val="16"/>
              </w:rPr>
            </w:pPr>
            <w:r>
              <w:rPr>
                <w:rFonts w:ascii="Times New Roman" w:hAnsi="Times New Roman"/>
                <w:b/>
                <w:sz w:val="16"/>
              </w:rPr>
              <w:t>Balance Sheet Line Items</w:t>
            </w:r>
          </w:p>
        </w:tc>
        <w:tc>
          <w:tcPr>
            <w:tcW w:w="176" w:type="dxa"/>
            <w:tcBorders/>
            <w:vAlign w:val="bottom"/>
          </w:tcPr>
          <w:p>
            <w:pPr>
              <w:pStyle w:val="TableContents"/>
              <w:bidi w:val="0"/>
              <w:spacing w:before="0" w:after="283"/>
              <w:jc w:val="left"/>
              <w:rPr/>
            </w:pPr>
            <w:r>
              <w:rPr/>
              <w:t>  </w:t>
            </w:r>
          </w:p>
        </w:tc>
        <w:tc>
          <w:tcPr>
            <w:tcW w:w="2826"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Reclassed</w:t>
            </w:r>
            <w:r>
              <w:rPr/>
              <w:br/>
            </w:r>
            <w:r>
              <w:rPr>
                <w:b/>
              </w:rPr>
              <w:t>As of May 2, 2026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Cash and cash equivalents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w:t>
            </w:r>
          </w:p>
        </w:tc>
        <w:tc>
          <w:tcPr>
            <w:tcW w:w="2437" w:type="dxa"/>
            <w:tcBorders/>
            <w:shd w:fill="CCEEFF" w:val="clear"/>
            <w:vAlign w:val="bottom"/>
          </w:tcPr>
          <w:p>
            <w:pPr>
              <w:pStyle w:val="TableContents"/>
              <w:bidi w:val="0"/>
              <w:spacing w:before="0" w:after="283"/>
              <w:jc w:val="right"/>
              <w:rPr/>
            </w:pPr>
            <w:r>
              <w:rPr/>
              <w:t>11,098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5,078</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Accounts receivable</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1,774</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Merchandise inventories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81,394</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9,503</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and amortization</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Property, plant, and equipment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58,301</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Operating lease right-of-use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197,078</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Intangible assets - net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1,150</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Other non-current assets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744</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Accounts payable</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30,064</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Accrued expenses and other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20,237</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leases, current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Short-term operating lease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36,273</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 noncurrent</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Long-term operating lease liabilities</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176,810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Other non-current liabilities</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166</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pPr>
            <w:r>
              <w:rPr/>
              <w:t>Common stock</w:t>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810</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Additional paid-in capital</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331,439</w:t>
            </w:r>
          </w:p>
        </w:tc>
        <w:tc>
          <w:tcPr>
            <w:tcW w:w="159"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176" w:type="dxa"/>
            <w:tcBorders/>
            <w:shd w:fill="CCEEFF" w:val="clear"/>
            <w:vAlign w:val="bottom"/>
          </w:tcPr>
          <w:p>
            <w:pPr>
              <w:pStyle w:val="TableContents"/>
              <w:bidi w:val="0"/>
              <w:spacing w:before="0" w:after="283"/>
              <w:jc w:val="left"/>
              <w:rPr/>
            </w:pPr>
            <w:r>
              <w:rPr/>
              <w:t>  </w:t>
            </w:r>
          </w:p>
        </w:tc>
        <w:tc>
          <w:tcPr>
            <w:tcW w:w="3808"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2437" w:type="dxa"/>
            <w:tcBorders/>
            <w:shd w:fill="CCEEFF" w:val="clear"/>
            <w:vAlign w:val="bottom"/>
          </w:tcPr>
          <w:p>
            <w:pPr>
              <w:pStyle w:val="TableContents"/>
              <w:bidi w:val="0"/>
              <w:spacing w:before="0" w:after="283"/>
              <w:jc w:val="right"/>
              <w:rPr/>
            </w:pPr>
            <w:r>
              <w:rPr/>
              <w:t>(143,985</w:t>
            </w:r>
          </w:p>
        </w:tc>
        <w:tc>
          <w:tcPr>
            <w:tcW w:w="159"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vAlign w:val="bottom"/>
          </w:tcPr>
          <w:p>
            <w:pPr>
              <w:pStyle w:val="TableContents"/>
              <w:bidi w:val="0"/>
              <w:spacing w:before="0" w:after="283"/>
              <w:jc w:val="left"/>
              <w:rPr/>
            </w:pPr>
            <w:r>
              <w:rPr/>
              <w:t>  </w:t>
            </w:r>
          </w:p>
        </w:tc>
        <w:tc>
          <w:tcPr>
            <w:tcW w:w="3808" w:type="dxa"/>
            <w:tcBorders/>
            <w:vAlign w:val="bottom"/>
          </w:tcPr>
          <w:p>
            <w:pPr>
              <w:pStyle w:val="TableContents"/>
              <w:bidi w:val="0"/>
              <w:spacing w:before="0" w:after="283"/>
              <w:jc w:val="left"/>
              <w:rPr/>
            </w:pPr>
            <w:r>
              <w:rPr/>
              <w:t>Accumulated deficit</w:t>
            </w:r>
          </w:p>
        </w:tc>
        <w:tc>
          <w:tcPr>
            <w:tcW w:w="176"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2437" w:type="dxa"/>
            <w:tcBorders/>
            <w:vAlign w:val="bottom"/>
          </w:tcPr>
          <w:p>
            <w:pPr>
              <w:pStyle w:val="TableContents"/>
              <w:bidi w:val="0"/>
              <w:spacing w:before="0" w:after="283"/>
              <w:jc w:val="right"/>
              <w:rPr/>
            </w:pPr>
            <w:r>
              <w:rPr/>
              <w:t>(85,694</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three months ended May 2, 2026 to conform with that of FBB’s (in thousands): </w:t>
      </w:r>
    </w:p>
    <w:p>
      <w:pPr>
        <w:pStyle w:val="TextBody"/>
        <w:bidi w:val="0"/>
        <w:spacing w:before="0" w:after="0"/>
        <w:jc w:val="left"/>
        <w:rPr/>
      </w:pPr>
      <w:r>
        <w:rPr/>
        <w:t> </w:t>
      </w:r>
    </w:p>
    <w:tbl>
      <w:tblPr>
        <w:tblW w:w="14155"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371"/>
        <w:gridCol w:w="1209"/>
        <w:gridCol w:w="155"/>
        <w:gridCol w:w="60"/>
        <w:gridCol w:w="60"/>
        <w:gridCol w:w="440"/>
        <w:gridCol w:w="155"/>
        <w:gridCol w:w="60"/>
        <w:gridCol w:w="335"/>
        <w:gridCol w:w="1920"/>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r>
            <w:r>
              <w:rPr/>
              <w:br/>
            </w:r>
            <w:r>
              <w:rPr>
                <w:b/>
              </w:rPr>
              <w:t>Three Months Ended</w:t>
            </w:r>
            <w:r>
              <w:rPr/>
              <w:br/>
            </w:r>
            <w:r>
              <w:rPr>
                <w:b/>
              </w:rPr>
              <w:t>May 2,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w:t>
              <w:br/>
              <w:t>Group, Inc. Reclassed</w:t>
            </w:r>
            <w:r>
              <w:rPr/>
              <w:br/>
            </w:r>
            <w:r>
              <w:rPr>
                <w:b/>
              </w:rPr>
              <w:t>Three Months</w:t>
              <w:br/>
              <w:t>Ended May 2, 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103,335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920" w:type="dxa"/>
            <w:tcBorders/>
            <w:shd w:fill="CCEEFF" w:val="clear"/>
            <w:vAlign w:val="bottom"/>
          </w:tcPr>
          <w:p>
            <w:pPr>
              <w:pStyle w:val="TableContents"/>
              <w:bidi w:val="0"/>
              <w:spacing w:before="0" w:after="283"/>
              <w:jc w:val="right"/>
              <w:rPr/>
            </w:pPr>
            <w:r>
              <w:rPr/>
              <w:t>103,335</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57,583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58,022</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46,482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(439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46,043</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1,241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3,968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3,968</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Interest expense - net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92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Income tax expense (benefit)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1920"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$0.8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$0.4 million of third-party commissions from cost of goods sold to selling, general, and administrative.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 to the table below for a summary of adjustments made to present DXL’s statement of operations for the year ended January 31, 2026 to conform with that of FBB’s (in thousands): </w:t>
      </w:r>
    </w:p>
    <w:p>
      <w:pPr>
        <w:pStyle w:val="TextBody"/>
        <w:bidi w:val="0"/>
        <w:spacing w:before="0" w:after="0"/>
        <w:jc w:val="left"/>
        <w:rPr/>
      </w:pPr>
      <w:r>
        <w:rPr/>
        <w:t> </w:t>
      </w:r>
    </w:p>
    <w:tbl>
      <w:tblPr>
        <w:tblW w:w="13870" w:type="dxa"/>
        <w:jc w:val="center"/>
        <w:tblInd w:w="0" w:type="dxa"/>
        <w:tblLayout w:type="fixed"/>
        <w:tblCellMar>
          <w:top w:w="0" w:type="dxa"/>
          <w:left w:w="0" w:type="dxa"/>
          <w:bottom w:w="0" w:type="dxa"/>
          <w:right w:w="0" w:type="dxa"/>
        </w:tblCellMar>
      </w:tblPr>
      <w:tblGrid>
        <w:gridCol w:w="2075"/>
        <w:gridCol w:w="60"/>
        <w:gridCol w:w="4190"/>
        <w:gridCol w:w="60"/>
        <w:gridCol w:w="420"/>
        <w:gridCol w:w="2405"/>
        <w:gridCol w:w="60"/>
        <w:gridCol w:w="60"/>
        <w:gridCol w:w="285"/>
        <w:gridCol w:w="1295"/>
        <w:gridCol w:w="155"/>
        <w:gridCol w:w="60"/>
        <w:gridCol w:w="60"/>
        <w:gridCol w:w="440"/>
        <w:gridCol w:w="155"/>
        <w:gridCol w:w="60"/>
        <w:gridCol w:w="293"/>
        <w:gridCol w:w="1677"/>
        <w:gridCol w:w="60"/>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Destination XL Group, Inc.</w:t>
              <w:br/>
              <w:t>Historical Consolidated Statement</w:t>
              <w:br/>
              <w:t>of Operations Line Items</w:t>
            </w:r>
          </w:p>
        </w:tc>
        <w:tc>
          <w:tcPr>
            <w:tcW w:w="60" w:type="dxa"/>
            <w:tcBorders/>
            <w:vAlign w:val="bottom"/>
          </w:tcPr>
          <w:p>
            <w:pPr>
              <w:pStyle w:val="TableContents"/>
              <w:bidi w:val="0"/>
              <w:spacing w:before="0" w:after="283"/>
              <w:jc w:val="left"/>
              <w:rPr/>
            </w:pPr>
            <w:r>
              <w:rPr/>
              <w:t> </w:t>
            </w:r>
          </w:p>
        </w:tc>
        <w:tc>
          <w:tcPr>
            <w:tcW w:w="41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4"/>
              </w:rPr>
            </w:pPr>
            <w:r>
              <w:rPr>
                <w:rFonts w:ascii="Times New Roman" w:hAnsi="Times New Roman"/>
                <w:b/>
                <w:sz w:val="14"/>
              </w:rPr>
              <w:t>FBB Holdings I, Inc. Historical</w:t>
              <w:br/>
              <w:t>Consolidated Statement of</w:t>
              <w:br/>
              <w:t>Operations Line Items</w:t>
            </w:r>
          </w:p>
        </w:tc>
        <w:tc>
          <w:tcPr>
            <w:tcW w:w="60" w:type="dxa"/>
            <w:tcBorders/>
            <w:vAlign w:val="bottom"/>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bottom"/>
          </w:tcPr>
          <w:p>
            <w:pPr>
              <w:pStyle w:val="TableContents"/>
              <w:bidi w:val="0"/>
              <w:spacing w:before="0" w:after="283"/>
              <w:jc w:val="center"/>
              <w:rPr/>
            </w:pPr>
            <w:r>
              <w:rPr>
                <w:b/>
              </w:rPr>
              <w:t>Destination XL Group, Inc.</w:t>
              <w:br/>
              <w:t>Year Ended</w:t>
            </w:r>
            <w:r>
              <w:rPr/>
              <w:br/>
            </w:r>
            <w:r>
              <w:rPr>
                <w:b/>
              </w:rPr>
              <w:t>January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Reclassification</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Destination XL</w:t>
              <w:br/>
              <w:t>Group, Inc.</w:t>
              <w:br/>
              <w:t>Reclassed Year</w:t>
              <w:br/>
              <w:t>Ended January 31,</w:t>
              <w:br/>
              <w:t>2026</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Net sales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w:t>
            </w:r>
          </w:p>
        </w:tc>
        <w:tc>
          <w:tcPr>
            <w:tcW w:w="2405"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w:t>
            </w:r>
          </w:p>
        </w:tc>
        <w:tc>
          <w:tcPr>
            <w:tcW w:w="1677" w:type="dxa"/>
            <w:tcBorders/>
            <w:shd w:fill="CCEEFF" w:val="clear"/>
            <w:vAlign w:val="bottom"/>
          </w:tcPr>
          <w:p>
            <w:pPr>
              <w:pStyle w:val="TableContents"/>
              <w:bidi w:val="0"/>
              <w:spacing w:before="0" w:after="283"/>
              <w:jc w:val="right"/>
              <w:rPr/>
            </w:pPr>
            <w:r>
              <w:rPr/>
              <w:t>435,017</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 including occupancy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Cost of merchandise sold</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246,030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 b</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247,645</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187,377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(1,615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(a, b</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185,762</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costs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Transaction-related expenses</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4,228</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(gain) of assets</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210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Depreciation and amortization</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15,331</w:t>
            </w:r>
          </w:p>
        </w:tc>
        <w:tc>
          <w:tcPr>
            <w:tcW w:w="60"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(expense), net</w:t>
            </w:r>
          </w:p>
        </w:tc>
        <w:tc>
          <w:tcPr>
            <w:tcW w:w="60" w:type="dxa"/>
            <w:tcBorders/>
            <w:shd w:fill="CCEEFF" w:val="clear"/>
            <w:vAlign w:val="bottom"/>
          </w:tcPr>
          <w:p>
            <w:pPr>
              <w:pStyle w:val="TableContents"/>
              <w:bidi w:val="0"/>
              <w:spacing w:before="0" w:after="283"/>
              <w:jc w:val="left"/>
              <w:rPr/>
            </w:pPr>
            <w:r>
              <w:rPr/>
              <w:t> </w:t>
            </w:r>
          </w:p>
        </w:tc>
        <w:tc>
          <w:tcPr>
            <w:tcW w:w="4190" w:type="dxa"/>
            <w:tcBorders/>
            <w:shd w:fill="CCEEFF" w:val="clear"/>
            <w:vAlign w:val="bottom"/>
          </w:tcPr>
          <w:p>
            <w:pPr>
              <w:pStyle w:val="TableContents"/>
              <w:bidi w:val="0"/>
              <w:spacing w:before="0" w:after="283"/>
              <w:jc w:val="left"/>
              <w:rPr/>
            </w:pPr>
            <w:r>
              <w:rPr/>
              <w:t>Interest expense - net</w:t>
            </w:r>
          </w:p>
        </w:tc>
        <w:tc>
          <w:tcPr>
            <w:tcW w:w="60"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bidi w:val="0"/>
              <w:spacing w:before="0" w:after="283"/>
              <w:jc w:val="left"/>
              <w:rPr/>
            </w:pPr>
            <w:r>
              <w:rPr/>
              <w:t> </w:t>
            </w:r>
          </w:p>
        </w:tc>
        <w:tc>
          <w:tcPr>
            <w:tcW w:w="2405"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bidi w:val="0"/>
              <w:spacing w:before="0" w:after="283"/>
              <w:jc w:val="left"/>
              <w:rPr/>
            </w:pPr>
            <w:r>
              <w:rPr/>
              <w:t> </w:t>
            </w:r>
          </w:p>
        </w:tc>
        <w:tc>
          <w:tcPr>
            <w:tcW w:w="1677"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4190" w:type="dxa"/>
            <w:tcBorders/>
            <w:vAlign w:val="bottom"/>
          </w:tcPr>
          <w:p>
            <w:pPr>
              <w:pStyle w:val="TableContents"/>
              <w:bidi w:val="0"/>
              <w:spacing w:before="0" w:after="283"/>
              <w:jc w:val="left"/>
              <w:rPr/>
            </w:pPr>
            <w:r>
              <w:rPr/>
              <w:t>Income tax expense (benefit)</w:t>
            </w:r>
          </w:p>
        </w:tc>
        <w:tc>
          <w:tcPr>
            <w:tcW w:w="60"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3" w:type="dxa"/>
            <w:tcBorders/>
            <w:vAlign w:val="bottom"/>
          </w:tcPr>
          <w:p>
            <w:pPr>
              <w:pStyle w:val="TableContents"/>
              <w:bidi w:val="0"/>
              <w:spacing w:before="0" w:after="283"/>
              <w:jc w:val="left"/>
              <w:rPr/>
            </w:pPr>
            <w:r>
              <w:rPr/>
              <w:t> </w:t>
            </w:r>
          </w:p>
        </w:tc>
        <w:tc>
          <w:tcPr>
            <w:tcW w:w="1677" w:type="dxa"/>
            <w:tcBorders/>
            <w:vAlign w:val="bottom"/>
          </w:tcPr>
          <w:p>
            <w:pPr>
              <w:pStyle w:val="TableContents"/>
              <w:bidi w:val="0"/>
              <w:spacing w:before="0" w:after="283"/>
              <w:jc w:val="right"/>
              <w:rPr/>
            </w:pPr>
            <w:r>
              <w:rPr/>
              <w:t>18,559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7"/>
        <w:gridCol w:w="9293"/>
      </w:tblGrid>
      <w:tr>
        <w:trPr/>
        <w:tc>
          <w:tcPr>
            <w:tcW w:w="405"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a)</w:t>
            </w:r>
          </w:p>
        </w:tc>
        <w:tc>
          <w:tcPr>
            <w:tcW w:w="92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$3.4 million of sourcing costs from selling, general, and administrative to cost of merchandise sold.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Reclassification of $1.7 million of third-party commissions from cost of goods sold to selling, general, and administrative.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3 – Preliminary Purchase Price Allocation </w:t>
      </w:r>
    </w:p>
    <w:p>
      <w:pPr>
        <w:pStyle w:val="TextBody"/>
        <w:bidi w:val="0"/>
        <w:spacing w:before="120" w:after="0"/>
        <w:jc w:val="left"/>
        <w:rPr>
          <w:rFonts w:ascii="Times New Roman" w:hAnsi="Times New Roman"/>
          <w:i/>
          <w:sz w:val="20"/>
        </w:rPr>
      </w:pPr>
      <w:r>
        <w:rPr>
          <w:rFonts w:ascii="Times New Roman" w:hAnsi="Times New Roman"/>
          <w:i/>
          <w:sz w:val="20"/>
        </w:rPr>
        <w:t xml:space="preserve">Estimated Aggregate 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accounting acquiree DXL’s stock price is used to measure the consideration transferred in this reverse acquisition, as DXL’s stock price is more reliably measurable than the value of the equity interest of the accounting acquirer FBB, which is a privately held entity. The following table presents the calculation of the estimated preliminary merger consideration: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99"/>
        <w:gridCol w:w="365"/>
        <w:gridCol w:w="146"/>
        <w:gridCol w:w="767"/>
        <w:gridCol w:w="62"/>
      </w:tblGrid>
      <w:tr>
        <w:trPr/>
        <w:tc>
          <w:tcPr>
            <w:tcW w:w="5599"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9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365"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shares issued and outstanding as of May 2, 2026, on a fully diluted basis using the treasury stock method</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56,146</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DXL stock price (1)</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67" w:type="dxa"/>
            <w:tcBorders/>
            <w:vAlign w:val="bottom"/>
          </w:tcPr>
          <w:p>
            <w:pPr>
              <w:pStyle w:val="TableContents"/>
              <w:bidi w:val="0"/>
              <w:spacing w:before="0" w:after="283"/>
              <w:jc w:val="right"/>
              <w:rPr/>
            </w:pPr>
            <w:r>
              <w:rPr/>
              <w:t>0.69</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purchase price consideration for DXL’s stock outstanding</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7" w:type="dxa"/>
            <w:tcBorders/>
            <w:shd w:fill="CCEEFF" w:val="clear"/>
            <w:vAlign w:val="bottom"/>
          </w:tcPr>
          <w:p>
            <w:pPr>
              <w:pStyle w:val="TableContents"/>
              <w:bidi w:val="0"/>
              <w:spacing w:before="0" w:after="283"/>
              <w:jc w:val="right"/>
              <w:rPr/>
            </w:pPr>
            <w:r>
              <w:rPr/>
              <w:t>38,741</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sz w:val="20"/>
              </w:rPr>
            </w:pPr>
            <w:r>
              <w:rPr>
                <w:rFonts w:ascii="Times New Roman" w:hAnsi="Times New Roman"/>
                <w:sz w:val="20"/>
              </w:rPr>
              <w:t>Cash consideration payable for FBB Unaccredited Investor Shares and Appraisal Shares</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5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of DXL stock-based compensation awards attributable to pre-combination service</w:t>
            </w:r>
          </w:p>
        </w:tc>
        <w:tc>
          <w:tcPr>
            <w:tcW w:w="36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1,056</w:t>
            </w:r>
          </w:p>
        </w:tc>
        <w:tc>
          <w:tcPr>
            <w:tcW w:w="62" w:type="dxa"/>
            <w:tcBorders/>
            <w:shd w:fill="CCEEFF" w:val="clear"/>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59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preliminary aggregate merger consideration</w:t>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b/>
              </w:rPr>
            </w:pPr>
            <w:r>
              <w:rPr>
                <w:b/>
              </w:rPr>
              <w:t>$</w:t>
            </w:r>
          </w:p>
        </w:tc>
        <w:tc>
          <w:tcPr>
            <w:tcW w:w="767" w:type="dxa"/>
            <w:tcBorders/>
            <w:vAlign w:val="bottom"/>
          </w:tcPr>
          <w:p>
            <w:pPr>
              <w:pStyle w:val="TableContents"/>
              <w:bidi w:val="0"/>
              <w:spacing w:before="0" w:after="283"/>
              <w:jc w:val="right"/>
              <w:rPr>
                <w:b/>
              </w:rPr>
            </w:pPr>
            <w:r>
              <w:rPr>
                <w:b/>
              </w:rPr>
              <w:t>39,797</w:t>
            </w:r>
          </w:p>
        </w:tc>
        <w:tc>
          <w:tcPr>
            <w:tcW w:w="62" w:type="dxa"/>
            <w:tcBorders/>
            <w:vAlign w:val="bottom"/>
          </w:tcPr>
          <w:p>
            <w:pPr>
              <w:pStyle w:val="TableContents"/>
              <w:bidi w:val="0"/>
              <w:spacing w:before="0" w:after="283"/>
              <w:jc w:val="left"/>
              <w:rPr/>
            </w:pPr>
            <w:r>
              <w:rPr/>
              <w:t> </w:t>
            </w:r>
          </w:p>
        </w:tc>
      </w:tr>
      <w:tr>
        <w:trPr/>
        <w:tc>
          <w:tcPr>
            <w:tcW w:w="5599"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DXL closing stock price on June 23, 2026 is used as proxy for the market price of DXL shares on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preliminary estimated aggregate merger consideration could significantly differ from the amounts presented, principally due to movements in the DXL share price up to the closing date. A sensitivity analysis related to the fluctuation in the DXL share price was performed to assess the impact a hypothetical change of 10% on the closing price of DXL common stock on June 23, 2026 would have on the estimated preliminary aggregate merger consideration as of the closing date: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5"/>
        <w:gridCol w:w="416"/>
        <w:gridCol w:w="285"/>
        <w:gridCol w:w="894"/>
        <w:gridCol w:w="60"/>
        <w:gridCol w:w="416"/>
        <w:gridCol w:w="282"/>
        <w:gridCol w:w="1403"/>
        <w:gridCol w:w="64"/>
      </w:tblGrid>
      <w:tr>
        <w:trPr/>
        <w:tc>
          <w:tcPr>
            <w:tcW w:w="3935"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 except stock price)</w:t>
            </w:r>
          </w:p>
        </w:tc>
        <w:tc>
          <w:tcPr>
            <w:tcW w:w="416"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 Price</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Estimated</w:t>
              <w:br/>
              <w:t>Consideration</w:t>
            </w:r>
          </w:p>
        </w:tc>
        <w:tc>
          <w:tcPr>
            <w:tcW w:w="64"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 increase</w:t>
            </w:r>
          </w:p>
        </w:tc>
        <w:tc>
          <w:tcPr>
            <w:tcW w:w="416"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0.76</w:t>
            </w:r>
          </w:p>
        </w:tc>
        <w:tc>
          <w:tcPr>
            <w:tcW w:w="60" w:type="dxa"/>
            <w:tcBorders/>
            <w:shd w:fill="CCEEFF" w:val="clear"/>
            <w:vAlign w:val="bottom"/>
          </w:tcPr>
          <w:p>
            <w:pPr>
              <w:pStyle w:val="TableContents"/>
              <w:bidi w:val="0"/>
              <w:spacing w:before="0" w:after="283"/>
              <w:jc w:val="left"/>
              <w:rPr/>
            </w:pPr>
            <w:r>
              <w:rPr/>
              <w:t> </w:t>
            </w:r>
          </w:p>
        </w:tc>
        <w:tc>
          <w:tcPr>
            <w:tcW w:w="41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43,671</w:t>
            </w:r>
          </w:p>
        </w:tc>
        <w:tc>
          <w:tcPr>
            <w:tcW w:w="64"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10% decrease</w:t>
            </w:r>
          </w:p>
        </w:tc>
        <w:tc>
          <w:tcPr>
            <w:tcW w:w="416"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0.62</w:t>
            </w:r>
          </w:p>
        </w:tc>
        <w:tc>
          <w:tcPr>
            <w:tcW w:w="60"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35,923</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Preliminary Estimated Aggregate Merger Consideration Allocation </w:t>
      </w:r>
    </w:p>
    <w:p>
      <w:pPr>
        <w:pStyle w:val="TextBody"/>
        <w:bidi w:val="0"/>
        <w:spacing w:before="120" w:after="0"/>
        <w:jc w:val="left"/>
        <w:rPr>
          <w:rFonts w:ascii="Times New Roman" w:hAnsi="Times New Roman"/>
          <w:sz w:val="20"/>
        </w:rPr>
      </w:pPr>
      <w:r>
        <w:rPr>
          <w:rFonts w:ascii="Times New Roman" w:hAnsi="Times New Roman"/>
          <w:sz w:val="20"/>
        </w:rPr>
        <w:t xml:space="preserve">The assumed accounting for the merger, including the estimated preliminary aggregate merger consideration, is based on provisional amounts, and the associated purchase accounting is not final. The preliminary allocation of the purchase price to the acquired assets and assumed liabilities was based upon the preliminary estimate of fair values. For the preliminary estimate of fair values of assets acquired and liabilities assumed of DXL, management used a combination of publicly available benchmarking information as well as market-based and cost-based valuation approaches and inputs representative of market participant assumptions based on information available at the timing of filing of this proxy statement. Management expects to use updated inputs and information as of the merger close date in conjunction with widely accepted income-based, market-based, and cost-based valuation approaches upon finalization of purchase accounting for the merger. Actual results may differ materially from the assumptions within the accompanying unaudited pro forma condensed combined financial information. The unaudited pro forma adjustments are based upon available information and certain assumptions that management believes are reasonable under the circumstances. The purchase price adjustments reflected in the unaudited pro forma condensed combined financial information are preliminary and subject to change, as additional information becomes available and as additional analyses are performed, and the actual amounts eventually recorded may differ materially from the information presented, which may result in an increase or decrease the fair value of identifiable assets as well as result in the recognition of goodwill or a gain on bargain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preliminary aggregate merger consideration allocation as of May 2,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9"/>
        <w:gridCol w:w="518"/>
        <w:gridCol w:w="141"/>
        <w:gridCol w:w="879"/>
        <w:gridCol w:w="62"/>
      </w:tblGrid>
      <w:tr>
        <w:trPr/>
        <w:tc>
          <w:tcPr>
            <w:tcW w:w="5339"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339"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(in thousands)</w:t>
            </w:r>
          </w:p>
        </w:tc>
        <w:tc>
          <w:tcPr>
            <w:tcW w:w="51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Assets</w:t>
            </w:r>
            <w:r>
              <w:rPr>
                <w:rFonts w:ascii="Times New Roman" w:hAnsi="Times New Roman"/>
                <w:sz w:val="20"/>
              </w:rPr>
              <w: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11,098</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5,078</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1,774</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81,394</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9,427</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 net</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14,407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179,683</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486</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30,064</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20,237</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36,273</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166</w:t>
            </w:r>
          </w:p>
        </w:tc>
        <w:tc>
          <w:tcPr>
            <w:tcW w:w="62" w:type="dxa"/>
            <w:tcBorders/>
            <w:vAlign w:val="bottom"/>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176,810</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b/>
              </w:rPr>
            </w:pPr>
            <w:r>
              <w:rPr>
                <w:b/>
              </w:rPr>
              <w:t>39,797</w:t>
            </w:r>
          </w:p>
        </w:tc>
        <w:tc>
          <w:tcPr>
            <w:tcW w:w="62" w:type="dxa"/>
            <w:tcBorders/>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3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Estimated aggregate merger consideration</w:t>
            </w:r>
          </w:p>
        </w:tc>
        <w:tc>
          <w:tcPr>
            <w:tcW w:w="51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b/>
              </w:rPr>
            </w:pPr>
            <w:r>
              <w:rPr>
                <w:b/>
              </w:rPr>
              <w:t>$</w:t>
            </w:r>
          </w:p>
        </w:tc>
        <w:tc>
          <w:tcPr>
            <w:tcW w:w="879" w:type="dxa"/>
            <w:tcBorders/>
            <w:shd w:fill="CCEEFF" w:val="clear"/>
            <w:vAlign w:val="bottom"/>
          </w:tcPr>
          <w:p>
            <w:pPr>
              <w:pStyle w:val="TableContents"/>
              <w:bidi w:val="0"/>
              <w:spacing w:before="0" w:after="283"/>
              <w:jc w:val="right"/>
              <w:rPr>
                <w:b/>
              </w:rPr>
            </w:pPr>
            <w:r>
              <w:rPr>
                <w:b/>
              </w:rPr>
              <w:t>39,797</w:t>
            </w:r>
          </w:p>
        </w:tc>
        <w:tc>
          <w:tcPr>
            <w:tcW w:w="62" w:type="dxa"/>
            <w:tcBorders/>
            <w:shd w:fill="CCEEFF" w:val="clear"/>
            <w:vAlign w:val="bottom"/>
          </w:tcPr>
          <w:p>
            <w:pPr>
              <w:pStyle w:val="TableContents"/>
              <w:bidi w:val="0"/>
              <w:spacing w:before="0" w:after="283"/>
              <w:jc w:val="left"/>
              <w:rPr/>
            </w:pPr>
            <w:r>
              <w:rPr/>
              <w:t> </w:t>
            </w:r>
          </w:p>
        </w:tc>
      </w:tr>
      <w:tr>
        <w:trPr/>
        <w:tc>
          <w:tcPr>
            <w:tcW w:w="5339"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4 – Adjustments to the Unaudited Pro Forma Condensed Combined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Explanations of the Transaction Accounting Adjustments to the unaudited condensed combined pro financial statements are as follows: </w:t>
      </w:r>
    </w:p>
    <w:p>
      <w:pPr>
        <w:pStyle w:val="TextBody"/>
        <w:bidi w:val="0"/>
        <w:spacing w:before="120" w:after="0"/>
        <w:jc w:val="left"/>
        <w:rPr>
          <w:rFonts w:ascii="Times New Roman" w:hAnsi="Times New Roman"/>
          <w:b/>
          <w:i/>
          <w:sz w:val="20"/>
        </w:rPr>
      </w:pPr>
      <w:r>
        <w:rPr>
          <w:rFonts w:ascii="Times New Roman" w:hAnsi="Times New Roman"/>
          <w:b/>
          <w:i/>
          <w:sz w:val="20"/>
        </w:rPr>
        <w:t xml:space="preserve">4.a Adjustments to the Unaudited Pro Forma Condensed Combined Balance Sheet as of May 2, 2026 </w:t>
      </w:r>
    </w:p>
    <w:p>
      <w:pPr>
        <w:pStyle w:val="TextBody"/>
        <w:bidi w:val="0"/>
        <w:spacing w:before="120" w:after="0"/>
        <w:jc w:val="left"/>
        <w:rPr>
          <w:rFonts w:ascii="Times New Roman" w:hAnsi="Times New Roman"/>
          <w:b/>
          <w:sz w:val="20"/>
        </w:rPr>
      </w:pPr>
      <w:r>
        <w:rPr>
          <w:rFonts w:ascii="Times New Roman" w:hAnsi="Times New Roman"/>
          <w:b/>
          <w:sz w:val="20"/>
        </w:rPr>
        <w:t xml:space="preserve">Transaction Accounting Adjustments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71"/>
        <w:gridCol w:w="407"/>
        <w:gridCol w:w="157"/>
        <w:gridCol w:w="743"/>
        <w:gridCol w:w="161"/>
      </w:tblGrid>
      <w:tr>
        <w:trPr/>
        <w:tc>
          <w:tcPr>
            <w:tcW w:w="5471"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71" w:type="dxa"/>
            <w:tcBorders/>
            <w:vAlign w:val="bottom"/>
          </w:tcPr>
          <w:p>
            <w:pPr>
              <w:pStyle w:val="TableContents"/>
              <w:bidi w:val="0"/>
              <w:spacing w:before="0" w:after="283"/>
              <w:jc w:val="center"/>
              <w:rPr>
                <w:i/>
              </w:rPr>
            </w:pPr>
            <w:r>
              <w:rPr>
                <w:i/>
              </w:rPr>
              <w:t>Description (in thousands)</w:t>
            </w:r>
          </w:p>
        </w:tc>
        <w:tc>
          <w:tcPr>
            <w:tcW w:w="407" w:type="dxa"/>
            <w:tcBorders/>
            <w:vAlign w:val="bottom"/>
          </w:tcPr>
          <w:p>
            <w:pPr>
              <w:pStyle w:val="TableContents"/>
              <w:bidi w:val="0"/>
              <w:spacing w:before="0" w:after="283"/>
              <w:jc w:val="left"/>
              <w:rPr/>
            </w:pPr>
            <w:r>
              <w:rPr/>
              <w:t>  </w:t>
            </w:r>
          </w:p>
        </w:tc>
        <w:tc>
          <w:tcPr>
            <w:tcW w:w="9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1" w:type="dxa"/>
            <w:tcBorders/>
            <w:vAlign w:val="bottom"/>
          </w:tcPr>
          <w:p>
            <w:pPr>
              <w:pStyle w:val="TableContents"/>
              <w:bidi w:val="0"/>
              <w:spacing w:before="0" w:after="283"/>
              <w:jc w:val="left"/>
              <w:rPr/>
            </w:pPr>
            <w:r>
              <w:rPr/>
              <w:t> </w:t>
            </w:r>
          </w:p>
        </w:tc>
      </w:tr>
      <w:tr>
        <w:trPr/>
        <w:tc>
          <w:tcPr>
            <w:tcW w:w="5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accrued dividends to FBB’s equity awards with accelerated vesting in connection with the Merger</w:t>
            </w:r>
          </w:p>
        </w:tc>
        <w:tc>
          <w:tcPr>
            <w:tcW w:w="4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(976</w:t>
            </w:r>
          </w:p>
        </w:tc>
        <w:tc>
          <w:tcPr>
            <w:tcW w:w="161" w:type="dxa"/>
            <w:tcBorders/>
            <w:shd w:fill="CCEEFF" w:val="clear"/>
            <w:vAlign w:val="bottom"/>
          </w:tcPr>
          <w:p>
            <w:pPr>
              <w:pStyle w:val="TableContents"/>
              <w:bidi w:val="0"/>
              <w:spacing w:before="0" w:after="283"/>
              <w:jc w:val="left"/>
              <w:rPr/>
            </w:pPr>
            <w:r>
              <w:rPr/>
              <w:t>) </w:t>
            </w:r>
          </w:p>
        </w:tc>
      </w:tr>
      <w:tr>
        <w:trPr/>
        <w:tc>
          <w:tcPr>
            <w:tcW w:w="5471"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(169</w:t>
            </w:r>
          </w:p>
        </w:tc>
        <w:tc>
          <w:tcPr>
            <w:tcW w:w="161" w:type="dxa"/>
            <w:tcBorders/>
            <w:vAlign w:val="bottom"/>
          </w:tcPr>
          <w:p>
            <w:pPr>
              <w:pStyle w:val="TableContents"/>
              <w:bidi w:val="0"/>
              <w:spacing w:before="0" w:after="283"/>
              <w:jc w:val="left"/>
              <w:rPr/>
            </w:pPr>
            <w:r>
              <w:rPr/>
              <w:t>) </w:t>
            </w:r>
          </w:p>
        </w:tc>
      </w:tr>
      <w:tr>
        <w:trPr/>
        <w:tc>
          <w:tcPr>
            <w:tcW w:w="5471"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4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(1,145</w:t>
            </w:r>
          </w:p>
        </w:tc>
        <w:tc>
          <w:tcPr>
            <w:tcW w:w="161" w:type="dxa"/>
            <w:tcBorders/>
            <w:shd w:fill="CCEEFF" w:val="clear"/>
            <w:vAlign w:val="bottom"/>
          </w:tcPr>
          <w:p>
            <w:pPr>
              <w:pStyle w:val="TableContents"/>
              <w:bidi w:val="0"/>
              <w:spacing w:before="0" w:after="283"/>
              <w:jc w:val="left"/>
              <w:rPr/>
            </w:pPr>
            <w:r>
              <w:rPr/>
              <w:t>) </w:t>
            </w:r>
          </w:p>
        </w:tc>
      </w:tr>
      <w:tr>
        <w:trPr/>
        <w:tc>
          <w:tcPr>
            <w:tcW w:w="5471" w:type="dxa"/>
            <w:tcBorders/>
            <w:vAlign w:val="bottom"/>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$0.1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for property, plant, and equipment based on the acquisition method of accounting, adjusted to their preliminary estimated fair value.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Preliminary fair value of property, plant, and equipment acquired</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14,407</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Elimination of DXL’s historical net carrying value of property, plant, and equipment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(58,301</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Property, plant, and equipment - net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(43,894</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to right-of-use assets of $16.0 million, to measure the operating lease right-of-use assets at the same amount as the associated lease liability in accordance with the acquisition method of accounting, which is offset by an adjustment of $33.4 million related to the net unfavorable terms of the leases when compared with market terms. The calculated value is preliminary and subject to change and could vary materially from the final purchase price allocation.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e)</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preliminary purchase accounting adjustment of $1.2 million to reduce the fair value of intangible assets to zero.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write-off of $0.3 million of DXL’s capitalized debt issuance costs pursuant to ASC Topic 805.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 has considered the impact of the business combination fair value and other pro forma adjustments that impact deferred taxes, and due to the significant valuation allowances at DXL, no adjustments to the deferred taxes are needed. As such, post-merger, there will be a full valuation allowance against DXL’s deferred tax assets resulting in no overall impact on deferred taxes. The effective tax rate of the combined company could be different (either higher or lower) depending on post-merger activities and valuation allowance assessments, including cash needs, the geographical mix of income and changes in tax law. Because the tax rates used for the unaudited pro forma condensed combined financial information are estimated, the blended rate will likely vary from the actual effective rate in reporting periods subsequent to completion of the merger.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h)</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FBB’s estimated transaction costs to be incurred in order to consummate the merger amounts to $2.9 million.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i)</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payment of accrued dividends for FBB’s equity awards with accelerated vesting in connection with the merger of $1.0 million.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j)</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stockholders’ equity, including elimination of the acquiree’s historical equity and transaction costs.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70"/>
        <w:gridCol w:w="175"/>
        <w:gridCol w:w="157"/>
        <w:gridCol w:w="866"/>
        <w:gridCol w:w="155"/>
        <w:gridCol w:w="120"/>
        <w:gridCol w:w="229"/>
        <w:gridCol w:w="739"/>
        <w:gridCol w:w="155"/>
        <w:gridCol w:w="120"/>
        <w:gridCol w:w="143"/>
        <w:gridCol w:w="838"/>
        <w:gridCol w:w="60"/>
        <w:gridCol w:w="174"/>
        <w:gridCol w:w="218"/>
        <w:gridCol w:w="1364"/>
        <w:gridCol w:w="155"/>
        <w:gridCol w:w="120"/>
        <w:gridCol w:w="234"/>
        <w:gridCol w:w="1147"/>
        <w:gridCol w:w="166"/>
      </w:tblGrid>
      <w:tr>
        <w:trPr/>
        <w:tc>
          <w:tcPr>
            <w:tcW w:w="287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i/>
                <w:sz w:val="16"/>
              </w:rPr>
              <w:t>Description</w:t>
            </w:r>
            <w:r>
              <w:rPr>
                <w:rFonts w:ascii="Times New Roman" w:hAnsi="Times New Roman"/>
                <w:sz w:val="16"/>
              </w:rPr>
              <w:t xml:space="preserve"> </w:t>
            </w:r>
            <w:r>
              <w:rPr>
                <w:rFonts w:ascii="Times New Roman" w:hAnsi="Times New Roman"/>
                <w:i/>
                <w:sz w:val="16"/>
              </w:rPr>
              <w:t>(in thousands)</w:t>
            </w:r>
          </w:p>
        </w:tc>
        <w:tc>
          <w:tcPr>
            <w:tcW w:w="175"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Preferred</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Stock</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Treasury</w:t>
              <w:br/>
              <w:t xml:space="preserve">Stock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5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 Capital</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DXL’s historical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(810</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(331,439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85,694</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Recapitalization of FBB equity</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21,715</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DXL</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558</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39,239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transaction costs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(2,886</w:t>
            </w:r>
          </w:p>
        </w:tc>
        <w:tc>
          <w:tcPr>
            <w:tcW w:w="166" w:type="dxa"/>
            <w:tcBorders/>
            <w:vAlign w:val="bottom"/>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FBB share-based compensation expense related to accelerated vesting in connection with the Merger</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7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bidi w:val="0"/>
              <w:spacing w:before="0" w:after="283"/>
              <w:jc w:val="right"/>
              <w:rPr/>
            </w:pPr>
            <w:r>
              <w:rPr/>
              <w:t>2,246</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(2,246</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tcPr>
          <w:p>
            <w:pPr>
              <w:pStyle w:val="TableContents"/>
              <w:bidi w:val="0"/>
              <w:spacing w:before="0" w:after="0"/>
              <w:jc w:val="left"/>
              <w:rPr>
                <w:rFonts w:ascii="Times New Roman" w:hAnsi="Times New Roman"/>
                <w:sz w:val="20"/>
              </w:rPr>
            </w:pPr>
            <w:r>
              <w:rPr>
                <w:rFonts w:ascii="Times New Roman" w:hAnsi="Times New Roman"/>
                <w:sz w:val="20"/>
              </w:rPr>
              <w:t>Estimated anti-dilution protection compensation payment triggered by the Transactions</w:t>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7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(169</w:t>
            </w:r>
          </w:p>
        </w:tc>
        <w:tc>
          <w:tcPr>
            <w:tcW w:w="166" w:type="dxa"/>
            <w:tcBorders/>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adjustment to stockholders’ equity</w:t>
            </w:r>
          </w:p>
        </w:tc>
        <w:tc>
          <w:tcPr>
            <w:tcW w:w="17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(21,712</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739" w:type="dxa"/>
            <w:tcBorders/>
            <w:shd w:fill="CCEEFF" w:val="clear"/>
            <w:vAlign w:val="bottom"/>
          </w:tcPr>
          <w:p>
            <w:pPr>
              <w:pStyle w:val="TableContents"/>
              <w:bidi w:val="0"/>
              <w:spacing w:before="0" w:after="283"/>
              <w:jc w:val="right"/>
              <w:rPr/>
            </w:pPr>
            <w:r>
              <w:rPr/>
              <w:t>(255</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38" w:type="dxa"/>
            <w:tcBorders/>
            <w:shd w:fill="CCEEFF" w:val="clear"/>
            <w:vAlign w:val="bottom"/>
          </w:tcPr>
          <w:p>
            <w:pPr>
              <w:pStyle w:val="TableContents"/>
              <w:bidi w:val="0"/>
              <w:spacing w:before="0" w:after="283"/>
              <w:jc w:val="right"/>
              <w:rPr/>
            </w:pPr>
            <w:r>
              <w:rPr/>
              <w:t>143,985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4" w:type="dxa"/>
            <w:tcBorders/>
            <w:shd w:fill="CCEEFF" w:val="clear"/>
            <w:vAlign w:val="bottom"/>
          </w:tcPr>
          <w:p>
            <w:pPr>
              <w:pStyle w:val="TableContents"/>
              <w:bidi w:val="0"/>
              <w:spacing w:before="0" w:after="283"/>
              <w:jc w:val="right"/>
              <w:rPr/>
            </w:pPr>
            <w:r>
              <w:rPr/>
              <w:t>(268,239</w:t>
            </w:r>
          </w:p>
        </w:tc>
        <w:tc>
          <w:tcPr>
            <w:tcW w:w="155"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147" w:type="dxa"/>
            <w:tcBorders/>
            <w:shd w:fill="CCEEFF" w:val="clear"/>
            <w:vAlign w:val="bottom"/>
          </w:tcPr>
          <w:p>
            <w:pPr>
              <w:pStyle w:val="TableContents"/>
              <w:bidi w:val="0"/>
              <w:spacing w:before="0" w:after="283"/>
              <w:jc w:val="right"/>
              <w:rPr/>
            </w:pPr>
            <w:r>
              <w:rPr/>
              <w:t>80,393</w:t>
            </w:r>
          </w:p>
        </w:tc>
        <w:tc>
          <w:tcPr>
            <w:tcW w:w="166" w:type="dxa"/>
            <w:tcBorders/>
            <w:shd w:fill="CCEEFF" w:val="clear"/>
            <w:vAlign w:val="bottom"/>
          </w:tcPr>
          <w:p>
            <w:pPr>
              <w:pStyle w:val="TableContents"/>
              <w:bidi w:val="0"/>
              <w:spacing w:before="0" w:after="283"/>
              <w:jc w:val="left"/>
              <w:rPr/>
            </w:pPr>
            <w:r>
              <w:rPr/>
              <w:t> </w:t>
            </w:r>
          </w:p>
        </w:tc>
      </w:tr>
      <w:tr>
        <w:trPr/>
        <w:tc>
          <w:tcPr>
            <w:tcW w:w="287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7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1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4.b Adjustments to the Unaudited Pro Forma Condensed Combined Statement of Operations for the three months ended May 2,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k)</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$0.8 million and $3.1 million for the three months ended May 2, 2026 and the year ended January 31, 2026, respectively, to cost of merchandise sold for lease expense related to the remeasurement of the right-of-use assets, including the fair value of the off-market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$2.4 million for the year ended January 31, 2026 to selling, general and administrative expenses for FBB’s share-based compensation expense, and anti-dilutive protection that was triggered as a result of the Transactions.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$2.9 million and $11.5 million for the three months ended May 2, 2026 and the year ended January 31, 2026, respectively, to eliminate historical depreciation and amortization expense related to the write-down of property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n)</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$2.9 million for the year ended January 31, 2026 related to FBB’s transaction-related expenses. Additionally, transaction-related expenses incurred by DXL and FBB during the applicable historical periods are reflected in the respective historical financial statements included herein. These costs are non-recurring in nature and are not expected to have a continuing impact on the combined company’s results of operations beyond twelve months following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reversal of $19.1 thousand and $0.1 million for the three months ended May 2, 2026 and the year ended January 31, 2026, respectively, of interest expense related to the write-off of DXL’s capitalized debt issuance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p)</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 5 – Other Transaction Accounting Adjustments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5.a Adjustments to the Unaudited Pro Forma Condensed Combined Balance Sheet as of May 2,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cash and cash equivalents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4"/>
        <w:gridCol w:w="473"/>
        <w:gridCol w:w="145"/>
        <w:gridCol w:w="768"/>
        <w:gridCol w:w="159"/>
      </w:tblGrid>
      <w:tr>
        <w:trPr/>
        <w:tc>
          <w:tcPr>
            <w:tcW w:w="5394"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394"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473" w:type="dxa"/>
            <w:tcBorders/>
            <w:vAlign w:val="bottom"/>
          </w:tcPr>
          <w:p>
            <w:pPr>
              <w:pStyle w:val="TableContents"/>
              <w:bidi w:val="0"/>
              <w:spacing w:before="0" w:after="283"/>
              <w:jc w:val="left"/>
              <w:rPr/>
            </w:pPr>
            <w:r>
              <w:rPr/>
              <w:t>  </w:t>
            </w:r>
          </w:p>
        </w:tc>
        <w:tc>
          <w:tcPr>
            <w:tcW w:w="9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additional term loan payment</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44,075</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Cash from private placement used to paydown term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9,720</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(30,000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(23,795</w:t>
            </w:r>
          </w:p>
        </w:tc>
        <w:tc>
          <w:tcPr>
            <w:tcW w:w="159" w:type="dxa"/>
            <w:tcBorders/>
            <w:vAlign w:val="bottom"/>
          </w:tcPr>
          <w:p>
            <w:pPr>
              <w:pStyle w:val="TableContents"/>
              <w:bidi w:val="0"/>
              <w:spacing w:before="0" w:after="283"/>
              <w:jc w:val="left"/>
              <w:rPr/>
            </w:pPr>
            <w:r>
              <w:rPr/>
              <w:t>) </w:t>
            </w:r>
          </w:p>
        </w:tc>
      </w:tr>
      <w:tr>
        <w:trPr/>
        <w:tc>
          <w:tcPr>
            <w:tcW w:w="5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New ABL deferred financing costs</w:t>
            </w:r>
          </w:p>
        </w:tc>
        <w:tc>
          <w:tcPr>
            <w:tcW w:w="47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(1,000</w:t>
            </w:r>
          </w:p>
        </w:tc>
        <w:tc>
          <w:tcPr>
            <w:tcW w:w="159" w:type="dxa"/>
            <w:tcBorders/>
            <w:shd w:fill="CCEEFF" w:val="clear"/>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394"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Cash and cash equivalents</w:t>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(1,000</w:t>
            </w:r>
          </w:p>
        </w:tc>
        <w:tc>
          <w:tcPr>
            <w:tcW w:w="159" w:type="dxa"/>
            <w:tcBorders/>
            <w:vAlign w:val="bottom"/>
          </w:tcPr>
          <w:p>
            <w:pPr>
              <w:pStyle w:val="TableContents"/>
              <w:bidi w:val="0"/>
              <w:spacing w:before="0" w:after="283"/>
              <w:jc w:val="left"/>
              <w:rPr/>
            </w:pPr>
            <w:r>
              <w:rPr/>
              <w:t>) </w:t>
            </w:r>
          </w:p>
        </w:tc>
      </w:tr>
      <w:tr>
        <w:trPr/>
        <w:tc>
          <w:tcPr>
            <w:tcW w:w="5394"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to other non-current assets for $1.0 million of New ABL deferred financing costs net of the $0.3 million related to the write-off of deferred financing costs associated with the Existing FBB ABL loan.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to long-term debt for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93"/>
        <w:gridCol w:w="376"/>
        <w:gridCol w:w="145"/>
        <w:gridCol w:w="865"/>
        <w:gridCol w:w="160"/>
      </w:tblGrid>
      <w:tr>
        <w:trPr/>
        <w:tc>
          <w:tcPr>
            <w:tcW w:w="5393"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3"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376"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debt with the private placement</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5" w:type="dxa"/>
            <w:tcBorders/>
            <w:shd w:fill="CCEEFF" w:val="clear"/>
            <w:vAlign w:val="bottom"/>
          </w:tcPr>
          <w:p>
            <w:pPr>
              <w:pStyle w:val="TableContents"/>
              <w:bidi w:val="0"/>
              <w:spacing w:before="0" w:after="283"/>
              <w:jc w:val="right"/>
              <w:rPr/>
            </w:pPr>
            <w:r>
              <w:rPr/>
              <w:t>(81,664</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Adjustment to original issuance discount/premium related to the private placement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21,854</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Draw on New ABL to fund loan payments</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44,075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Paydown on term loan</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(30,000</w:t>
            </w:r>
          </w:p>
        </w:tc>
        <w:tc>
          <w:tcPr>
            <w:tcW w:w="160" w:type="dxa"/>
            <w:tcBorders/>
            <w:vAlign w:val="bottom"/>
          </w:tcPr>
          <w:p>
            <w:pPr>
              <w:pStyle w:val="TableContents"/>
              <w:bidi w:val="0"/>
              <w:spacing w:before="0" w:after="283"/>
              <w:jc w:val="left"/>
              <w:rPr/>
            </w:pPr>
            <w:r>
              <w:rPr/>
              <w:t>) </w:t>
            </w:r>
          </w:p>
        </w:tc>
      </w:tr>
      <w:tr>
        <w:trPr/>
        <w:tc>
          <w:tcPr>
            <w:tcW w:w="5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Settlement of Existing FBB ABL loan</w:t>
            </w:r>
          </w:p>
        </w:tc>
        <w:tc>
          <w:tcPr>
            <w:tcW w:w="3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283"/>
              <w:jc w:val="right"/>
              <w:rPr/>
            </w:pPr>
            <w:r>
              <w:rPr/>
              <w:t>(23,795</w:t>
            </w:r>
          </w:p>
        </w:tc>
        <w:tc>
          <w:tcPr>
            <w:tcW w:w="160" w:type="dxa"/>
            <w:tcBorders/>
            <w:shd w:fill="CCEEFF" w:val="clear"/>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6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393"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adjustment to Long-term debt</w:t>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5" w:type="dxa"/>
            <w:tcBorders/>
            <w:vAlign w:val="bottom"/>
          </w:tcPr>
          <w:p>
            <w:pPr>
              <w:pStyle w:val="TableContents"/>
              <w:bidi w:val="0"/>
              <w:spacing w:before="0" w:after="283"/>
              <w:jc w:val="right"/>
              <w:rPr/>
            </w:pPr>
            <w:r>
              <w:rPr/>
              <w:t>(69,530</w:t>
            </w:r>
          </w:p>
        </w:tc>
        <w:tc>
          <w:tcPr>
            <w:tcW w:w="160" w:type="dxa"/>
            <w:tcBorders/>
            <w:vAlign w:val="bottom"/>
          </w:tcPr>
          <w:p>
            <w:pPr>
              <w:pStyle w:val="TableContents"/>
              <w:bidi w:val="0"/>
              <w:spacing w:before="0" w:after="283"/>
              <w:jc w:val="left"/>
              <w:rPr/>
            </w:pPr>
            <w:r>
              <w:rPr/>
              <w:t>) </w:t>
            </w:r>
          </w:p>
        </w:tc>
      </w:tr>
      <w:tr>
        <w:trPr/>
        <w:tc>
          <w:tcPr>
            <w:tcW w:w="5393"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6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adjustments of $0.7 million and $68.8 million to common stock and additional paid-in capital related to the private placement and payoff of the term loan, respectively, as well as the adjustment of $0.3 million to accumulated deficit related to the write-off of deferred financing costs associated with the Existing FBB ABL loan.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5.b Adjustments to the Unaudited Pro Forma Condensed Combined Statement of Operations for the three months ended May 2, 2026 and year ended January 31,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new interest expense on transaction financing adjustments included in the unaudited pro forma condensed combined statements of operations reflects the following: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56"/>
        <w:gridCol w:w="295"/>
        <w:gridCol w:w="230"/>
        <w:gridCol w:w="1308"/>
        <w:gridCol w:w="162"/>
        <w:gridCol w:w="295"/>
        <w:gridCol w:w="187"/>
        <w:gridCol w:w="1138"/>
        <w:gridCol w:w="168"/>
      </w:tblGrid>
      <w:tr>
        <w:trPr/>
        <w:tc>
          <w:tcPr>
            <w:tcW w:w="3156"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56" w:type="dxa"/>
            <w:tcBorders/>
            <w:vAlign w:val="bottom"/>
          </w:tcPr>
          <w:p>
            <w:pPr>
              <w:pStyle w:val="TableContents"/>
              <w:pBdr>
                <w:bottom w:val="single" w:sz="8" w:space="1" w:color="000000"/>
              </w:pBdr>
              <w:bidi w:val="0"/>
              <w:spacing w:before="0" w:after="0"/>
              <w:jc w:val="left"/>
              <w:rPr>
                <w:rFonts w:ascii="Times New Roman" w:hAnsi="Times New Roman"/>
                <w:i/>
                <w:sz w:val="16"/>
              </w:rPr>
            </w:pPr>
            <w:r>
              <w:rPr>
                <w:rFonts w:ascii="Times New Roman" w:hAnsi="Times New Roman"/>
                <w:i/>
                <w:sz w:val="16"/>
              </w:rPr>
              <w:t>Description (in thousands)</w:t>
            </w:r>
          </w:p>
        </w:tc>
        <w:tc>
          <w:tcPr>
            <w:tcW w:w="295" w:type="dxa"/>
            <w:tcBorders/>
            <w:vAlign w:val="bottom"/>
          </w:tcPr>
          <w:p>
            <w:pPr>
              <w:pStyle w:val="TableContents"/>
              <w:bidi w:val="0"/>
              <w:spacing w:before="0" w:after="283"/>
              <w:jc w:val="left"/>
              <w:rPr/>
            </w:pPr>
            <w:r>
              <w:rPr/>
              <w:t>  </w:t>
            </w:r>
          </w:p>
        </w:tc>
        <w:tc>
          <w:tcPr>
            <w:tcW w:w="1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May 2,</w:t>
              <w:br/>
              <w:t>2026</w:t>
            </w:r>
          </w:p>
        </w:tc>
        <w:tc>
          <w:tcPr>
            <w:tcW w:w="16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8"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Elimination of FBB’s historical interest expense and fee amortization</w:t>
            </w:r>
          </w:p>
        </w:tc>
        <w:tc>
          <w:tcPr>
            <w:tcW w:w="29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308" w:type="dxa"/>
            <w:tcBorders/>
            <w:shd w:fill="CCEEFF" w:val="clear"/>
            <w:vAlign w:val="bottom"/>
          </w:tcPr>
          <w:p>
            <w:pPr>
              <w:pStyle w:val="TableContents"/>
              <w:bidi w:val="0"/>
              <w:spacing w:before="0" w:after="283"/>
              <w:jc w:val="right"/>
              <w:rPr/>
            </w:pPr>
            <w:r>
              <w:rPr/>
              <w:t>(11,153</w:t>
            </w:r>
          </w:p>
        </w:tc>
        <w:tc>
          <w:tcPr>
            <w:tcW w:w="16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(38,173</w:t>
            </w:r>
          </w:p>
        </w:tc>
        <w:tc>
          <w:tcPr>
            <w:tcW w:w="168" w:type="dxa"/>
            <w:tcBorders/>
            <w:shd w:fill="CCEEFF" w:val="clear"/>
            <w:vAlign w:val="bottom"/>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deferred financing costs associated with the Existing FBB ABL loan</w:t>
            </w:r>
          </w:p>
        </w:tc>
        <w:tc>
          <w:tcPr>
            <w:tcW w:w="29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308"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275</w:t>
            </w:r>
          </w:p>
        </w:tc>
        <w:tc>
          <w:tcPr>
            <w:tcW w:w="168" w:type="dxa"/>
            <w:tcBorders/>
            <w:vAlign w:val="bottom"/>
          </w:tcPr>
          <w:p>
            <w:pPr>
              <w:pStyle w:val="TableContents"/>
              <w:bidi w:val="0"/>
              <w:spacing w:before="0" w:after="283"/>
              <w:jc w:val="left"/>
              <w:rPr/>
            </w:pPr>
            <w:r>
              <w:rPr/>
              <w:t> </w:t>
            </w:r>
          </w:p>
        </w:tc>
      </w:tr>
      <w:tr>
        <w:trPr/>
        <w:tc>
          <w:tcPr>
            <w:tcW w:w="31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including amortization of premium related to debt capitalization with respect to the private placement and New ABL including amortization of deferred financing costs</w:t>
            </w:r>
          </w:p>
        </w:tc>
        <w:tc>
          <w:tcPr>
            <w:tcW w:w="295"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308" w:type="dxa"/>
            <w:tcBorders/>
            <w:shd w:fill="CCEEFF" w:val="clear"/>
            <w:vAlign w:val="bottom"/>
          </w:tcPr>
          <w:p>
            <w:pPr>
              <w:pStyle w:val="TableContents"/>
              <w:bidi w:val="0"/>
              <w:spacing w:before="0" w:after="283"/>
              <w:jc w:val="right"/>
              <w:rPr/>
            </w:pPr>
            <w:r>
              <w:rPr/>
              <w:t>3,960</w:t>
            </w:r>
          </w:p>
        </w:tc>
        <w:tc>
          <w:tcPr>
            <w:tcW w:w="162"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15,845</w:t>
            </w:r>
          </w:p>
        </w:tc>
        <w:tc>
          <w:tcPr>
            <w:tcW w:w="168" w:type="dxa"/>
            <w:tcBorders/>
            <w:shd w:fill="CCEEFF" w:val="clear"/>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308"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3156"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financing adjustment to Interest expense, net</w:t>
            </w:r>
          </w:p>
        </w:tc>
        <w:tc>
          <w:tcPr>
            <w:tcW w:w="295"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1308" w:type="dxa"/>
            <w:tcBorders/>
            <w:vAlign w:val="bottom"/>
          </w:tcPr>
          <w:p>
            <w:pPr>
              <w:pStyle w:val="TableContents"/>
              <w:bidi w:val="0"/>
              <w:spacing w:before="0" w:after="283"/>
              <w:jc w:val="right"/>
              <w:rPr/>
            </w:pPr>
            <w:r>
              <w:rPr/>
              <w:t>(7,193)</w:t>
            </w:r>
          </w:p>
        </w:tc>
        <w:tc>
          <w:tcPr>
            <w:tcW w:w="162"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(22,053)</w:t>
            </w:r>
          </w:p>
        </w:tc>
        <w:tc>
          <w:tcPr>
            <w:tcW w:w="168" w:type="dxa"/>
            <w:tcBorders/>
            <w:vAlign w:val="bottom"/>
          </w:tcPr>
          <w:p>
            <w:pPr>
              <w:pStyle w:val="TableContents"/>
              <w:bidi w:val="0"/>
              <w:spacing w:before="0" w:after="283"/>
              <w:jc w:val="left"/>
              <w:rPr/>
            </w:pPr>
            <w:r>
              <w:rPr/>
              <w:t> </w:t>
            </w:r>
          </w:p>
        </w:tc>
      </w:tr>
      <w:tr>
        <w:trPr/>
        <w:tc>
          <w:tcPr>
            <w:tcW w:w="3156"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308"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one-eighth of a percentage point increase or decrease in the interest rate would result in a change in interest expense of approximately $0.1 million and $0.3 million for the three months ended May 2, 2026 and for year ended January 31, 2026,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adjustment of $0.2 million for the year ended January 31, 2026 to eliminate the historical gain on the fair value adjustment of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record the income tax impact of the pro forma adjustments utilizing the statutory income tax rate of approximately 24% for the periods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As the unaudited pro forma condensed combined statement of operations assumes that the Transactions as if those Transactions had occurred on February 2, 2025, the beginning of the earliest period presented, the calculation of weighted average shares outstanding for basic and diluted earnings per share assumes that the shares issuable relating to the merger and Other Transaction Accounting Adjustments have been outstanding for the entirety of the period presented.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the components of the pro forma earnings per share calculation: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406"/>
        <w:gridCol w:w="212"/>
        <w:gridCol w:w="219"/>
        <w:gridCol w:w="1281"/>
        <w:gridCol w:w="158"/>
        <w:gridCol w:w="212"/>
        <w:gridCol w:w="189"/>
        <w:gridCol w:w="1100"/>
        <w:gridCol w:w="162"/>
      </w:tblGrid>
      <w:tr>
        <w:trPr/>
        <w:tc>
          <w:tcPr>
            <w:tcW w:w="3406"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i/>
                <w:sz w:val="16"/>
              </w:rPr>
            </w:pPr>
            <w:r>
              <w:rPr>
                <w:rFonts w:ascii="Times New Roman" w:hAnsi="Times New Roman"/>
                <w:i/>
                <w:sz w:val="16"/>
              </w:rPr>
              <w:t>(in thousands, except per share amounts)</w:t>
            </w:r>
          </w:p>
        </w:tc>
        <w:tc>
          <w:tcPr>
            <w:tcW w:w="212"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May 2,</w:t>
              <w:br/>
              <w:t>2026</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31,</w:t>
              <w:br/>
              <w:t>2026</w:t>
            </w:r>
          </w:p>
        </w:tc>
        <w:tc>
          <w:tcPr>
            <w:tcW w:w="162" w:type="dxa"/>
            <w:tcBorders/>
            <w:vAlign w:val="bottom"/>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net loss</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(24,214</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(68,911</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 (1)</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54,916</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54,104</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68,623</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68,623</w:t>
            </w:r>
          </w:p>
        </w:tc>
        <w:tc>
          <w:tcPr>
            <w:tcW w:w="162"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40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weighted average common shares outstanding, basic and diluted</w:t>
            </w:r>
          </w:p>
        </w:tc>
        <w:tc>
          <w:tcPr>
            <w:tcW w:w="21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123,539</w:t>
            </w:r>
          </w:p>
        </w:tc>
        <w:tc>
          <w:tcPr>
            <w:tcW w:w="158"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122,727</w:t>
            </w:r>
          </w:p>
        </w:tc>
        <w:tc>
          <w:tcPr>
            <w:tcW w:w="162" w:type="dxa"/>
            <w:tcBorders/>
            <w:shd w:fill="CCEEFF" w:val="clear"/>
            <w:vAlign w:val="bottom"/>
          </w:tcPr>
          <w:p>
            <w:pPr>
              <w:pStyle w:val="TableContents"/>
              <w:bidi w:val="0"/>
              <w:spacing w:before="0" w:after="283"/>
              <w:jc w:val="left"/>
              <w:rPr/>
            </w:pPr>
            <w:r>
              <w:rPr/>
              <w:t> </w:t>
            </w:r>
          </w:p>
        </w:tc>
      </w:tr>
      <w:tr>
        <w:trPr/>
        <w:tc>
          <w:tcPr>
            <w:tcW w:w="3406"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(0.20</w:t>
            </w:r>
          </w:p>
        </w:tc>
        <w:tc>
          <w:tcPr>
            <w:tcW w:w="158"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(0.56</w:t>
            </w:r>
          </w:p>
        </w:tc>
        <w:tc>
          <w:tcPr>
            <w:tcW w:w="162" w:type="dxa"/>
            <w:tcBorders/>
            <w:vAlign w:val="bottom"/>
          </w:tcPr>
          <w:p>
            <w:pPr>
              <w:pStyle w:val="TableContents"/>
              <w:bidi w:val="0"/>
              <w:spacing w:before="0" w:after="283"/>
              <w:jc w:val="left"/>
              <w:rPr/>
            </w:pPr>
            <w:r>
              <w:rPr/>
              <w:t>) </w:t>
            </w:r>
          </w:p>
        </w:tc>
      </w:tr>
      <w:tr>
        <w:trPr/>
        <w:tc>
          <w:tcPr>
            <w:tcW w:w="3406"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total estimated DXL historical weighted average shares outstanding as of May 2, 2026 and January 31, 2026. Due to the pro forma condensed combined company’s net loss, the DXL historical weighted average shares outstanding excludes deferred shares and stock options that would be considered dilutive.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present the effect of the proposed reverse stock split range, the unaudited pro forma condensed combined financial earnings per share has been prepared using the assumptions below: </w:t>
      </w:r>
    </w:p>
    <w:p>
      <w:pPr>
        <w:pStyle w:val="TextBody"/>
        <w:bidi w:val="0"/>
        <w:spacing w:before="120" w:after="0"/>
        <w:jc w:val="left"/>
        <w:rPr>
          <w:rFonts w:ascii="Times New Roman" w:hAnsi="Times New Roman"/>
          <w:i/>
          <w:sz w:val="20"/>
        </w:rPr>
      </w:pPr>
      <w:r>
        <w:rPr>
          <w:rFonts w:ascii="Times New Roman" w:hAnsi="Times New Roman"/>
          <w:i/>
          <w:sz w:val="20"/>
        </w:rPr>
        <w:t xml:space="preserve">For the three months ended May 2,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47"/>
        <w:gridCol w:w="161"/>
        <w:gridCol w:w="175"/>
        <w:gridCol w:w="850"/>
        <w:gridCol w:w="155"/>
        <w:gridCol w:w="161"/>
        <w:gridCol w:w="175"/>
        <w:gridCol w:w="703"/>
        <w:gridCol w:w="155"/>
        <w:gridCol w:w="160"/>
        <w:gridCol w:w="214"/>
        <w:gridCol w:w="856"/>
        <w:gridCol w:w="160"/>
      </w:tblGrid>
      <w:tr>
        <w:trPr/>
        <w:tc>
          <w:tcPr>
            <w:tcW w:w="4647"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4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61" w:type="dxa"/>
            <w:tcBorders/>
            <w:vAlign w:val="bottom"/>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pPr>
            <w:r>
              <w:rPr>
                <w:b/>
              </w:rPr>
              <w:t>Mid</w:t>
            </w:r>
            <w:r>
              <w:rPr/>
              <w:br/>
            </w:r>
            <w:r>
              <w:rPr>
                <w:b/>
              </w:rPr>
              <w:t>(1 for 16)</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b/>
              </w:rPr>
              <w:t>Maximum</w:t>
            </w:r>
            <w:r>
              <w:rPr/>
              <w:br/>
            </w:r>
            <w:r>
              <w:rPr>
                <w:b/>
              </w:rPr>
              <w:t>(1 for 30)</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sz w:val="4"/>
                <w:szCs w:val="4"/>
              </w:rPr>
            </w:pPr>
            <w:r>
              <w:rPr>
                <w:sz w:val="4"/>
                <w:szCs w:val="4"/>
              </w:rPr>
            </w:r>
          </w:p>
        </w:tc>
        <w:tc>
          <w:tcPr>
            <w:tcW w:w="85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27,458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3,432</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1,831</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34,312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4,289</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2,287</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4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61,770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7,721</w:t>
            </w:r>
          </w:p>
        </w:tc>
        <w:tc>
          <w:tcPr>
            <w:tcW w:w="15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4,118</w:t>
            </w:r>
          </w:p>
        </w:tc>
        <w:tc>
          <w:tcPr>
            <w:tcW w:w="160" w:type="dxa"/>
            <w:tcBorders/>
            <w:vAlign w:val="bottom"/>
          </w:tcPr>
          <w:p>
            <w:pPr>
              <w:pStyle w:val="TableContents"/>
              <w:bidi w:val="0"/>
              <w:spacing w:before="0" w:after="283"/>
              <w:jc w:val="left"/>
              <w:rPr/>
            </w:pPr>
            <w:r>
              <w:rPr/>
              <w:t> </w:t>
            </w:r>
          </w:p>
        </w:tc>
      </w:tr>
      <w:tr>
        <w:trPr/>
        <w:tc>
          <w:tcPr>
            <w:tcW w:w="46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(0.39</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(3.14</w:t>
            </w:r>
          </w:p>
        </w:tc>
        <w:tc>
          <w:tcPr>
            <w:tcW w:w="15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(5.88</w:t>
            </w:r>
          </w:p>
        </w:tc>
        <w:tc>
          <w:tcPr>
            <w:tcW w:w="160" w:type="dxa"/>
            <w:tcBorders/>
            <w:shd w:fill="CCEEFF" w:val="clear"/>
            <w:vAlign w:val="bottom"/>
          </w:tcPr>
          <w:p>
            <w:pPr>
              <w:pStyle w:val="TableContents"/>
              <w:bidi w:val="0"/>
              <w:spacing w:before="0" w:after="283"/>
              <w:jc w:val="left"/>
              <w:rPr/>
            </w:pPr>
            <w:r>
              <w:rPr/>
              <w:t>) </w:t>
            </w:r>
          </w:p>
        </w:tc>
      </w:tr>
      <w:tr>
        <w:trPr/>
        <w:tc>
          <w:tcPr>
            <w:tcW w:w="4647"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For the year ended January 31,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57"/>
        <w:gridCol w:w="157"/>
        <w:gridCol w:w="175"/>
        <w:gridCol w:w="853"/>
        <w:gridCol w:w="155"/>
        <w:gridCol w:w="157"/>
        <w:gridCol w:w="175"/>
        <w:gridCol w:w="700"/>
        <w:gridCol w:w="155"/>
        <w:gridCol w:w="157"/>
        <w:gridCol w:w="193"/>
        <w:gridCol w:w="879"/>
        <w:gridCol w:w="159"/>
      </w:tblGrid>
      <w:tr>
        <w:trPr/>
        <w:tc>
          <w:tcPr>
            <w:tcW w:w="4657"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b/>
                <w:sz w:val="16"/>
              </w:rPr>
              <w:t xml:space="preserve">Proposed Reverse Stock Split </w:t>
            </w:r>
            <w:r>
              <w:rPr>
                <w:rFonts w:ascii="Times New Roman" w:hAnsi="Times New Roman"/>
                <w:i/>
                <w:sz w:val="16"/>
              </w:rPr>
              <w:t>(in thousands, except per share</w:t>
              <w:br/>
              <w:t>amounts)</w:t>
            </w:r>
          </w:p>
        </w:tc>
        <w:tc>
          <w:tcPr>
            <w:tcW w:w="157"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pPr>
            <w:r>
              <w:rPr>
                <w:b/>
              </w:rPr>
              <w:t>Minimum</w:t>
            </w:r>
            <w:r>
              <w:rPr/>
              <w:br/>
            </w:r>
            <w:r>
              <w:rPr>
                <w:b/>
              </w:rPr>
              <w:t>(1 for 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Mid</w:t>
              <w:br/>
              <w:t>(1 for 16)</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(1 for 30)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and diluted shares:</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DXL historical weighted average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27,052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3,382</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1,803</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 exchange of shares to FBB</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34,312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4,289</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2,287</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657"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common shares outstanding, basic and diluted</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61,364</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7,671</w:t>
            </w:r>
          </w:p>
        </w:tc>
        <w:tc>
          <w:tcPr>
            <w:tcW w:w="15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4,090</w:t>
            </w:r>
          </w:p>
        </w:tc>
        <w:tc>
          <w:tcPr>
            <w:tcW w:w="159" w:type="dxa"/>
            <w:tcBorders/>
            <w:vAlign w:val="bottom"/>
          </w:tcPr>
          <w:p>
            <w:pPr>
              <w:pStyle w:val="TableContents"/>
              <w:bidi w:val="0"/>
              <w:spacing w:before="0" w:after="283"/>
              <w:jc w:val="left"/>
              <w:rPr/>
            </w:pPr>
            <w:r>
              <w:rPr/>
              <w:t> </w:t>
            </w:r>
          </w:p>
        </w:tc>
      </w:tr>
      <w:tr>
        <w:trPr/>
        <w:tc>
          <w:tcPr>
            <w:tcW w:w="465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loss per share, basic and diluted</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(1.12</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(8.98</w:t>
            </w:r>
          </w:p>
        </w:tc>
        <w:tc>
          <w:tcPr>
            <w:tcW w:w="155"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(16.85</w:t>
            </w:r>
          </w:p>
        </w:tc>
        <w:tc>
          <w:tcPr>
            <w:tcW w:w="159" w:type="dxa"/>
            <w:tcBorders/>
            <w:shd w:fill="CCEEFF" w:val="clear"/>
            <w:vAlign w:val="bottom"/>
          </w:tcPr>
          <w:p>
            <w:pPr>
              <w:pStyle w:val="TableContents"/>
              <w:bidi w:val="0"/>
              <w:spacing w:before="0" w:after="283"/>
              <w:jc w:val="left"/>
              <w:rPr/>
            </w:pPr>
            <w:r>
              <w:rPr/>
              <w:t>) </w:t>
            </w:r>
          </w:p>
        </w:tc>
      </w:tr>
      <w:tr>
        <w:trPr/>
        <w:tc>
          <w:tcPr>
            <w:tcW w:w="4657"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3" w:name="tx76201_80"/>
      <w:bookmarkEnd w:id="83"/>
      <w:r>
        <w:rPr>
          <w:rFonts w:ascii="Times New Roman" w:hAnsi="Times New Roman"/>
          <w:b/>
          <w:sz w:val="20"/>
        </w:rPr>
        <w:t xml:space="preserve">DESCRIPTION OF DXL’S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DXL’s common stock and preferred stock summarizes the material terms and provisions of DXL common stock and preferred stock. The following description of DXL’s capital stock does not purport to be complete and is subject to, and qualified in its entirety by, DXL’s restated certificate of incorporation, as amended, referred to in this section as the restated certificate of incorporation, and DXL’s By-Laws, as may be amended, referred to in this section as the By-Laws, which are incorporated by reference to Exhibits 3.2 and 3.3, respectively, of DXL’s Annual Report on Form 10-K for the fiscal year ended January 31, 2026 as filed with the SEC on March 19, 2026, and does not include changes resulting from the adoption of DXL’s amendment to the restated certificate of incorporation to effect a reverse stock split of DXL common stock. The terms of DXL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authorized stock of DXL is 126,000,000 shares, consisting of 125,000,000 shares of DXL common stock, par value $0.01 per share, and 1,000,000 shares of DXL preferred stock, par value of $0.01 per share. As of the record date, there were (1) [●] shares of DXL common stock issued and outstanding (not including shares held in treasury), (2) [●] shares of DXL common stock held in the treasury of DXL or by its subsidiaries, (3) [●] shares of DXL common stock subject to outstanding DXL options, all of which are exercisable, (4) [●] shares of DXL common stock subject to outstanding DXL restricted stock unit awards, (5) [●] shares of DXL common stock subject to DXL deferred stock awards, (6) [●] shares of DXL common stock subject to outstanding DXL performance stock unit awards, and (7) no shares of DXL preferred stock issued and outstanding. Each outstanding share of DXL common stock is duly and validly issued, fully paid and non-assessable.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prior rights of any series of DXL preferred stock, which may from time to time be outstanding, the holders of DXL’s common stock are entitled to receive such dividends, if any, as may be declared from time to time by DXL’s Board out of legally available funds. </w:t>
      </w:r>
    </w:p>
    <w:p>
      <w:pPr>
        <w:pStyle w:val="TextBody"/>
        <w:bidi w:val="0"/>
        <w:spacing w:before="360" w:after="0"/>
        <w:jc w:val="left"/>
        <w:rPr>
          <w:rFonts w:ascii="Times New Roman" w:hAnsi="Times New Roman"/>
          <w:i/>
          <w:sz w:val="20"/>
        </w:rPr>
      </w:pPr>
      <w:r>
        <w:rPr>
          <w:rFonts w:ascii="Times New Roman" w:hAnsi="Times New Roman"/>
          <w:i/>
          <w:sz w:val="20"/>
        </w:rPr>
        <w:t xml:space="preserve">Distributions on 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DXL is liquidated, dissolved or DXL’s affairs are wound up, the holders of DXL’s common stock will be entitled to share pro rata in the net assets available for distribution to holders of DXL common stock after satisfaction of the prior claims of the holders of DXL preferred stock or any other class of capital stock ranking senior to the DXL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DXL common stock is entitled to one vote per share on all matters submitted to a vote of DXL stockholders. Generally, a matter submitted for stockholder action shall be approved if the votes cast “for” the matter exceed the votes cast “against” such matter, unless a greater or different vote is required by statute, any applicable law or regulation, or DXL’s restated certificate of incorporation or DXL’s By-Laws. Other than in a contested election where directors are elected by a plurality vote, a director nominee shall be elected to the DXL Board by the majority of the votes properly cast at a meeting of stockholders at which a quorum is present. </w:t>
      </w:r>
    </w:p>
    <w:p>
      <w:pPr>
        <w:pStyle w:val="TextBody"/>
        <w:bidi w:val="0"/>
        <w:spacing w:before="360" w:after="0"/>
        <w:jc w:val="left"/>
        <w:rPr>
          <w:rFonts w:ascii="Times New Roman" w:hAnsi="Times New Roman"/>
          <w:i/>
          <w:sz w:val="20"/>
        </w:rPr>
      </w:pPr>
      <w:r>
        <w:rPr>
          <w:rFonts w:ascii="Times New Roman" w:hAnsi="Times New Roman"/>
          <w:i/>
          <w:sz w:val="20"/>
        </w:rPr>
        <w:t xml:space="preserve">Other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preferential rights of any other class or series of DXL stock, all shares of DXL common stock have equal dividend, distribution, liquidation and other rights, and have no preference, appraisal or exchange rights, except for any appraisal rights provided by Delaware law. Furthermore, holders of DXL common stock have no conversion, sinking fund or redemption rights, or preemptive rights to subscribe for any of DXL’s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Restrictions on Alienability of DXL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DXL restated certificate of incorporation contains provisions that generally restrict any person or entity from attempting to transfer DXL stock, without prior permission from the DXL Board, to the extent that such transfer would (i) create or result in an individual or entity becoming a five-percent stockholder of DXL stock, or (ii) increase DXL stock ownership percentage of any existing five-percent stockholder. These provisions provide that any transfer that violates such provisions shall be null and void and would require the purported transferee to, upon demand by DXL, transfer the shares that exceed the five percent limit to an agent designated by DXL for the purpose of conducting a sale of such excess shares. By requiring prior permission from the DXL Board, this restriction attempts to prevent certain future transfers of DXL capital stock that could adversely affect DXL’s ability to utilize its net operating loss carryforwards to reduce federal income taxes of DXL. </w:t>
      </w:r>
    </w:p>
    <w:p>
      <w:pPr>
        <w:pStyle w:val="TextBody"/>
        <w:bidi w:val="0"/>
        <w:spacing w:before="360" w:after="0"/>
        <w:jc w:val="left"/>
        <w:rPr>
          <w:rFonts w:ascii="Times New Roman" w:hAnsi="Times New Roman"/>
          <w:i/>
          <w:sz w:val="20"/>
        </w:rPr>
      </w:pPr>
      <w:r>
        <w:rPr>
          <w:rFonts w:ascii="Times New Roman" w:hAnsi="Times New Roman"/>
          <w:i/>
          <w:sz w:val="20"/>
        </w:rPr>
        <w:t xml:space="preserve">Relationship to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DXL Board is authorized, subject to limitations prescribed by law, to issue preferred stock in series, to establish from time to time the number of shares to be included in each series, and to fix the designation, powers, preferences and rights of each series and any of their qualifications, limitations or restrictions. The authority of the DXL Board with respect to each series includes, but is not limited to, determination of the number of shares and the designation of each series, dividend rights, voting rights, conversion rights, redemption rights and liquidation rights, among others. </w:t>
      </w:r>
    </w:p>
    <w:p>
      <w:pPr>
        <w:pStyle w:val="TextBody"/>
        <w:bidi w:val="0"/>
        <w:spacing w:before="240" w:after="0"/>
        <w:jc w:val="left"/>
        <w:rPr>
          <w:rFonts w:ascii="Times New Roman" w:hAnsi="Times New Roman"/>
          <w:sz w:val="20"/>
        </w:rPr>
      </w:pPr>
      <w:r>
        <w:rPr>
          <w:rFonts w:ascii="Times New Roman" w:hAnsi="Times New Roman"/>
          <w:sz w:val="20"/>
        </w:rPr>
        <w:t xml:space="preserve">While DXL does not currently have any plans for the issuance of DXL preferred stock, the issuance of such DXL preferred stock could adversely affect the rights of the holders of DXL common stock and, therefore, reduce the value of the DXL common stock. Although it is not possible to state the actual effect of the issuance of DXL preferred stock on the rights of holders of the DXL common stock until the DXL Board determines the specific rights of the holders of the DXL preferred stock, these effects may adversely affect the dividend rights, voting power or liquidation rights on the DXL common stock or delay or prevent a change of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Provisions of DXL Charter and By-Laws That May Have Anti-Takeover Effects </w:t>
      </w:r>
    </w:p>
    <w:p>
      <w:pPr>
        <w:pStyle w:val="TextBody"/>
        <w:bidi w:val="0"/>
        <w:spacing w:before="120" w:after="0"/>
        <w:jc w:val="left"/>
        <w:rPr>
          <w:rFonts w:ascii="Times New Roman" w:hAnsi="Times New Roman"/>
          <w:i/>
          <w:sz w:val="20"/>
        </w:rPr>
      </w:pPr>
      <w:r>
        <w:rPr>
          <w:rFonts w:ascii="Times New Roman" w:hAnsi="Times New Roman"/>
          <w:i/>
          <w:sz w:val="20"/>
        </w:rPr>
        <w:t xml:space="preserve">Special Meetings of DXL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except as otherwise required by law and subject to the rights, if any, of the holders of any series of DXL preferred stock, only the DXL Board may call a special meeting of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Advance Notice of Director Nominations and Stockholder Proposals </w:t>
      </w:r>
    </w:p>
    <w:p>
      <w:pPr>
        <w:pStyle w:val="TextBody"/>
        <w:bidi w:val="0"/>
        <w:spacing w:before="120" w:after="0"/>
        <w:jc w:val="left"/>
        <w:rPr>
          <w:rFonts w:ascii="Times New Roman" w:hAnsi="Times New Roman"/>
          <w:sz w:val="20"/>
        </w:rPr>
      </w:pPr>
      <w:r>
        <w:rPr>
          <w:rFonts w:ascii="Times New Roman" w:hAnsi="Times New Roman"/>
          <w:sz w:val="20"/>
        </w:rPr>
        <w:t xml:space="preserve">The By-Laws include advance notice and informational requirements and time limitations on any director nomination or any new proposal, which a stockholder wishes to make at an annual meeting of DXL stockholders. Generally, for business to be properly brought before an annual meeting, a stockholder’s notice will be timely if delivered to the DXL corporate secretary at the principal executive offices of DXL not later than the close of business on the 90th day nor earlier than the close of business on the 120th day prior to the first anniversary of the preceding year’s annual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Blank Check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DXL has shares of preferred stock available for future issuance without stockholder approval, except to the extent holders of DXL preferred stock have a consent right under the terms of their preferred stock. The existence of authorized but unissued shares of DXL preferred stock may enable the DXL Board to render more difficult or to discourage an attempt to obtain control of DXL by means of a merger, tender offer, proxy contest or otherwise. For example, if in the due exercise of its fiduciary obligations, the DXL Board were to determine that a takeover proposal is not in the best interests of DXL or the DXL stockholders, the DXL Board could cause shares of preferred stock to be issued without stockholder approval in one or more private offerings or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might dilute the voting or other rights of the proposed acquirer or insurgent stockholder or stockholder group. In this regard, the DXL restated certificate of incorporation grants the DXL Board broad power to establish the rights and preferences of authorized and unissued shares of DXL preferred stock. The issuance of shares of DXL preferred stock could decrease the amount of earnings and assets available for distribution to holders of shares of DXL common stock. The issuance may also adversely affect the rights and powers, including voting rights, of these holders and may have the effect of delaying, deterring or preventing a change in control of DXL.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DXL common stock is publicly traded and listed on The Nasdaq Global Market tier of the Nasdaq under the symbol “DXLG”. On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2026, the last reported sale price for DXL common stock on Nasdaq was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per share. As of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2026, DXL had approximately </w:t>
      </w:r>
      <w:r>
        <w:rPr>
          <w:rFonts w:ascii="Times New Roman" w:hAnsi="Times New Roman"/>
          <w:b/>
          <w:sz w:val="20"/>
        </w:rPr>
        <w:t>[</w:t>
      </w:r>
      <w:r>
        <w:rPr>
          <w:rFonts w:ascii="Times New Roman" w:hAnsi="Times New Roman"/>
          <w:sz w:val="20"/>
        </w:rPr>
        <w:t>●</w:t>
      </w:r>
      <w:r>
        <w:rPr>
          <w:rFonts w:ascii="Times New Roman" w:hAnsi="Times New Roman"/>
          <w:b/>
          <w:sz w:val="20"/>
        </w:rPr>
        <w:t>]</w:t>
      </w:r>
      <w:r>
        <w:rPr>
          <w:rFonts w:ascii="Times New Roman" w:hAnsi="Times New Roman"/>
          <w:sz w:val="20"/>
        </w:rPr>
        <w:t xml:space="preserve"> stockholders of record.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DXL common stock is EQ,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4" w:name="tx76201_81"/>
      <w:bookmarkEnd w:id="84"/>
      <w:r>
        <w:rPr>
          <w:rFonts w:ascii="Times New Roman" w:hAnsi="Times New Roman"/>
          <w:b/>
          <w:sz w:val="20"/>
        </w:rPr>
        <w:t xml:space="preserve">EXECUTIVE OFFICERS AND DIRECTORS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of the Combined Company Following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the combined company’s board of directors would initially be fixed at nine members, composed of four directors designated by DXL (the “DXL nominee directors”), four directors designated by FBB (the “FBB nominee directors”), and one director mutually agreed to by DXL and FBB (the “independent director,” and together with the DXL nominee directors and the FBB nominee directors, the “post-closing directors”). Each of the post-closing directors would be required to have completed a background check reasonably satisfactory to DXL and be “independent” for purposes of Nasdaq rules (excluding, for the avoidance of doubt, those rules applicable solely to audit committee members), and otherwise comply with applicable Nasdaq and SEC rules and requirements governing directors. It is expected that Lionel F. Conacher would serve as chairman of the combined company’s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the merger is consummated, at the effective time of the merger, DXL and FBB would cooperate to take all reasonable actions necessary to cause (i) the chief executive officer of FBB immediately prior to the effective time to serve as the chief executive officer of the combined company following the merger, and (ii) the officers of the combined company after the merger to be such individuals as DXL and FBB may agree, through a process overseen by the chief executive officer of FBB in consultation with the DXL nominee directors and FBB nominee directors, who would cooperate in good faith to identify such individuals prior to the effective time of the merger. Each executive officer would serve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lists the names and ages as of June 15, 2026, and positions of the individuals who are expected to serve as executive officers and directors of the combined company if the merger is consummated upon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20"/>
        <w:gridCol w:w="219"/>
        <w:gridCol w:w="60"/>
        <w:gridCol w:w="261"/>
        <w:gridCol w:w="60"/>
        <w:gridCol w:w="219"/>
        <w:gridCol w:w="5366"/>
      </w:tblGrid>
      <w:tr>
        <w:trPr/>
        <w:tc>
          <w:tcPr>
            <w:tcW w:w="402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5366" w:type="dxa"/>
            <w:tcBorders/>
            <w:vAlign w:val="center"/>
          </w:tcPr>
          <w:p>
            <w:pPr>
              <w:pStyle w:val="TableContents"/>
              <w:bidi w:val="0"/>
              <w:spacing w:before="0" w:after="283"/>
              <w:jc w:val="left"/>
              <w:rPr>
                <w:sz w:val="4"/>
                <w:szCs w:val="4"/>
              </w:rPr>
            </w:pPr>
            <w:r>
              <w:rPr>
                <w:sz w:val="4"/>
                <w:szCs w:val="4"/>
              </w:rPr>
            </w:r>
          </w:p>
        </w:tc>
      </w:tr>
      <w:tr>
        <w:trPr/>
        <w:tc>
          <w:tcPr>
            <w:tcW w:w="40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19" w:type="dxa"/>
            <w:tcBorders/>
            <w:vAlign w:val="bottom"/>
          </w:tcPr>
          <w:p>
            <w:pPr>
              <w:pStyle w:val="TableContents"/>
              <w:bidi w:val="0"/>
              <w:spacing w:before="0" w:after="283"/>
              <w:jc w:val="left"/>
              <w:rPr/>
            </w:pPr>
            <w:r>
              <w:rPr/>
              <w:t>  </w:t>
            </w:r>
          </w:p>
        </w:tc>
        <w:tc>
          <w:tcPr>
            <w:tcW w:w="32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Age</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Position(s)</w:t>
            </w:r>
          </w:p>
        </w:tc>
      </w:tr>
      <w:tr>
        <w:trPr/>
        <w:tc>
          <w:tcPr>
            <w:tcW w:w="4020"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Jim Fogarty</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Executive Officer, 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 Jr.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Chief Financial Officer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b/>
                <w:i/>
                <w:sz w:val="20"/>
              </w:rPr>
              <w:t>Non-Employee Directors</w:t>
            </w:r>
            <w:r>
              <w:rPr>
                <w:rFonts w:ascii="Times New Roman" w:hAnsi="Times New Roman"/>
                <w:b/>
                <w:sz w:val="20"/>
              </w:rPr>
              <w:t>(1)</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left"/>
              <w:rPr>
                <w:sz w:val="4"/>
                <w:szCs w:val="4"/>
              </w:rPr>
            </w:pPr>
            <w:r>
              <w:rPr>
                <w:sz w:val="4"/>
                <w:szCs w:val="4"/>
              </w:rPr>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64</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58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72</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Yasir Anwar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46</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Steven Tesoriere</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r>
        <w:trPr/>
        <w:tc>
          <w:tcPr>
            <w:tcW w:w="4020" w:type="dxa"/>
            <w:tcBorders/>
          </w:tcPr>
          <w:p>
            <w:pPr>
              <w:pStyle w:val="TableContents"/>
              <w:bidi w:val="0"/>
              <w:spacing w:before="0" w:after="0"/>
              <w:jc w:val="left"/>
              <w:rPr>
                <w:rFonts w:ascii="Times New Roman" w:hAnsi="Times New Roman"/>
                <w:sz w:val="20"/>
              </w:rPr>
            </w:pPr>
            <w:r>
              <w:rPr>
                <w:rFonts w:ascii="Times New Roman" w:hAnsi="Times New Roman"/>
                <w:sz w:val="20"/>
              </w:rPr>
              <w:t>Josh Beer</w:t>
            </w:r>
          </w:p>
        </w:tc>
        <w:tc>
          <w:tcPr>
            <w:tcW w:w="2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center"/>
              <w:rPr/>
            </w:pPr>
            <w:r>
              <w:rPr/>
              <w:t>48</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5366" w:type="dxa"/>
            <w:tcBorders/>
            <w:vAlign w:val="bottom"/>
          </w:tcPr>
          <w:p>
            <w:pPr>
              <w:pStyle w:val="TableContents"/>
              <w:bidi w:val="0"/>
              <w:spacing w:before="0" w:after="283"/>
              <w:jc w:val="center"/>
              <w:rPr/>
            </w:pPr>
            <w:r>
              <w:rPr/>
              <w:t>Director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additional independent director is expected to be appointed by mutual agreement between DXL and FBB.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Jim Fogarty</w:t>
      </w:r>
      <w:r>
        <w:rPr>
          <w:rFonts w:ascii="Times New Roman" w:hAnsi="Times New Roman"/>
          <w:sz w:val="20"/>
        </w:rPr>
        <w:t xml:space="preserve"> has been the Chief Executive Officer and a director of FULLBEAUTY Brands, Inc., a privately held branded multichannel retailer focused on fashion apparel and home goods for plus-sized women and men, since June 2019. Previously, he was the Chief Executive Officer and a director of Orchard Brands, a multi-channel marketer of apparel and home products, from 2011 until its sale in 2015, at which time he became a Senior Advisor to Bluestem Group Inc., the acquirer of Orchard Brands, through 2015. Prior to that, Mr. Fogarty was a private investor from 2010 to 2011. From 2009 until 2010, Mr. Fogarty was President, Chief Executive Officer and director of Charming Shoppes, Inc., a multi-brand, specialty apparel retailer. Other prior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positions held by Mr. Fogarty include Managing Director of Alvarez &amp; Marsal, an independent global professional services firm, from 1994 until 2009, President and Chief Operating Officer of Lehman Brothers Holdings (subsequent to its Chapter 11 bankruptcy filing) from 2008 until 2009, President and Chief Executive Officer of American Italian Pasta Company, the largest producer of dry pasta in North America, from 2005 through 2008, Chief Financial Officer of Levi Strauss &amp; Co., a brand-name apparel company, from 2003 until 2005, and from 2001 through 2003, Senior Vice President and Chief Financial Officer and for a period a director of The Warnaco Group, a global apparel maker. </w:t>
      </w:r>
    </w:p>
    <w:p>
      <w:pPr>
        <w:pStyle w:val="TextBody"/>
        <w:bidi w:val="0"/>
        <w:spacing w:before="240" w:after="0"/>
        <w:jc w:val="left"/>
        <w:rPr>
          <w:rFonts w:ascii="Times New Roman" w:hAnsi="Times New Roman"/>
          <w:sz w:val="20"/>
        </w:rPr>
      </w:pPr>
      <w:r>
        <w:rPr>
          <w:rFonts w:ascii="Times New Roman" w:hAnsi="Times New Roman"/>
          <w:b/>
          <w:i/>
          <w:sz w:val="20"/>
        </w:rPr>
        <w:t>Peter H. Stratton, Jr.</w:t>
      </w:r>
      <w:r>
        <w:rPr>
          <w:rFonts w:ascii="Times New Roman" w:hAnsi="Times New Roman"/>
          <w:sz w:val="20"/>
        </w:rPr>
        <w:t xml:space="preserve"> has been the executive vice president, chief financial officer and treasurer of DXL since November 2017. Peter was appointed senior vice president, chief financial officer and treasurer in June 2014. Prior to that, he was senior vice president of finance, corporate controller, and chief accounting officer since August 2009. Mr. Stratton joined DXL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 Mr. Stratton holds a B.S. in Accounting from Babson College and an M.B.A. in Finance from Miami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Lionel F. Conacher</w:t>
      </w:r>
      <w:r>
        <w:rPr>
          <w:rFonts w:ascii="Times New Roman" w:hAnsi="Times New Roman"/>
          <w:sz w:val="20"/>
        </w:rPr>
        <w:t xml:space="preserve"> has been a director of DXL since June 2018 and Chairman of the DXL Board since August 2020. In March 2026, Mr. Conacher joined the board of directors of Metatek-Group Ltd., a publicly traded company, and serves as the chair of their governance and nomination committee. From September 2021 until October 2025, Mr. Conacher served as a member of the board of directors for SRx Health Solutions, Inc. (formerly Better Choice Company Inc.), a publicly traded company, and served as a member of their audit and compensation committees. From September 2022 until May 2023, he served as their interim chief executive officer. Mr. Conacher was a managing partner of Next Ventures, GP from August 2018 until February 2021. From January 2011 to June 2018, Mr. Conacher was a senior advisor for Altamont Capital Partners LLC (“ACP”), a private equity firm.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previously served as a member of the board of directors for AmpHP Inc., a venture-backed human performance company. He also formerly served as a member of the board of directors of Mervin Manufacturing, a leading designer and manufacturer of snowboards and other board sports equipment, and PowerDot, Inc., a consumer electronics company that markets a muscle recovery and performance tool. The DXL Board believes that Mr. Conacher brings extensive financial and operational experience, and his significant experience as a director for other publicly traded companies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Carmen R. Bauza</w:t>
      </w:r>
      <w:r>
        <w:rPr>
          <w:rFonts w:ascii="Times New Roman" w:hAnsi="Times New Roman"/>
          <w:sz w:val="20"/>
        </w:rPr>
        <w:t xml:space="preserve"> has been a director of DXL since December 2021. In March 2023, Ms. Bauza joined the board of directors of OneWater Marine Inc., a publicly traded company, and serves as a member of their audit and compensation committees. Since May 2022, Ms. Bauza has also served on the board of directors of Zumiez, Inc., a publicly traded company, and serves as a member of their audit and governance and nominating committees. Ms. Bauza also formerly served as a member of the board of managers of Claire’s Holdings LLC. Most recently, Ms. Bauza was the chief merchandising officer at Fanatics, Inc. from January 2019 until April 2021. Prior to that, she was the chief merchandising officer at HSN, Inc. from November 2016 until December 2017 and the senior vice president, general merchandise manager consumables, health and wellness at Walmart from June 2007 to October 2016. She previously held roles at Bath &amp; Body Works, Inc., Five Below, Inc. and The Walt Disney Company. Ms. Bauza currently serves as a member of the board of trustees at Seton Hill University and as a member of the advisory board of RoundTable Healthcare Partners Council. The DXL Board believes that Ms. Bauza’s extensive retail and merchandising experience qualifies her to serve on the combined company’s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Jack Boyle</w:t>
      </w:r>
      <w:r>
        <w:rPr>
          <w:rFonts w:ascii="Times New Roman" w:hAnsi="Times New Roman"/>
          <w:sz w:val="20"/>
        </w:rPr>
        <w:t xml:space="preserve"> has been a director of DXL since August 2017. In July 2025, Mr. Boyle joined the board of directors of Wolverine World Wide, Inc., a publicly traded company, and serves as a member of their compensation and human capital committees. Since June 2025, Mr. Boyle has been the managing partner of Fam Bam Sports. Mr. Boyle was the president, buying and North America for Fanatics, Inc., a market leader for officially licensed sports merchandise from January 2024 until his retirement in July 2025. From February 2019 to January 2024, Mr. Boyle was the global co-president of direct to consumer/omni-channel for Fanatics, Inc. Mr. Boyle originally joined Fanatics as president of merchandising in June 2012, and from December 2017 to February 2019, he served as the co-president of North America direct-to-consumer/omni-channel. From February 2005 to June 2012, Mr. Boyle was the executive vice president, general merchandising manager of women’s apparel, intimate, cosmetics and accessories for Kohl’s Corporation. From October 2003 to February 2005, he served as the senior vice president, divisional merchandise manager of women’s apparel for Kohl’s Corporation, the vice president of junior sportswear from July 2000 to October 2003 and the vice president of planning/allocation for women’s apparel from December 1999 to July 2000. From June 1990 to December 1999, Mr. Boyle held various merchandise positions, including divisional merchandise manager of women’s, at May Company. The DXL Board believes that Mr. Boyle’s extensive experience in merchandising, brand management and omni-channel leadership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Willem Mesdag</w:t>
      </w:r>
      <w:r>
        <w:rPr>
          <w:rFonts w:ascii="Times New Roman" w:hAnsi="Times New Roman"/>
          <w:sz w:val="20"/>
        </w:rPr>
        <w:t xml:space="preserve"> has been a director of DXL since January 2014. Mr. Mesdag is the managing partner of Red Mountain Capital Partners LLC, an investment management firm, and since May 2019, has also served as a Senior Advisor for HPS Investment Partners, a global investment firm. Prior to founding Red Mountain in 2005, Mr. Mesdag was a partner and managing director of Goldman Sachs &amp; Co., which he joined in 1981. Prior to Goldman Sachs, he was a securities lawyer at Ballard, Spahr, Andrews &amp; Ingersoll, which he joined in 1978. From February 2016 to May 2025, Mr. Mesdag served on the board of Heidrick &amp; Struggles International, Inc., a publicly traded company, for which he chaired the audit and finance committee and served on the human resources and compensation committee. He also previously served on the boards of 3i Group plc, Cost Plus, Inc., Encore Capital Group, Inc., Nature’s Sunshine Products, Inc., Skandia AB and Yuma Energy, Inc., all of which are or were publicly traded companies. Having had an extensive career in international investment banking and finance and having served on domestic and international public company boards, the DXL Board believes that Mr. Mesdag brings significant knowledge and experience related to business and financial issues, and his corporate governance and investor’s perspective qualify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Yasir Anwar</w:t>
      </w:r>
      <w:r>
        <w:rPr>
          <w:rFonts w:ascii="Times New Roman" w:hAnsi="Times New Roman"/>
          <w:sz w:val="20"/>
        </w:rPr>
        <w:t xml:space="preserve"> has served as a director of FBB since February 2019. Since May 2024, Mr. Anwar has served as Chief Technology &amp; AI Acceleration Officer of Inspire Brands, a multi-brand restaurant company whose portfolio includes more than 33,000 Arby’s, Baskin-Robbins, Buffalo Wild Wings, Dunkin’, Jimmy John’s, and SONIC restaurants worldwide. Prior to Inspire Brands, from February 2018 to February 2024, Mr. Anwar served as Chief Technology and Digital Officer for Williams-Sonoma, Inc. Before Williams-Sonoma, from February 2017 to February 2018, Mr. Anwar was the Chief Technology Officer for Macy’s. His experience also includes senior engineering and architecture roles at Walmart, Wells Fargo, and several other companies. The DXL Board believes that Mr. Anwar’s extensive experience leading technology transformation and digital innovation across major retail and consumer brands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Steven Tesoriere</w:t>
      </w:r>
      <w:r>
        <w:rPr>
          <w:rFonts w:ascii="Times New Roman" w:hAnsi="Times New Roman"/>
          <w:sz w:val="20"/>
        </w:rPr>
        <w:t xml:space="preserve"> has served as a director of FBB, as designee of Oaktree, since February 2019. Mr. Tesoriere joined Oaktree, a global asset management firm specializing in alternative investment strategies, in July 2016, where he serves as a Managing Director and Portfolio Manager. Prior to Oaktree, Mr. Tesoriere was Managing Principal and Portfolio Manager of Altai Capital Management, an investment manager he co-founded in 2009, which focused on investing in distressed debt and event-driven equities. Previously, Mr. Tesoriere worked at Anchorage Capital Group, a registered investment adviser, for six years, where he was a founding analyst. He began his career with Blackstone in the Restructuring and Reorganization Group before working at Goldman Sachs in distressed debt research. Mr. Tesoriere joined the board of directors of Garrett Motion Inc. in April 2021 and currently serves as a member of their talent management and compensation committee. The DXL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believes that Mr. Tesoriere brings significant knowledge and experience in distressed debt, restructuring and reorganization, and that his perspective as a portfolio manager qualifies him to serve on the combined company’s board of directors. </w:t>
      </w:r>
    </w:p>
    <w:p>
      <w:pPr>
        <w:pStyle w:val="TextBody"/>
        <w:bidi w:val="0"/>
        <w:spacing w:before="240" w:after="0"/>
        <w:jc w:val="left"/>
        <w:rPr>
          <w:rFonts w:ascii="Times New Roman" w:hAnsi="Times New Roman"/>
          <w:sz w:val="20"/>
        </w:rPr>
      </w:pPr>
      <w:r>
        <w:rPr>
          <w:rFonts w:ascii="Times New Roman" w:hAnsi="Times New Roman"/>
          <w:b/>
          <w:i/>
          <w:sz w:val="20"/>
        </w:rPr>
        <w:t>Josh Beer</w:t>
      </w:r>
      <w:r>
        <w:rPr>
          <w:rFonts w:ascii="Times New Roman" w:hAnsi="Times New Roman"/>
          <w:sz w:val="20"/>
        </w:rPr>
        <w:t xml:space="preserve"> is a private investor and advisor with extensive experience in private equity and corporate strategy. He previously spent more than 20 years at Charlesbank Capital Partners, a private investment firm focused on management-led buyouts and growth capital investments in middle-market companies, where he served as a Managing Director from July 2016 to October 2024, and then as a Senior Advisor until his retirement in December 2025. During his tenure, Mr. Beer was responsible for sourcing, evaluating, and overseeing investments across a range of industries and partnering with management teams to drive operational and strategic growth initiatives. He began his career with Bain &amp; Company, advising corporate clients on strategy, performance improvement, and operational effectiveness. The DXL Board believes that Mr. Beer’s extensive experience in private equity, including overseeing middle-market investments and partnering with management teams to drive strategic and operational growth, qualifies him to serve on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There are no family relationships among any of the current DXL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were or are to be selected as a director or executive officer. Additionally, no director or executive officer of the combined company is involved in legal proceedings which require disclosure under Item 401 of Regulation S-K.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of the Combined Company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immediately after the effective time of the merger, the combined company’s board of directors would be composed of nine members, with four designated by DXL, including Lionel F. Conacher, Carmen R. Bauza, Jack Boyle, and Willem Mesdag, and four designated by FBB, including Jim Fogarty, Yasir Anwar, Steven Tesoriere, and Josh Beer, and one director mutually agreed to by DXL and FBB. It is expected that Lionel F. Conacher would serve as chairman of the combined company’s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Rule 5605 of the Nasdaq rules requires a majority of a listed company’s board of directors to be composed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rules, a director will only qualify as an “independent director” if, in the opinion of the DXL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compensatory fee paid by such company to the director; and (2) whether the director is affiliated with DXL or any of its subsidiaries or affiliates. </w:t>
      </w:r>
    </w:p>
    <w:p>
      <w:pPr>
        <w:pStyle w:val="TextBody"/>
        <w:bidi w:val="0"/>
        <w:spacing w:before="240" w:after="0"/>
        <w:jc w:val="left"/>
        <w:rPr>
          <w:rFonts w:ascii="Times New Roman" w:hAnsi="Times New Roman"/>
          <w:sz w:val="20"/>
        </w:rPr>
      </w:pPr>
      <w:r>
        <w:rPr>
          <w:rFonts w:ascii="Times New Roman" w:hAnsi="Times New Roman"/>
          <w:sz w:val="20"/>
        </w:rPr>
        <w:t xml:space="preserve">Based upon information requested from and provided by each director concerning his or her background, employment and affiliations, including family relationships, the DXL Board believes that each of the directors of the combined company, with the exception of Jim Fogarty, would be an “independent director” as defined under Rule 5605(a)(2) of the Nasdaq rules following the consummation of the transaction with FBB.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Combined Company’s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we expect that the following individuals would serve as chair of the audit committee, compensation committee and nominating and corporate governance committee of the combined company’s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 Committee Chair: Willem Mesdag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Compensation Committee Chair: Josh Beer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Nominating and Governance Committee Chair: Steven Tesoriere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member of the audit committee must be an independent director under Rule 5605(c)(2)(A)(i) and (ii) of the Nasdaq listing standards and under Rule 10A-3 under the Exchange Act. Each member of the audit committee must be able read and understand fundamental financial statements in accordance with Nasdaq audit committee requirements. In arriving at this determination, the DXL Board will examine each audit committee member’s scope of experience and the nature of their employment in the corporate finance sector. </w:t>
      </w:r>
    </w:p>
    <w:p>
      <w:pPr>
        <w:pStyle w:val="TextBody"/>
        <w:bidi w:val="0"/>
        <w:spacing w:before="240" w:after="0"/>
        <w:jc w:val="left"/>
        <w:rPr>
          <w:rFonts w:ascii="Times New Roman" w:hAnsi="Times New Roman"/>
          <w:sz w:val="20"/>
        </w:rPr>
      </w:pPr>
      <w:r>
        <w:rPr>
          <w:rFonts w:ascii="Times New Roman" w:hAnsi="Times New Roman"/>
          <w:sz w:val="20"/>
        </w:rPr>
        <w:t xml:space="preserve">The financial expert serving on the audit committee must qualify as a financial expert within the meaning of SEC regulations and must meet the financial sophistication requirements of the Nasdaq listing rules. In making this determination, the DXL Board will consider the financial expert’s formal education and previous and current experience in financial and accounting roles. Both our independent registered public accounting firm and management will periodically meet privately with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Each member of the compensation committee must be a non-employee director, as defined in Rule 16b-3 promulgated under the Exchange Act and satisfies the Nasdaq independence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5" w:name="tx76201_82"/>
      <w:bookmarkEnd w:id="85"/>
      <w:r>
        <w:rPr>
          <w:rFonts w:ascii="Times New Roman" w:hAnsi="Times New Roman"/>
          <w:b/>
          <w:sz w:val="20"/>
        </w:rPr>
        <w:t xml:space="preserve">PRINCIPAL STOCKHOLDERS OF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relating to the beneficial ownership of DXL common stock as of June 15, 2026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known by DXL to beneficially own more than 5% of the outstanding shares of DXL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2"/>
        <w:gridCol w:w="8879"/>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DXL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current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June 15, 2026 through the exercise of any stock option, warrants or other rights. Except as otherwise indicated, and subject to applicable community property laws, the persons named in the table have sole voting and investment power with respect to all shares of DXL common stock held by such persons. </w:t>
      </w:r>
    </w:p>
    <w:p>
      <w:pPr>
        <w:pStyle w:val="TextBody"/>
        <w:bidi w:val="0"/>
        <w:spacing w:before="120" w:after="0"/>
        <w:jc w:val="left"/>
        <w:rPr>
          <w:rFonts w:ascii="Times New Roman" w:hAnsi="Times New Roman"/>
          <w:sz w:val="20"/>
        </w:rPr>
      </w:pPr>
      <w:r>
        <w:rPr>
          <w:rFonts w:ascii="Times New Roman" w:hAnsi="Times New Roman"/>
          <w:sz w:val="20"/>
        </w:rPr>
        <w:t xml:space="preserve">The percentage of shares beneficially owned is computed on the basis of 54,982,673 shares of DXL common stock outstanding as of June 15, 2026. Shares of DXL common stock that a person has the right to acquire within 60 days of June 15,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in the table is c/o Destination XL Group, Inc., 555 Turnpike Street, Canton, Massachusetts 02021.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9"/>
        <w:gridCol w:w="494"/>
        <w:gridCol w:w="76"/>
        <w:gridCol w:w="1341"/>
        <w:gridCol w:w="351"/>
        <w:gridCol w:w="405"/>
        <w:gridCol w:w="92"/>
        <w:gridCol w:w="719"/>
        <w:gridCol w:w="288"/>
      </w:tblGrid>
      <w:tr>
        <w:trPr/>
        <w:tc>
          <w:tcPr>
            <w:tcW w:w="3989"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98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94"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351"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8" w:type="dxa"/>
            <w:tcBorders/>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423,568</w:t>
            </w:r>
          </w:p>
        </w:tc>
        <w:tc>
          <w:tcPr>
            <w:tcW w:w="351" w:type="dxa"/>
            <w:tcBorders/>
            <w:vAlign w:val="bottom"/>
          </w:tcPr>
          <w:p>
            <w:pPr>
              <w:pStyle w:val="TableContents"/>
              <w:bidi w:val="0"/>
              <w:spacing w:before="0" w:after="283"/>
              <w:jc w:val="left"/>
              <w:rPr/>
            </w:pPr>
            <w:r>
              <w:rPr/>
              <w:t>(2)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w:t>
            </w:r>
          </w:p>
        </w:tc>
        <w:tc>
          <w:tcPr>
            <w:tcW w:w="288" w:type="dxa"/>
            <w:tcBorders/>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1,716,317</w:t>
            </w:r>
          </w:p>
        </w:tc>
        <w:tc>
          <w:tcPr>
            <w:tcW w:w="351" w:type="dxa"/>
            <w:tcBorders/>
            <w:shd w:fill="CCEEFF" w:val="clear"/>
            <w:vAlign w:val="bottom"/>
          </w:tcPr>
          <w:p>
            <w:pPr>
              <w:pStyle w:val="TableContents"/>
              <w:bidi w:val="0"/>
              <w:spacing w:before="0" w:after="283"/>
              <w:jc w:val="left"/>
              <w:rPr/>
            </w:pPr>
            <w:r>
              <w:rPr/>
              <w:t>(3)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3.1</w:t>
            </w:r>
          </w:p>
        </w:tc>
        <w:tc>
          <w:tcPr>
            <w:tcW w:w="288" w:type="dxa"/>
            <w:tcBorders/>
            <w:shd w:fill="CCEEFF" w:val="clear"/>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 and Director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Peter H. Stratton,</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634,149</w:t>
            </w:r>
          </w:p>
        </w:tc>
        <w:tc>
          <w:tcPr>
            <w:tcW w:w="351" w:type="dxa"/>
            <w:tcBorders/>
            <w:vAlign w:val="bottom"/>
          </w:tcPr>
          <w:p>
            <w:pPr>
              <w:pStyle w:val="TableContents"/>
              <w:bidi w:val="0"/>
              <w:spacing w:before="0" w:after="283"/>
              <w:jc w:val="left"/>
              <w:rPr/>
            </w:pPr>
            <w:r>
              <w:rPr/>
              <w:t>(4)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1.1</w:t>
            </w:r>
          </w:p>
        </w:tc>
        <w:tc>
          <w:tcPr>
            <w:tcW w:w="288" w:type="dxa"/>
            <w:tcBorders/>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Jr. Executive Vice President, Chief Financial Officer and Treasurer</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Anthony J. Gaeta</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Stores and Real Estate Officer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421,842</w:t>
            </w:r>
          </w:p>
        </w:tc>
        <w:tc>
          <w:tcPr>
            <w:tcW w:w="351" w:type="dxa"/>
            <w:tcBorders/>
            <w:shd w:fill="CCEEFF" w:val="clear"/>
            <w:vAlign w:val="bottom"/>
          </w:tcPr>
          <w:p>
            <w:pPr>
              <w:pStyle w:val="TableContents"/>
              <w:bidi w:val="0"/>
              <w:spacing w:before="0" w:after="283"/>
              <w:jc w:val="left"/>
              <w:rPr/>
            </w:pPr>
            <w:r>
              <w:rPr/>
              <w:t>(5)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w:t>
            </w:r>
          </w:p>
        </w:tc>
        <w:tc>
          <w:tcPr>
            <w:tcW w:w="288" w:type="dxa"/>
            <w:tcBorders/>
            <w:shd w:fill="CCEEFF" w:val="clear"/>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Robert S. Molloy</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511,214</w:t>
            </w:r>
          </w:p>
        </w:tc>
        <w:tc>
          <w:tcPr>
            <w:tcW w:w="351" w:type="dxa"/>
            <w:tcBorders/>
            <w:vAlign w:val="bottom"/>
          </w:tcPr>
          <w:p>
            <w:pPr>
              <w:pStyle w:val="TableContents"/>
              <w:bidi w:val="0"/>
              <w:spacing w:before="0" w:after="283"/>
              <w:jc w:val="left"/>
              <w:rPr/>
            </w:pPr>
            <w:r>
              <w:rPr/>
              <w:t>(6)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w:t>
            </w:r>
          </w:p>
        </w:tc>
        <w:tc>
          <w:tcPr>
            <w:tcW w:w="288" w:type="dxa"/>
            <w:tcBorders/>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General Counsel and Secretary</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41" w:type="dxa"/>
            <w:tcBorders/>
            <w:vAlign w:val="bottom"/>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Allison Surette</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359,190</w:t>
            </w:r>
          </w:p>
        </w:tc>
        <w:tc>
          <w:tcPr>
            <w:tcW w:w="351" w:type="dxa"/>
            <w:tcBorders/>
            <w:shd w:fill="CCEEFF" w:val="clear"/>
            <w:vAlign w:val="bottom"/>
          </w:tcPr>
          <w:p>
            <w:pPr>
              <w:pStyle w:val="TableContents"/>
              <w:bidi w:val="0"/>
              <w:spacing w:before="0" w:after="283"/>
              <w:jc w:val="left"/>
              <w:rPr/>
            </w:pPr>
            <w:r>
              <w:rPr/>
              <w:t>(7)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w:t>
            </w:r>
          </w:p>
        </w:tc>
        <w:tc>
          <w:tcPr>
            <w:tcW w:w="288" w:type="dxa"/>
            <w:tcBorders/>
            <w:shd w:fill="CCEEFF" w:val="clear"/>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Chief Merchandising Officer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341"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sz w:val="4"/>
                <w:szCs w:val="4"/>
              </w:rPr>
            </w:pPr>
            <w:r>
              <w:rPr>
                <w:sz w:val="4"/>
                <w:szCs w:val="4"/>
              </w:rPr>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Jack Boyle, Director</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636,707</w:t>
            </w:r>
          </w:p>
        </w:tc>
        <w:tc>
          <w:tcPr>
            <w:tcW w:w="351" w:type="dxa"/>
            <w:tcBorders/>
            <w:vAlign w:val="bottom"/>
          </w:tcPr>
          <w:p>
            <w:pPr>
              <w:pStyle w:val="TableContents"/>
              <w:bidi w:val="0"/>
              <w:spacing w:before="0" w:after="283"/>
              <w:jc w:val="left"/>
              <w:rPr/>
            </w:pPr>
            <w:r>
              <w:rPr/>
              <w:t>(2)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1.2</w:t>
            </w:r>
          </w:p>
        </w:tc>
        <w:tc>
          <w:tcPr>
            <w:tcW w:w="288" w:type="dxa"/>
            <w:tcBorders/>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 Director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181,135</w:t>
            </w:r>
          </w:p>
        </w:tc>
        <w:tc>
          <w:tcPr>
            <w:tcW w:w="351"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w:t>
            </w:r>
          </w:p>
        </w:tc>
        <w:tc>
          <w:tcPr>
            <w:tcW w:w="288" w:type="dxa"/>
            <w:tcBorders/>
            <w:shd w:fill="CCEEFF" w:val="clear"/>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Willem Mesdag, Director</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3,294,562</w:t>
            </w:r>
          </w:p>
        </w:tc>
        <w:tc>
          <w:tcPr>
            <w:tcW w:w="351" w:type="dxa"/>
            <w:tcBorders/>
            <w:vAlign w:val="bottom"/>
          </w:tcPr>
          <w:p>
            <w:pPr>
              <w:pStyle w:val="TableContents"/>
              <w:bidi w:val="0"/>
              <w:spacing w:before="0" w:after="283"/>
              <w:jc w:val="left"/>
              <w:rPr/>
            </w:pPr>
            <w:r>
              <w:rPr/>
              <w:t>(8)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5.9</w:t>
            </w:r>
          </w:p>
        </w:tc>
        <w:tc>
          <w:tcPr>
            <w:tcW w:w="288" w:type="dxa"/>
            <w:tcBorders/>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Ivy Ross, Director</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337,351</w:t>
            </w:r>
          </w:p>
        </w:tc>
        <w:tc>
          <w:tcPr>
            <w:tcW w:w="351"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w:t>
            </w:r>
          </w:p>
        </w:tc>
        <w:tc>
          <w:tcPr>
            <w:tcW w:w="288" w:type="dxa"/>
            <w:tcBorders/>
            <w:shd w:fill="CCEEFF" w:val="clear"/>
            <w:vAlign w:val="bottom"/>
          </w:tcPr>
          <w:p>
            <w:pPr>
              <w:pStyle w:val="TableContents"/>
              <w:bidi w:val="0"/>
              <w:spacing w:before="0" w:after="283"/>
              <w:jc w:val="left"/>
              <w:rPr/>
            </w:pPr>
            <w:r>
              <w:rPr/>
              <w:t> </w:t>
            </w:r>
          </w:p>
        </w:tc>
      </w:tr>
      <w:tr>
        <w:trPr/>
        <w:tc>
          <w:tcPr>
            <w:tcW w:w="3989" w:type="dxa"/>
            <w:tcBorders/>
          </w:tcPr>
          <w:p>
            <w:pPr>
              <w:pStyle w:val="TableContents"/>
              <w:bidi w:val="0"/>
              <w:spacing w:before="0" w:after="0"/>
              <w:jc w:val="left"/>
              <w:rPr>
                <w:rFonts w:ascii="Times New Roman" w:hAnsi="Times New Roman"/>
                <w:sz w:val="20"/>
              </w:rPr>
            </w:pPr>
            <w:r>
              <w:rPr>
                <w:rFonts w:ascii="Times New Roman" w:hAnsi="Times New Roman"/>
                <w:sz w:val="20"/>
              </w:rPr>
              <w:t>Elaine K. Rubin, Director</w:t>
            </w:r>
          </w:p>
        </w:tc>
        <w:tc>
          <w:tcPr>
            <w:tcW w:w="49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41" w:type="dxa"/>
            <w:tcBorders/>
            <w:vAlign w:val="bottom"/>
          </w:tcPr>
          <w:p>
            <w:pPr>
              <w:pStyle w:val="TableContents"/>
              <w:bidi w:val="0"/>
              <w:spacing w:before="0" w:after="283"/>
              <w:jc w:val="right"/>
              <w:rPr/>
            </w:pPr>
            <w:r>
              <w:rPr/>
              <w:t>272,647</w:t>
            </w:r>
          </w:p>
        </w:tc>
        <w:tc>
          <w:tcPr>
            <w:tcW w:w="351"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19" w:type="dxa"/>
            <w:tcBorders/>
            <w:vAlign w:val="bottom"/>
          </w:tcPr>
          <w:p>
            <w:pPr>
              <w:pStyle w:val="TableContents"/>
              <w:bidi w:val="0"/>
              <w:spacing w:before="0" w:after="283"/>
              <w:jc w:val="right"/>
              <w:rPr/>
            </w:pPr>
            <w:r>
              <w:rPr/>
              <w:t>*</w:t>
            </w:r>
          </w:p>
        </w:tc>
        <w:tc>
          <w:tcPr>
            <w:tcW w:w="288" w:type="dxa"/>
            <w:tcBorders/>
            <w:vAlign w:val="bottom"/>
          </w:tcPr>
          <w:p>
            <w:pPr>
              <w:pStyle w:val="TableContents"/>
              <w:bidi w:val="0"/>
              <w:spacing w:before="0" w:after="283"/>
              <w:jc w:val="left"/>
              <w:rPr/>
            </w:pPr>
            <w:r>
              <w:rPr/>
              <w:t> </w:t>
            </w:r>
          </w:p>
        </w:tc>
      </w:tr>
      <w:tr>
        <w:trPr/>
        <w:tc>
          <w:tcPr>
            <w:tcW w:w="39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 (13 persons)</w:t>
            </w:r>
          </w:p>
        </w:tc>
        <w:tc>
          <w:tcPr>
            <w:tcW w:w="49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41" w:type="dxa"/>
            <w:tcBorders/>
            <w:shd w:fill="CCEEFF" w:val="clear"/>
            <w:vAlign w:val="bottom"/>
          </w:tcPr>
          <w:p>
            <w:pPr>
              <w:pStyle w:val="TableContents"/>
              <w:bidi w:val="0"/>
              <w:spacing w:before="0" w:after="283"/>
              <w:jc w:val="right"/>
              <w:rPr/>
            </w:pPr>
            <w:r>
              <w:rPr/>
              <w:t>9,326,645</w:t>
            </w:r>
          </w:p>
        </w:tc>
        <w:tc>
          <w:tcPr>
            <w:tcW w:w="351" w:type="dxa"/>
            <w:tcBorders/>
            <w:shd w:fill="CCEEFF" w:val="clear"/>
            <w:vAlign w:val="bottom"/>
          </w:tcPr>
          <w:p>
            <w:pPr>
              <w:pStyle w:val="TableContents"/>
              <w:bidi w:val="0"/>
              <w:spacing w:before="0" w:after="283"/>
              <w:jc w:val="left"/>
              <w:rPr/>
            </w:pPr>
            <w:r>
              <w:rPr/>
              <w:t>(9) </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19" w:type="dxa"/>
            <w:tcBorders/>
            <w:shd w:fill="CCEEFF" w:val="clear"/>
            <w:vAlign w:val="bottom"/>
          </w:tcPr>
          <w:p>
            <w:pPr>
              <w:pStyle w:val="TableContents"/>
              <w:bidi w:val="0"/>
              <w:spacing w:before="0" w:after="283"/>
              <w:jc w:val="right"/>
              <w:rPr/>
            </w:pPr>
            <w:r>
              <w:rPr/>
              <w:t>16.1</w:t>
            </w:r>
          </w:p>
        </w:tc>
        <w:tc>
          <w:tcPr>
            <w:tcW w:w="28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3935"/>
        <w:gridCol w:w="484"/>
        <w:gridCol w:w="76"/>
        <w:gridCol w:w="1307"/>
        <w:gridCol w:w="483"/>
        <w:gridCol w:w="397"/>
        <w:gridCol w:w="92"/>
        <w:gridCol w:w="700"/>
        <w:gridCol w:w="281"/>
      </w:tblGrid>
      <w:tr>
        <w:trPr/>
        <w:tc>
          <w:tcPr>
            <w:tcW w:w="393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484" w:type="dxa"/>
            <w:tcBorders/>
            <w:vAlign w:val="bottom"/>
          </w:tcPr>
          <w:p>
            <w:pPr>
              <w:pStyle w:val="TableContents"/>
              <w:bidi w:val="0"/>
              <w:spacing w:before="0" w:after="283"/>
              <w:jc w:val="left"/>
              <w:rPr/>
            </w:pPr>
            <w:r>
              <w:rPr/>
              <w:t>  </w:t>
            </w:r>
          </w:p>
        </w:tc>
        <w:tc>
          <w:tcPr>
            <w:tcW w:w="138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Number of Shares</w:t>
              <w:br/>
              <w:t>of Common Stock</w:t>
              <w:br/>
              <w:t>Beneficially</w:t>
              <w:br/>
              <w:t>Owned</w:t>
            </w:r>
          </w:p>
        </w:tc>
        <w:tc>
          <w:tcPr>
            <w:tcW w:w="483"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792"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of</w:t>
              <w:br/>
              <w:t>Class (1)</w:t>
            </w:r>
          </w:p>
        </w:tc>
        <w:tc>
          <w:tcPr>
            <w:tcW w:w="281" w:type="dxa"/>
            <w:tcBorders/>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b/>
                <w:sz w:val="20"/>
              </w:rPr>
            </w:pPr>
            <w:r>
              <w:rPr>
                <w:rFonts w:ascii="Times New Roman" w:hAnsi="Times New Roman"/>
                <w:b/>
                <w:sz w:val="20"/>
              </w:rPr>
              <w:t>5% or Greater Stockholders:</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48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AWM Investment Company, Inc.</w:t>
            </w:r>
          </w:p>
          <w:p>
            <w:pPr>
              <w:pStyle w:val="TableContents"/>
              <w:bidi w:val="0"/>
              <w:spacing w:before="0" w:after="0"/>
              <w:jc w:val="left"/>
              <w:rPr>
                <w:rFonts w:ascii="Times New Roman" w:hAnsi="Times New Roman"/>
                <w:sz w:val="20"/>
              </w:rPr>
            </w:pPr>
            <w:r>
              <w:rPr>
                <w:rFonts w:ascii="Times New Roman" w:hAnsi="Times New Roman"/>
                <w:sz w:val="20"/>
              </w:rPr>
              <w:t>c/o Special Situations Funds</w:t>
            </w:r>
          </w:p>
          <w:p>
            <w:pPr>
              <w:pStyle w:val="TableContents"/>
              <w:bidi w:val="0"/>
              <w:spacing w:before="0" w:after="0"/>
              <w:jc w:val="left"/>
              <w:rPr>
                <w:rFonts w:ascii="Times New Roman" w:hAnsi="Times New Roman"/>
                <w:sz w:val="20"/>
              </w:rPr>
            </w:pPr>
            <w:r>
              <w:rPr>
                <w:rFonts w:ascii="Times New Roman" w:hAnsi="Times New Roman"/>
                <w:sz w:val="20"/>
              </w:rPr>
              <w:t>527 Madison Avenue, Suite 2600</w:t>
            </w:r>
          </w:p>
          <w:p>
            <w:pPr>
              <w:pStyle w:val="TableContents"/>
              <w:bidi w:val="0"/>
              <w:spacing w:before="0" w:after="20"/>
              <w:jc w:val="left"/>
              <w:rPr>
                <w:rFonts w:ascii="Times New Roman" w:hAnsi="Times New Roman"/>
                <w:sz w:val="20"/>
              </w:rPr>
            </w:pPr>
            <w:r>
              <w:rPr>
                <w:rFonts w:ascii="Times New Roman" w:hAnsi="Times New Roman"/>
                <w:sz w:val="20"/>
              </w:rPr>
              <w:t>New York, New York 10022</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9,399,297</w:t>
            </w:r>
          </w:p>
        </w:tc>
        <w:tc>
          <w:tcPr>
            <w:tcW w:w="483" w:type="dxa"/>
            <w:tcBorders/>
            <w:shd w:fill="CCEEFF" w:val="clear"/>
            <w:vAlign w:val="bottom"/>
          </w:tcPr>
          <w:p>
            <w:pPr>
              <w:pStyle w:val="TableContents"/>
              <w:bidi w:val="0"/>
              <w:spacing w:before="0" w:after="283"/>
              <w:jc w:val="left"/>
              <w:rPr/>
            </w:pPr>
            <w:r>
              <w:rPr/>
              <w:t>(10)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17.0</w:t>
            </w:r>
          </w:p>
        </w:tc>
        <w:tc>
          <w:tcPr>
            <w:tcW w:w="281" w:type="dxa"/>
            <w:tcBorders/>
            <w:shd w:fill="CCEEFF" w:val="clear"/>
            <w:vAlign w:val="bottom"/>
          </w:tcPr>
          <w:p>
            <w:pPr>
              <w:pStyle w:val="TableContents"/>
              <w:bidi w:val="0"/>
              <w:spacing w:before="0" w:after="283"/>
              <w:jc w:val="left"/>
              <w:rPr/>
            </w:pPr>
            <w:r>
              <w:rPr/>
              <w:t>% </w:t>
            </w:r>
          </w:p>
        </w:tc>
      </w:tr>
      <w:tr>
        <w:trPr/>
        <w:tc>
          <w:tcPr>
            <w:tcW w:w="3935" w:type="dxa"/>
            <w:tcBorders/>
          </w:tcPr>
          <w:p>
            <w:pPr>
              <w:pStyle w:val="TableContents"/>
              <w:bidi w:val="0"/>
              <w:spacing w:before="0" w:after="0"/>
              <w:jc w:val="left"/>
              <w:rPr>
                <w:rFonts w:ascii="Times New Roman" w:hAnsi="Times New Roman"/>
                <w:sz w:val="20"/>
              </w:rPr>
            </w:pPr>
            <w:r>
              <w:rPr>
                <w:rFonts w:ascii="Times New Roman" w:hAnsi="Times New Roman"/>
                <w:sz w:val="20"/>
              </w:rPr>
              <w:t>Fund 1 Investments, LLC</w:t>
            </w:r>
          </w:p>
          <w:p>
            <w:pPr>
              <w:pStyle w:val="TableContents"/>
              <w:bidi w:val="0"/>
              <w:spacing w:before="0" w:after="0"/>
              <w:jc w:val="left"/>
              <w:rPr>
                <w:rFonts w:ascii="Times New Roman" w:hAnsi="Times New Roman"/>
                <w:sz w:val="20"/>
              </w:rPr>
            </w:pPr>
            <w:r>
              <w:rPr>
                <w:rFonts w:ascii="Times New Roman" w:hAnsi="Times New Roman"/>
                <w:sz w:val="20"/>
              </w:rPr>
              <w:t>100 Carr 115 Unit 1900</w:t>
            </w:r>
          </w:p>
          <w:p>
            <w:pPr>
              <w:pStyle w:val="TableContents"/>
              <w:bidi w:val="0"/>
              <w:spacing w:before="0" w:after="20"/>
              <w:jc w:val="left"/>
              <w:rPr>
                <w:rFonts w:ascii="Times New Roman" w:hAnsi="Times New Roman"/>
                <w:sz w:val="20"/>
              </w:rPr>
            </w:pPr>
            <w:r>
              <w:rPr>
                <w:rFonts w:ascii="Times New Roman" w:hAnsi="Times New Roman"/>
                <w:sz w:val="20"/>
              </w:rPr>
              <w:t>Rincon, Puerto Rico 00677</w:t>
            </w:r>
          </w:p>
        </w:tc>
        <w:tc>
          <w:tcPr>
            <w:tcW w:w="48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5,758,261</w:t>
            </w:r>
          </w:p>
        </w:tc>
        <w:tc>
          <w:tcPr>
            <w:tcW w:w="483" w:type="dxa"/>
            <w:tcBorders/>
            <w:vAlign w:val="bottom"/>
          </w:tcPr>
          <w:p>
            <w:pPr>
              <w:pStyle w:val="TableContents"/>
              <w:bidi w:val="0"/>
              <w:spacing w:before="0" w:after="283"/>
              <w:jc w:val="left"/>
              <w:rPr/>
            </w:pPr>
            <w:r>
              <w:rPr/>
              <w:t>(11) </w:t>
            </w:r>
          </w:p>
        </w:tc>
        <w:tc>
          <w:tcPr>
            <w:tcW w:w="39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10.4</w:t>
            </w:r>
          </w:p>
        </w:tc>
        <w:tc>
          <w:tcPr>
            <w:tcW w:w="281" w:type="dxa"/>
            <w:tcBorders/>
            <w:vAlign w:val="bottom"/>
          </w:tcPr>
          <w:p>
            <w:pPr>
              <w:pStyle w:val="TableContents"/>
              <w:bidi w:val="0"/>
              <w:spacing w:before="0" w:after="283"/>
              <w:jc w:val="left"/>
              <w:rPr/>
            </w:pPr>
            <w:r>
              <w:rPr/>
              <w:t>% </w:t>
            </w:r>
          </w:p>
        </w:tc>
      </w:tr>
      <w:tr>
        <w:trPr/>
        <w:tc>
          <w:tcPr>
            <w:tcW w:w="39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Nantahala Capital Management, LLC</w:t>
            </w:r>
          </w:p>
          <w:p>
            <w:pPr>
              <w:pStyle w:val="TableContents"/>
              <w:bidi w:val="0"/>
              <w:spacing w:before="0" w:after="0"/>
              <w:jc w:val="left"/>
              <w:rPr>
                <w:rFonts w:ascii="Times New Roman" w:hAnsi="Times New Roman"/>
                <w:sz w:val="20"/>
              </w:rPr>
            </w:pPr>
            <w:r>
              <w:rPr>
                <w:rFonts w:ascii="Times New Roman" w:hAnsi="Times New Roman"/>
                <w:sz w:val="20"/>
              </w:rPr>
              <w:t>130 Main St., 2nd Floor</w:t>
            </w:r>
          </w:p>
          <w:p>
            <w:pPr>
              <w:pStyle w:val="TableContents"/>
              <w:bidi w:val="0"/>
              <w:spacing w:before="0" w:after="20"/>
              <w:jc w:val="left"/>
              <w:rPr>
                <w:rFonts w:ascii="Times New Roman" w:hAnsi="Times New Roman"/>
                <w:sz w:val="20"/>
              </w:rPr>
            </w:pPr>
            <w:r>
              <w:rPr>
                <w:rFonts w:ascii="Times New Roman" w:hAnsi="Times New Roman"/>
                <w:sz w:val="20"/>
              </w:rPr>
              <w:t>New Canaan, Connecticut 06840</w:t>
            </w:r>
          </w:p>
        </w:tc>
        <w:tc>
          <w:tcPr>
            <w:tcW w:w="48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4,505,000</w:t>
            </w:r>
          </w:p>
        </w:tc>
        <w:tc>
          <w:tcPr>
            <w:tcW w:w="483" w:type="dxa"/>
            <w:tcBorders/>
            <w:shd w:fill="CCEEFF" w:val="clear"/>
            <w:vAlign w:val="bottom"/>
          </w:tcPr>
          <w:p>
            <w:pPr>
              <w:pStyle w:val="TableContents"/>
              <w:bidi w:val="0"/>
              <w:spacing w:before="0" w:after="283"/>
              <w:jc w:val="left"/>
              <w:rPr/>
            </w:pPr>
            <w:r>
              <w:rPr/>
              <w:t>(12) </w:t>
            </w:r>
          </w:p>
        </w:tc>
        <w:tc>
          <w:tcPr>
            <w:tcW w:w="397"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8.2</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55,273,092 shares of our common stock outstanding as of June 15,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15,000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914,853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286,096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217,688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190,597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225,114 shares subject to stock options exercisable within 60 days.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700,804 shares of deferred stock receivable upon the earlier of Mr. Mesdag’s separation from the DXL Board or the closing of the merger. Mr. Mesdag is the president, sole executive officer, sole director and sole shareholder of Red Mountain Capital Management, Inc. Of the 2,593,758 shares owned, (i) 420,286 shares are held by the Mesdag Family Limited Partnership, (ii) 97,529 shares are held by the Mesdag Family Foundation, (iii) 44,746 shares are held by the 2012 Mesdag Trust, (iv) 1,763,373 shares are held by Red Mountain Capital Partners LLC, and (v) 267,824 shares are held by Red Mountain Capital Management Inc. Mr. Mesdag disclaims beneficial ownership of the reported securities,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2,115,120 shares subject to stock options exercisable within 60 days and 700,804 shares of deferred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4 to Schedule 13G filed February 14, 2025. AWM Investment Company, Inc. is the investment adviser to Special Situations Fund III QP, L.P. (“SSFQP”), Special Situations Cayman Fund, L.P. (“SSCF”) and Special Situations Private Equity Fund, L.P. (“SSPE,” and together with SSFQP and SSCF, “the Funds”). Of these shares (i) 5,729,930 shares are held directly by SSFQP, (ii) 1,799,797 shares are held directly by SSCF and (iii) 1,869,570 shares are held directly by SSPE. As the investment adviser to the Funds, AWM holds sole voting and investment power over these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Amendment No. 5 to Schedule 13D filed January 22, 2025, Fund 1 Investments, LLC holds sole voting power for 5,758,261 shares and sole dispositive power for 5,758,261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Schedule 13G filed November 11, 2025. Nantahala Capital Management, LLC, Wilmot B. Harkey, and Daniel Mack hold shared voting power for 4,505,000 shares and shared dispositive power for 4,505,000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6" w:name="tx76201_83"/>
      <w:bookmarkEnd w:id="86"/>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DXL files reports, proxy statements and other information with the SEC as required by the Exchange Act. You can review DXL’s electronically filed reports, proxy and information statements on the SEC’s website at </w:t>
      </w:r>
      <w:r>
        <w:rPr>
          <w:rFonts w:ascii="Times New Roman" w:hAnsi="Times New Roman"/>
          <w:i/>
          <w:sz w:val="20"/>
        </w:rPr>
        <w:t>http://www.sec.gov</w:t>
      </w:r>
      <w:r>
        <w:rPr>
          <w:rFonts w:ascii="Times New Roman" w:hAnsi="Times New Roman"/>
          <w:sz w:val="20"/>
        </w:rPr>
        <w:t xml:space="preserve"> or on DXL’s website at </w:t>
      </w:r>
      <w:r>
        <w:rPr>
          <w:rFonts w:ascii="Times New Roman" w:hAnsi="Times New Roman"/>
          <w:i/>
          <w:sz w:val="20"/>
        </w:rPr>
        <w:t>https://investor.dxl.com</w:t>
      </w:r>
      <w:r>
        <w:rPr>
          <w:rFonts w:ascii="Times New Roman" w:hAnsi="Times New Roman"/>
          <w:sz w:val="20"/>
        </w:rPr>
        <w:t xml:space="preserve">. Information included on DXL’s website is not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proxy statement or on information to which DXL has referred you. DXL has not authorized anyone else to provide you with any information. DXL provided the information concerning DXL, and FBB provided the information concerning FBB, appearing in this proxy statement. </w:t>
      </w:r>
    </w:p>
    <w:p>
      <w:pPr>
        <w:pStyle w:val="TextBody"/>
        <w:bidi w:val="0"/>
        <w:spacing w:before="480" w:after="0"/>
        <w:jc w:val="center"/>
        <w:rPr>
          <w:rFonts w:ascii="Times New Roman" w:hAnsi="Times New Roman"/>
          <w:b/>
          <w:sz w:val="20"/>
        </w:rPr>
      </w:pPr>
      <w:bookmarkStart w:id="87" w:name="tx76201_84"/>
      <w:bookmarkEnd w:id="87"/>
      <w:r>
        <w:rPr>
          <w:rFonts w:ascii="Times New Roman" w:hAnsi="Times New Roman"/>
          <w:b/>
          <w:sz w:val="20"/>
        </w:rPr>
        <w:t xml:space="preserve">HOUSEHOLDING </w:t>
      </w:r>
    </w:p>
    <w:p>
      <w:pPr>
        <w:pStyle w:val="TextBody"/>
        <w:bidi w:val="0"/>
        <w:spacing w:before="240" w:after="0"/>
        <w:jc w:val="left"/>
        <w:rPr>
          <w:rFonts w:ascii="Times New Roman" w:hAnsi="Times New Roman"/>
          <w:sz w:val="20"/>
        </w:rPr>
      </w:pPr>
      <w:r>
        <w:rPr>
          <w:rFonts w:ascii="Times New Roman" w:hAnsi="Times New Roman"/>
          <w:sz w:val="20"/>
        </w:rPr>
        <w:t xml:space="preserve">DXL has adopted a procedure called “householding,” which the SEC has approved. Under this procedure, stockholders of record who have the same address and last name and did not receive the proxy materials electronically will receive only one copy of the proxy materials unless DXL receives contrary instructions from one or more of such stockholders. Upon oral or written request, DXL will deliver promptly a separate copy of the proxy materials to a stockholder at a shared address to which a single copy of the proxy materials was delivered. If you are a stockholder of record at a shared address to which DXL delivered a single copy of the proxy materials and you desire to receive a separate copy of the proxy materials for the special meeting or for DXL’s future meetings, or if you are a stockholder at a shared address to which DXL delivered multiple copies of the proxy materials and you desire to receive one copy in the future, please submit your request to EQ, LLC at P.O. Box 500, Newark, New Jersey, 07101, by telephone at (800) 937-5449. If you are a beneficial stockholder, please contact your bank, broker or other nominee directly if you have questions, require additional copies of the proxy materials, wish to receive multiple reports by revoking your consent to householding or wish to request single copies of the proxy materials in the future. </w:t>
      </w:r>
    </w:p>
    <w:p>
      <w:pPr>
        <w:pStyle w:val="TextBody"/>
        <w:bidi w:val="0"/>
        <w:spacing w:before="480" w:after="0"/>
        <w:jc w:val="center"/>
        <w:rPr>
          <w:rFonts w:ascii="Times New Roman" w:hAnsi="Times New Roman"/>
          <w:b/>
          <w:sz w:val="20"/>
        </w:rPr>
      </w:pPr>
      <w:bookmarkStart w:id="88" w:name="tx76201_85"/>
      <w:bookmarkEnd w:id="88"/>
      <w:r>
        <w:rPr>
          <w:rFonts w:ascii="Times New Roman" w:hAnsi="Times New Roman"/>
          <w:b/>
          <w:sz w:val="20"/>
        </w:rPr>
        <w:t xml:space="preserve">FUTURE STOCKHOLDER PROPOSALS </w:t>
      </w:r>
    </w:p>
    <w:p>
      <w:pPr>
        <w:pStyle w:val="TextBody"/>
        <w:bidi w:val="0"/>
        <w:spacing w:before="240" w:after="0"/>
        <w:jc w:val="left"/>
        <w:rPr>
          <w:rFonts w:ascii="Times New Roman" w:hAnsi="Times New Roman"/>
          <w:b/>
          <w:sz w:val="20"/>
        </w:rPr>
      </w:pPr>
      <w:r>
        <w:rPr>
          <w:rFonts w:ascii="Times New Roman" w:hAnsi="Times New Roman"/>
          <w:b/>
          <w:sz w:val="20"/>
        </w:rPr>
        <w:t xml:space="preserve">Requirements for Stockholder Proposals to be Considered for Inclusion in DXL’s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Rule 14a-8 of the Exchange Act, to be considered for inclusion in DXL’s proxy statement and proxy card for the DXL 2026 Annual Meeting of Stockholders (the “2026 Annual Meeting”), stockholder proposals must have been received by DXL’s corporate secretary at DXL’s principal executive offices by March 2, 2026,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As the March 2, 2026 deadline has now passed, any proposal received after March 2, 2026 will not be considered for inclusion in DXL’s proxy statement for the 2026 Annual Meeting, unless the date of the 2026 Annual Meeting is accelerated or delayed by more than 30 days from August 7, 2026, in which case the deadline for submission of the stockholder proposal is a reasonable time before DXL begins to print and disseminate its definitive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Stockholder Proposals to be Brought Before an Annual Meeting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that any stockholder proposal (including director nominations) that is not submitted for inclusion in next year’s proxy statement under Rule 14a-8, but is instead sought to be presented directly at the 2026 Annual Meeting, must be delivered to DXL’s principal executive offices no earlier than the close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on the 120th day and no later than the close of business on the 90th day prior to the anniversary date of the immediately preceding annual meeting (the “Anniversary Date”). Accordingly, to submit any such proposal, DXL stockholders must submit the required notice no earlier than the close of business on April 9, 2026, and no later than the close of business on May 8, 2026, except as described above. In each case, the notice must include the information specified in the By-Laws. </w:t>
      </w:r>
    </w:p>
    <w:p>
      <w:pPr>
        <w:pStyle w:val="TextBody"/>
        <w:bidi w:val="0"/>
        <w:spacing w:before="240" w:after="0"/>
        <w:jc w:val="left"/>
        <w:rPr>
          <w:rFonts w:ascii="Times New Roman" w:hAnsi="Times New Roman"/>
          <w:sz w:val="20"/>
        </w:rPr>
      </w:pPr>
      <w:r>
        <w:rPr>
          <w:rFonts w:ascii="Times New Roman" w:hAnsi="Times New Roman"/>
          <w:sz w:val="20"/>
        </w:rPr>
        <w:t xml:space="preserve">If the 2026 Annual Meeting is held more than 30 days before or more than 60 days after the Anniversary Date, notice must be delivered no later than the close of business on the later of the 90th day prior to the 2026 Annual Meeting or the 10th day after the date on which a public announcement of the date of the 2026 Annual Meeting is first made by DXL. </w:t>
      </w:r>
    </w:p>
    <w:p>
      <w:pPr>
        <w:pStyle w:val="TextBody"/>
        <w:bidi w:val="0"/>
        <w:spacing w:before="240" w:after="0"/>
        <w:jc w:val="left"/>
        <w:rPr>
          <w:rFonts w:ascii="Times New Roman" w:hAnsi="Times New Roman"/>
          <w:sz w:val="20"/>
        </w:rPr>
      </w:pPr>
      <w:r>
        <w:rPr>
          <w:rFonts w:ascii="Times New Roman" w:hAnsi="Times New Roman"/>
          <w:sz w:val="20"/>
        </w:rPr>
        <w:t xml:space="preserve">The By-Laws also provide that for business to be properly brought before an annual meeting of stockholders (or any special meeting), a stockholder must: (i) give timely written notice to the DXL corporate secretary describing any proposal to be brought before such meeting; and (ii) be present at such annual meeting, either in person or by a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order for stockholders to give timely notice of nominations for directors for inclusion on a universal proxy card in connection with the 2026 Annual Meeting, notice must be submitted by the same deadline as disclosed above under the advance notice provisions of the By-Laws, and must include all information required by the By-Laws and by Rule 14a-19(b)(2) and Rule 14a-19(b)(3)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procedural requirements for submitting stockholder proposals and director nominations are fully set forth in Section 3.13 of the By-Laws. Copies of the By-Laws are available upon request from the corporate secretary at the DXL principal executive offices. </w:t>
      </w:r>
    </w:p>
    <w:p>
      <w:pPr>
        <w:pStyle w:val="TextBody"/>
        <w:bidi w:val="0"/>
        <w:spacing w:before="480" w:after="0"/>
        <w:jc w:val="center"/>
        <w:rPr>
          <w:rFonts w:ascii="Times New Roman" w:hAnsi="Times New Roman"/>
          <w:b/>
          <w:sz w:val="20"/>
        </w:rPr>
      </w:pPr>
      <w:bookmarkStart w:id="89" w:name="tx76201_86"/>
      <w:bookmarkEnd w:id="89"/>
      <w:r>
        <w:rPr>
          <w:rFonts w:ascii="Times New Roman" w:hAnsi="Times New Roman"/>
          <w:b/>
          <w:sz w:val="20"/>
        </w:rPr>
        <w:t xml:space="preserve">INFORMATION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Certain information has been “incorporated by reference” into this proxy statement, which means that DXL has disclosed important information to you by referring you to another document filed separately with the SEC. The documents incorporated by reference into this proxy statement contain important information that you should read about DXL.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documents are incorporated by reference into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January 31, 2026 as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Annual Report on </w:t>
            </w:r>
            <w:hyperlink r:id="rId5">
              <w:r>
                <w:rPr>
                  <w:rStyle w:val="InternetLink"/>
                  <w:rFonts w:ascii="Times New Roman" w:hAnsi="Times New Roman"/>
                  <w:sz w:val="20"/>
                </w:rPr>
                <w:t>Form 10-K/A</w:t>
              </w:r>
            </w:hyperlink>
            <w:r>
              <w:rPr>
                <w:rFonts w:ascii="Times New Roman" w:hAnsi="Times New Roman"/>
                <w:sz w:val="20"/>
              </w:rPr>
              <w:t xml:space="preserve"> for the year ended January 31, 2026 as filed with the SEC on May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pPr>
            <w:r>
              <w:rPr>
                <w:rFonts w:ascii="Times New Roman" w:hAnsi="Times New Roman"/>
                <w:sz w:val="20"/>
              </w:rPr>
              <w:t xml:space="preserve">DXL’s 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 ended May 2, 2026 as filed with the SEC on June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DXL’s Current Reports on Form 8-K as filed with the SEC on </w:t>
            </w:r>
            <w:hyperlink r:id="rId7">
              <w:r>
                <w:rPr>
                  <w:rStyle w:val="InternetLink"/>
                  <w:rFonts w:ascii="Times New Roman" w:hAnsi="Times New Roman"/>
                  <w:sz w:val="20"/>
                </w:rPr>
                <w:t>February 6, 2026</w:t>
              </w:r>
            </w:hyperlink>
            <w:r>
              <w:rPr>
                <w:rFonts w:ascii="Times New Roman" w:hAnsi="Times New Roman"/>
                <w:sz w:val="20"/>
              </w:rPr>
              <w:t xml:space="preserve"> and </w:t>
            </w:r>
            <w:hyperlink r:id="rId8">
              <w:r>
                <w:rPr>
                  <w:rStyle w:val="InternetLink"/>
                  <w:rFonts w:ascii="Times New Roman" w:hAnsi="Times New Roman"/>
                  <w:sz w:val="20"/>
                </w:rPr>
                <w:t>May 15,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description of DXL’s common stock contained in its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with the SEC on September 7, 2021, including all amendments and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any information contained in any report on Form 8-K, or any exhibit thereto, was furnished to, rather than filed with, the SEC by DXL, such information or exhibit is specifically not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that DXL subsequently files pursuant to Sections 13(a), 13(c), 14 or 15(d) of the Exchange Act, after the date of this proxy statement and prior to the special meeting will be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incorporated by reference into this proxy statement and to be part of this proxy statement from the date of the filing of such reports and documents.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Documents incorporated by reference are also available, without charge. You may obtain documents incorporated by reference in this proxy statement by requesting them by telephone or in writing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sz w:val="20"/>
        </w:rPr>
        <w:t xml:space="preserve">c/o Secretary </w:t>
      </w:r>
    </w:p>
    <w:p>
      <w:pPr>
        <w:pStyle w:val="TextBody"/>
        <w:bidi w:val="0"/>
        <w:spacing w:before="0" w:after="0"/>
        <w:jc w:val="center"/>
        <w:rPr>
          <w:rFonts w:ascii="Times New Roman" w:hAnsi="Times New Roman"/>
          <w:sz w:val="20"/>
        </w:rPr>
      </w:pPr>
      <w:r>
        <w:rPr>
          <w:rFonts w:ascii="Times New Roman" w:hAnsi="Times New Roman"/>
          <w:sz w:val="20"/>
        </w:rPr>
        <w:t xml:space="preserve">555 Turnpike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Massachusetts 02021 </w:t>
      </w:r>
    </w:p>
    <w:p>
      <w:pPr>
        <w:pStyle w:val="TextBody"/>
        <w:bidi w:val="0"/>
        <w:spacing w:before="0" w:after="0"/>
        <w:jc w:val="center"/>
        <w:rPr>
          <w:rFonts w:ascii="Times New Roman" w:hAnsi="Times New Roman"/>
          <w:sz w:val="20"/>
        </w:rPr>
      </w:pPr>
      <w:r>
        <w:rPr>
          <w:rFonts w:ascii="Times New Roman" w:hAnsi="Times New Roman"/>
          <w:sz w:val="20"/>
        </w:rPr>
        <w:t xml:space="preserve">Tel: (781) 828-9300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investor.relations@dxlg.com </w:t>
      </w:r>
    </w:p>
    <w:p>
      <w:pPr>
        <w:pStyle w:val="TextBody"/>
        <w:bidi w:val="0"/>
        <w:spacing w:before="480" w:after="0"/>
        <w:jc w:val="center"/>
        <w:rPr>
          <w:rFonts w:ascii="Times New Roman" w:hAnsi="Times New Roman"/>
          <w:b/>
          <w:sz w:val="20"/>
        </w:rPr>
      </w:pPr>
      <w:bookmarkStart w:id="90" w:name="tx76201_87"/>
      <w:bookmarkEnd w:id="90"/>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You may vote by submitting a proxy via the Internet or by telephone, as specified in the Internet and telephone voting instructions on your proxy card, returning your proxy card using the postage prepaid envelope provided, or attending the special meeting and voting at the meeting. If you have any questions about this proxy statement, the special meeting or the merger or need assistance with voting procedures, you should contact: </w:t>
      </w:r>
    </w:p>
    <w:p>
      <w:pPr>
        <w:pStyle w:val="TextBody"/>
        <w:bidi w:val="0"/>
        <w:spacing w:before="240" w:after="0"/>
        <w:jc w:val="center"/>
        <w:rPr>
          <w:rFonts w:ascii="Times New Roman" w:hAnsi="Times New Roman"/>
          <w:sz w:val="20"/>
        </w:rPr>
      </w:pPr>
      <w:r>
        <w:rPr>
          <w:rFonts w:ascii="Times New Roman" w:hAnsi="Times New Roman"/>
          <w:sz w:val="20"/>
        </w:rPr>
        <w:t xml:space="preserve">MacKenzie Partners, Inc. </w:t>
      </w:r>
    </w:p>
    <w:p>
      <w:pPr>
        <w:pStyle w:val="TextBody"/>
        <w:bidi w:val="0"/>
        <w:spacing w:before="0" w:after="0"/>
        <w:jc w:val="center"/>
        <w:rPr>
          <w:rFonts w:ascii="Times New Roman" w:hAnsi="Times New Roman"/>
          <w:sz w:val="20"/>
        </w:rPr>
      </w:pPr>
      <w:r>
        <w:rPr>
          <w:rFonts w:ascii="Times New Roman" w:hAnsi="Times New Roman"/>
          <w:sz w:val="20"/>
        </w:rPr>
        <w:t xml:space="preserve">7 Penn Plaza, Suite 503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center"/>
        <w:rPr>
          <w:rFonts w:ascii="Times New Roman" w:hAnsi="Times New Roman"/>
          <w:sz w:val="20"/>
        </w:rPr>
      </w:pPr>
      <w:r>
        <w:rPr>
          <w:rFonts w:ascii="Times New Roman" w:hAnsi="Times New Roman"/>
          <w:sz w:val="20"/>
        </w:rPr>
        <w:t xml:space="preserve">Tel (for stockholders): (800) 322-2885 </w:t>
      </w:r>
    </w:p>
    <w:p>
      <w:pPr>
        <w:pStyle w:val="TextBody"/>
        <w:bidi w:val="0"/>
        <w:spacing w:before="0" w:after="0"/>
        <w:jc w:val="center"/>
        <w:rPr>
          <w:rFonts w:ascii="Times New Roman" w:hAnsi="Times New Roman"/>
          <w:sz w:val="20"/>
        </w:rPr>
      </w:pPr>
      <w:r>
        <w:rPr>
          <w:rFonts w:ascii="Times New Roman" w:hAnsi="Times New Roman"/>
          <w:sz w:val="20"/>
        </w:rPr>
        <w:t xml:space="preserve">Tel (for banks or brokers): (212) 929-5500 </w:t>
      </w:r>
    </w:p>
    <w:p>
      <w:pPr>
        <w:pStyle w:val="TextBody"/>
        <w:bidi w:val="0"/>
        <w:spacing w:before="0" w:after="0"/>
        <w:jc w:val="center"/>
        <w:rPr>
          <w:rFonts w:ascii="Times New Roman" w:hAnsi="Times New Roman"/>
          <w:sz w:val="20"/>
        </w:rPr>
      </w:pPr>
      <w:r>
        <w:rPr>
          <w:rFonts w:ascii="Times New Roman" w:hAnsi="Times New Roman"/>
          <w:sz w:val="20"/>
        </w:rPr>
        <w:t xml:space="preserve">E-Mail: proxy@mackenziepartners.com </w:t>
      </w:r>
    </w:p>
    <w:p>
      <w:pPr>
        <w:pStyle w:val="TextBody"/>
        <w:bidi w:val="0"/>
        <w:spacing w:before="240" w:after="0"/>
        <w:jc w:val="left"/>
        <w:rPr>
          <w:rFonts w:ascii="Times New Roman" w:hAnsi="Times New Roman"/>
          <w:sz w:val="20"/>
        </w:rPr>
      </w:pPr>
      <w:r>
        <w:rPr>
          <w:rFonts w:ascii="Times New Roman" w:hAnsi="Times New Roman"/>
          <w:sz w:val="20"/>
        </w:rPr>
        <w:t xml:space="preserve">Please note, however, that if your shares are held of record by a brokerage firm, bank, trust or other nominee and you wish to vote at the special meeting, you must instruct the brokerage firm, bank, trust or other nominee how to vote your shares or obtain a proxy issued in your name from that record holder.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 </w:t>
      </w:r>
    </w:p>
    <w:p>
      <w:pPr>
        <w:pStyle w:val="TextBody"/>
        <w:bidi w:val="0"/>
        <w:spacing w:before="240" w:after="0"/>
        <w:jc w:val="left"/>
        <w:rPr>
          <w:rFonts w:ascii="Times New Roman" w:hAnsi="Times New Roman"/>
          <w:sz w:val="20"/>
        </w:rPr>
      </w:pPr>
      <w:r>
        <w:rPr>
          <w:rFonts w:ascii="Times New Roman" w:hAnsi="Times New Roman"/>
          <w:sz w:val="20"/>
        </w:rPr>
        <w:t xml:space="preserve">DXL HAS NOT AUTHORIZED ANYONE TO GIVE YOU ANY INFORMATION OR TO MAKE ANY REPRESENTATION ABOUT THE PROPOSED MERGER OR DXL THAT IS DIFFERENT FROM OR ADDS TO THE INFORMATION CONTAINED IN THIS PROXY STATEMENT OR IN THE DOCUMENTS DXL HAS PUBLICLY FILED WITH THE SEC. DXL IS NOT RESPONSIBLE FOR, AND CAN PROVIDE NO ASSURANCES AS TO THE RELIABILITY OF, ANY INFORMATION OTHER THAN THE INFORMATION CONTAINED OR INCORPORATED BY REFERENCE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 w:after="0"/>
        <w:jc w:val="center"/>
        <w:rPr>
          <w:rFonts w:ascii="Times New Roman" w:hAnsi="Times New Roman"/>
          <w:b/>
          <w:sz w:val="20"/>
        </w:rPr>
      </w:pPr>
      <w:bookmarkStart w:id="91" w:name="tx76201_88"/>
      <w:bookmarkEnd w:id="91"/>
      <w:r>
        <w:rPr>
          <w:rFonts w:ascii="Times New Roman" w:hAnsi="Times New Roman"/>
          <w:b/>
          <w:sz w:val="20"/>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3">
              <w:r>
                <w:rPr>
                  <w:rStyle w:val="InternetLink"/>
                  <w:rFonts w:ascii="Times New Roman" w:hAnsi="Times New Roman"/>
                  <w:sz w:val="20"/>
                </w:rPr>
                <w:t>Independent Auditor’s Report</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4">
              <w:r>
                <w:rPr>
                  <w:rStyle w:val="InternetLink"/>
                  <w:rFonts w:ascii="Times New Roman" w:hAnsi="Times New Roman"/>
                  <w:sz w:val="20"/>
                </w:rPr>
                <w:t>Consolidated Balance Sheets as of January 3, 2026 and December  28,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5">
              <w:r>
                <w:rPr>
                  <w:rStyle w:val="InternetLink"/>
                  <w:rFonts w:ascii="Times New Roman" w:hAnsi="Times New Roman"/>
                  <w:sz w:val="20"/>
                </w:rPr>
                <w:t>Consolidated Statements of Operations and Comprehensive (Loss) Income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6">
              <w:r>
                <w:rPr>
                  <w:rStyle w:val="InternetLink"/>
                  <w:rFonts w:ascii="Times New Roman" w:hAnsi="Times New Roman"/>
                  <w:sz w:val="20"/>
                </w:rPr>
                <w:t>Consolidated Statements of Convertible Preferred Stock and Stockholders’ (Deficit) Equity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7">
              <w:r>
                <w:rPr>
                  <w:rStyle w:val="InternetLink"/>
                  <w:rFonts w:ascii="Times New Roman" w:hAnsi="Times New Roman"/>
                  <w:sz w:val="20"/>
                </w:rPr>
                <w:t>Consolidated Statements of Cash Flows for the years ended January  3, 2026, December 28, 2024 and December 30,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tx76201_98">
              <w:r>
                <w:rPr>
                  <w:rStyle w:val="InternetLink"/>
                  <w:rFonts w:ascii="Times New Roman" w:hAnsi="Times New Roman"/>
                  <w:sz w:val="20"/>
                </w:rPr>
                <w:t>Notes to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Unaudited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99">
              <w:r>
                <w:rPr>
                  <w:rStyle w:val="InternetLink"/>
                  <w:rFonts w:ascii="Times New Roman" w:hAnsi="Times New Roman"/>
                  <w:sz w:val="20"/>
                </w:rPr>
                <w:t>Condensed Consolidated Balance Sheets as of April 4, 2026 and January 3, 2026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F-31</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0">
              <w:r>
                <w:rPr>
                  <w:rStyle w:val="InternetLink"/>
                  <w:rFonts w:ascii="Times New Roman" w:hAnsi="Times New Roman"/>
                  <w:sz w:val="20"/>
                </w:rPr>
                <w:t>Condensed Consolidated Statements of Operations and Comprehensive Loss for the Thirteen Weeks</w:t>
              </w:r>
            </w:hyperlink>
          </w:p>
          <w:p>
            <w:pPr>
              <w:pStyle w:val="TableContents"/>
              <w:bidi w:val="0"/>
              <w:spacing w:before="0" w:after="20"/>
              <w:jc w:val="left"/>
              <w:rPr/>
            </w:pPr>
            <w:hyperlink w:anchor="fin76201_100">
              <w:r>
                <w:rPr>
                  <w:rStyle w:val="InternetLink"/>
                  <w:rFonts w:ascii="Times New Roman" w:hAnsi="Times New Roman"/>
                  <w:sz w:val="20"/>
                </w:rPr>
                <w:t>ended April 4, 2026 and 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F-32</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1">
              <w:r>
                <w:rPr>
                  <w:rStyle w:val="InternetLink"/>
                  <w:rFonts w:ascii="Times New Roman" w:hAnsi="Times New Roman"/>
                  <w:sz w:val="20"/>
                </w:rPr>
                <w:t>Condensed Consolidated Statements of Convertible Preferred Stock and Stockholders’ (Deficit) Equity for the Thirteen Weeks ended April 4, 2026 and 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F-33</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2">
              <w:r>
                <w:rPr>
                  <w:rStyle w:val="InternetLink"/>
                  <w:rFonts w:ascii="Times New Roman" w:hAnsi="Times New Roman"/>
                  <w:sz w:val="20"/>
                </w:rPr>
                <w:t>Condensed Consolidated Statements of Cash Flows for the Thirteen Weeks ended April 4, 2026 and</w:t>
              </w:r>
            </w:hyperlink>
          </w:p>
          <w:p>
            <w:pPr>
              <w:pStyle w:val="TableContents"/>
              <w:bidi w:val="0"/>
              <w:spacing w:before="0" w:after="20"/>
              <w:jc w:val="left"/>
              <w:rPr/>
            </w:pPr>
            <w:hyperlink w:anchor="fin76201_102">
              <w:r>
                <w:rPr>
                  <w:rStyle w:val="InternetLink"/>
                  <w:rFonts w:ascii="Times New Roman" w:hAnsi="Times New Roman"/>
                  <w:sz w:val="20"/>
                </w:rPr>
                <w:t>March 29, 2025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F-34</w:t>
            </w:r>
          </w:p>
        </w:tc>
        <w:tc>
          <w:tcPr>
            <w:tcW w:w="62" w:type="dxa"/>
            <w:tcBorders/>
            <w:vAlign w:val="bottom"/>
          </w:tcPr>
          <w:p>
            <w:pPr>
              <w:pStyle w:val="TableContents"/>
              <w:bidi w:val="0"/>
              <w:spacing w:before="0" w:after="283"/>
              <w:jc w:val="left"/>
              <w:rPr/>
            </w:pPr>
            <w:r>
              <w:rPr/>
              <w:t> </w:t>
            </w:r>
          </w:p>
        </w:tc>
      </w:tr>
      <w:tr>
        <w:trPr>
          <w:trHeight w:val="12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0"/>
              <w:jc w:val="left"/>
              <w:rPr/>
            </w:pPr>
            <w:hyperlink w:anchor="fin76201_103">
              <w:r>
                <w:rPr>
                  <w:rStyle w:val="InternetLink"/>
                  <w:rFonts w:ascii="Times New Roman" w:hAnsi="Times New Roman"/>
                  <w:sz w:val="20"/>
                </w:rPr>
                <w:t>Notes to the Condensed Consolidated Financial Statements (unaudited)</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2" w:name="tx76201_93"/>
      <w:bookmarkEnd w:id="92"/>
      <w:r>
        <w:rPr>
          <w:rFonts w:ascii="Times New Roman" w:hAnsi="Times New Roman"/>
          <w:b/>
          <w:sz w:val="20"/>
        </w:rPr>
        <w:t xml:space="preserve">INDEPENDENT AUDITOR’S REPORT </w:t>
      </w:r>
    </w:p>
    <w:p>
      <w:pPr>
        <w:pStyle w:val="TextBody"/>
        <w:bidi w:val="0"/>
        <w:spacing w:before="120" w:after="0"/>
        <w:jc w:val="left"/>
        <w:rPr>
          <w:rFonts w:ascii="Times New Roman" w:hAnsi="Times New Roman"/>
          <w:sz w:val="20"/>
        </w:rPr>
      </w:pPr>
      <w:r>
        <w:rPr>
          <w:rFonts w:ascii="Times New Roman" w:hAnsi="Times New Roman"/>
          <w:sz w:val="20"/>
        </w:rPr>
        <w:t xml:space="preserve">To the Board of Directors of FBB Holdings I,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FBB Holdings I, Inc. and subsidiaries (the “Company”), which comprise the consolidated balance sheets as of January 3, 2026 and December 28, 2024, the related consolidated statements of operations and comprehensive (loss) income, convertible preferred stock and stockholders’ (deficit) equity, and cash flows for each of the three years in the period ended January 3, 2026, and the related notes to the consolidated financial statements (collectively referred to as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financial statements present fairly, in all material respects, the financial position of the Company as of January 3, 2026 and December 28, 2024, and the results of its operations and its cash flows for each of the three years in the period ended January 3, 2026 in accordance with accounting principles generally accepted in the United States of America.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Substantial Doubt About the Company’s Ability to Continue as a 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As discussed in Note 1 to the financial statements, at January 3, 2026, the Company is not in compliance with certain covenants of its long-term loan agreement, does not have sufficient capital to repay such loans, if they become due, and has stated that substantial doubt exists about its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 </w:t>
      </w:r>
    </w:p>
    <w:p>
      <w:pPr>
        <w:pStyle w:val="TextBody"/>
        <w:bidi w:val="0"/>
        <w:spacing w:before="360" w:after="0"/>
        <w:jc w:val="left"/>
        <w:rPr>
          <w:rFonts w:ascii="Times New Roman" w:hAnsi="Times New Roman"/>
          <w:b/>
          <w:sz w:val="20"/>
        </w:rPr>
      </w:pPr>
      <w:r>
        <w:rPr>
          <w:rFonts w:ascii="Times New Roman" w:hAnsi="Times New Roman"/>
          <w:b/>
          <w:sz w:val="20"/>
        </w:rPr>
        <w:t xml:space="preserve">Auditor’s Responsibilities for the Audit of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Our objectives are to obtain reasonable assurance about whether the financial statements as a whole are free from material misstatement, whether due to fraud or error, and to issue an auditor’s report that includes our opinion.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control-related matters that we identified during the audit.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April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3" w:name="tx76201_94"/>
      <w:bookmarkEnd w:id="93"/>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January 3, 2026 and December 28, 2024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38"/>
        <w:gridCol w:w="217"/>
        <w:gridCol w:w="153"/>
        <w:gridCol w:w="984"/>
        <w:gridCol w:w="155"/>
        <w:gridCol w:w="178"/>
        <w:gridCol w:w="198"/>
        <w:gridCol w:w="1224"/>
        <w:gridCol w:w="158"/>
      </w:tblGrid>
      <w:tr>
        <w:trPr/>
        <w:tc>
          <w:tcPr>
            <w:tcW w:w="693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3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38,308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4,096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5,580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117,174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123,611</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19,476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15,680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152,077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183,179</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31,884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34,682</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28,560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36,425</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131,064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139,651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10,108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495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570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17,859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27,632</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283"/>
              <w:jc w:val="left"/>
              <w:rPr>
                <w:b/>
              </w:rPr>
            </w:pPr>
            <w:r>
              <w:rPr>
                <w:b/>
              </w:rPr>
              <w:t>LIABILITIES, CONVERTIBLE PREFERRED STOCK AND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984" w:type="dxa"/>
            <w:tcBorders/>
            <w:shd w:fill="CCEEFF" w:val="clear"/>
            <w:vAlign w:val="bottom"/>
          </w:tcPr>
          <w:p>
            <w:pPr>
              <w:pStyle w:val="TableContents"/>
              <w:bidi w:val="0"/>
              <w:spacing w:before="0" w:after="283"/>
              <w:jc w:val="right"/>
              <w:rPr/>
            </w:pPr>
            <w:r>
              <w:rPr/>
              <w:t>47,128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1224" w:type="dxa"/>
            <w:tcBorders/>
            <w:shd w:fill="CCEEFF" w:val="clear"/>
            <w:vAlign w:val="bottom"/>
          </w:tcPr>
          <w:p>
            <w:pPr>
              <w:pStyle w:val="TableContents"/>
              <w:bidi w:val="0"/>
              <w:spacing w:before="0" w:after="283"/>
              <w:jc w:val="right"/>
              <w:rPr/>
            </w:pPr>
            <w:r>
              <w:rPr/>
              <w:t>44,147</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$2,508 and $2,731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47,961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55,614</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8,104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8,153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7,000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7,000</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110,193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114,914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 (includes $0 and $178 to related parties,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3,618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2,311</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(includes $203,710 and $205,347 to related parties, respectively)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245,857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247,833</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23,572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31,396</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383,240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396,454</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283"/>
              <w:jc w:val="left"/>
              <w:rPr/>
            </w:pPr>
            <w:r>
              <w:rPr/>
              <w:t>COMMITMENTS AND CONTINGENCIES (See Note 16)</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9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22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938" w:type="dxa"/>
            <w:tcBorders/>
            <w:shd w:fill="CCEEFF" w:val="clear"/>
          </w:tcPr>
          <w:p>
            <w:pPr>
              <w:pStyle w:val="TableContents"/>
              <w:bidi w:val="0"/>
              <w:spacing w:before="0" w:after="283"/>
              <w:jc w:val="left"/>
              <w:rPr/>
            </w:pPr>
            <w:r>
              <w:rPr/>
              <w:t>CONVERTIBLE PREFERRED STOCK:</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73 shares issued and outstanding at January 3, 2026 and December 28, 2024, respectively)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31,205</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9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1,174 shares issued and outstanding at January 3, 2026 and December 28, 2024)</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203,614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194,120</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(189,542</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(deficit) equity</w:t>
            </w:r>
          </w:p>
        </w:tc>
        <w:tc>
          <w:tcPr>
            <w:tcW w:w="217"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(43,013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4,588</w:t>
            </w:r>
          </w:p>
        </w:tc>
        <w:tc>
          <w:tcPr>
            <w:tcW w:w="158" w:type="dxa"/>
            <w:tcBorders/>
            <w:shd w:fill="CCEEFF" w:val="clear"/>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9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122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3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 EQUITY</w:t>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361,939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432,247</w:t>
            </w:r>
          </w:p>
        </w:tc>
        <w:tc>
          <w:tcPr>
            <w:tcW w:w="158" w:type="dxa"/>
            <w:tcBorders/>
            <w:vAlign w:val="bottom"/>
          </w:tcPr>
          <w:p>
            <w:pPr>
              <w:pStyle w:val="TableContents"/>
              <w:bidi w:val="0"/>
              <w:spacing w:before="0" w:after="283"/>
              <w:jc w:val="left"/>
              <w:rPr/>
            </w:pPr>
            <w:r>
              <w:rPr/>
              <w:t> </w:t>
            </w:r>
          </w:p>
        </w:tc>
      </w:tr>
      <w:tr>
        <w:trPr/>
        <w:tc>
          <w:tcPr>
            <w:tcW w:w="693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9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double" w:sz="6" w:space="1" w:color="000000"/>
              </w:pBdr>
              <w:bidi w:val="0"/>
              <w:spacing w:before="0" w:after="0"/>
              <w:jc w:val="left"/>
              <w:rPr/>
            </w:pPr>
            <w:r>
              <w:rPr/>
              <w:t> </w:t>
            </w:r>
          </w:p>
        </w:tc>
        <w:tc>
          <w:tcPr>
            <w:tcW w:w="122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4" w:name="tx76201_95"/>
      <w:bookmarkEnd w:id="94"/>
      <w:r>
        <w:rPr>
          <w:rFonts w:ascii="Times New Roman" w:hAnsi="Times New Roman"/>
          <w:b/>
          <w:sz w:val="20"/>
        </w:rPr>
        <w:t xml:space="preserve">CONSOLIDATED STATEMENTS OF OPERATIONS and COMPREHENSIVE (LOSS) INCOME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68"/>
        <w:gridCol w:w="257"/>
        <w:gridCol w:w="166"/>
        <w:gridCol w:w="959"/>
        <w:gridCol w:w="155"/>
        <w:gridCol w:w="210"/>
        <w:gridCol w:w="218"/>
        <w:gridCol w:w="1214"/>
        <w:gridCol w:w="155"/>
        <w:gridCol w:w="210"/>
        <w:gridCol w:w="218"/>
        <w:gridCol w:w="1214"/>
        <w:gridCol w:w="161"/>
      </w:tblGrid>
      <w:tr>
        <w:trPr/>
        <w:tc>
          <w:tcPr>
            <w:tcW w:w="5068"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68"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720,332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805,097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214" w:type="dxa"/>
            <w:tcBorders/>
            <w:shd w:fill="CCEEFF" w:val="clear"/>
            <w:vAlign w:val="bottom"/>
          </w:tcPr>
          <w:p>
            <w:pPr>
              <w:pStyle w:val="TableContents"/>
              <w:bidi w:val="0"/>
              <w:spacing w:before="0" w:after="283"/>
              <w:jc w:val="right"/>
              <w:rPr/>
            </w:pPr>
            <w:r>
              <w:rPr/>
              <w:t>918,590</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289,854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300,654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350,982</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430,478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504,443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567,608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406,227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445,802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490,299</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13,592</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12,083</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14,364</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4,816</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3,275</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11,532</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goodwill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 income</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(10,122</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46,558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48,138</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$31,503, $35,285, and $40,784 to related parties, respectively)</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38,777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48,112</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on extinguishment of debt (includes $0, $2,625, and $1,387 to related parties, respectively)</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1,674</w:t>
            </w:r>
          </w:p>
        </w:tc>
        <w:tc>
          <w:tcPr>
            <w:tcW w:w="161" w:type="dxa"/>
            <w:tcBorders/>
            <w:vAlign w:val="bottom"/>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 (includes $178, $589 and $1,440 to related parties, respectivel</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(214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(1,738</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(Loss) Income before income taxes</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(48,685</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2,264</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214" w:type="dxa"/>
            <w:tcBorders/>
            <w:vAlign w:val="bottom"/>
          </w:tcPr>
          <w:p>
            <w:pPr>
              <w:pStyle w:val="TableContents"/>
              <w:bidi w:val="0"/>
              <w:spacing w:before="0" w:after="283"/>
              <w:jc w:val="right"/>
              <w:rPr/>
            </w:pPr>
            <w:r>
              <w:rPr/>
              <w:t>90</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5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214" w:type="dxa"/>
            <w:tcBorders/>
            <w:shd w:fill="CCEEFF" w:val="clear"/>
            <w:vAlign w:val="bottom"/>
          </w:tcPr>
          <w:p>
            <w:pPr>
              <w:pStyle w:val="TableContents"/>
              <w:bidi w:val="0"/>
              <w:spacing w:before="0" w:after="283"/>
              <w:jc w:val="right"/>
              <w:rPr/>
            </w:pPr>
            <w:r>
              <w:rPr/>
              <w:t>(456</w:t>
            </w:r>
          </w:p>
        </w:tc>
        <w:tc>
          <w:tcPr>
            <w:tcW w:w="161" w:type="dxa"/>
            <w:tcBorders/>
            <w:shd w:fill="CCEEFF" w:val="clear"/>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21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68" w:type="dxa"/>
            <w:tcBorders/>
          </w:tcPr>
          <w:p>
            <w:pPr>
              <w:pStyle w:val="TableContents"/>
              <w:bidi w:val="0"/>
              <w:spacing w:before="0" w:after="0"/>
              <w:jc w:val="left"/>
              <w:rPr>
                <w:rFonts w:ascii="Times New Roman" w:hAnsi="Times New Roman"/>
                <w:sz w:val="20"/>
              </w:rPr>
            </w:pPr>
            <w:r>
              <w:rPr>
                <w:rFonts w:ascii="Times New Roman" w:hAnsi="Times New Roman"/>
                <w:sz w:val="20"/>
              </w:rPr>
              <w:t>Net (loss) income and comprehensive (loss) income - net of tax</w:t>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214" w:type="dxa"/>
            <w:tcBorders/>
            <w:vAlign w:val="bottom"/>
          </w:tcPr>
          <w:p>
            <w:pPr>
              <w:pStyle w:val="TableContents"/>
              <w:bidi w:val="0"/>
              <w:spacing w:before="0" w:after="283"/>
              <w:jc w:val="right"/>
              <w:rPr/>
            </w:pPr>
            <w:r>
              <w:rPr/>
              <w:t>546</w:t>
            </w:r>
          </w:p>
        </w:tc>
        <w:tc>
          <w:tcPr>
            <w:tcW w:w="161" w:type="dxa"/>
            <w:tcBorders/>
            <w:vAlign w:val="bottom"/>
          </w:tcPr>
          <w:p>
            <w:pPr>
              <w:pStyle w:val="TableContents"/>
              <w:bidi w:val="0"/>
              <w:spacing w:before="0" w:after="283"/>
              <w:jc w:val="left"/>
              <w:rPr/>
            </w:pPr>
            <w:r>
              <w:rPr/>
              <w:t> </w:t>
            </w:r>
          </w:p>
        </w:tc>
      </w:tr>
      <w:tr>
        <w:trPr/>
        <w:tc>
          <w:tcPr>
            <w:tcW w:w="5068" w:type="dxa"/>
            <w:tcBorders/>
            <w:vAlign w:val="bottom"/>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21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5" w:name="tx76201_96"/>
      <w:bookmarkEnd w:id="95"/>
      <w:r>
        <w:rPr>
          <w:rFonts w:ascii="Times New Roman" w:hAnsi="Times New Roman"/>
          <w:b/>
          <w:sz w:val="20"/>
        </w:rPr>
        <w:t xml:space="preserve">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32"/>
        <w:gridCol w:w="72"/>
        <w:gridCol w:w="96"/>
        <w:gridCol w:w="629"/>
        <w:gridCol w:w="155"/>
        <w:gridCol w:w="60"/>
        <w:gridCol w:w="155"/>
        <w:gridCol w:w="715"/>
        <w:gridCol w:w="162"/>
        <w:gridCol w:w="72"/>
        <w:gridCol w:w="77"/>
        <w:gridCol w:w="647"/>
        <w:gridCol w:w="162"/>
        <w:gridCol w:w="72"/>
        <w:gridCol w:w="300"/>
        <w:gridCol w:w="561"/>
        <w:gridCol w:w="155"/>
        <w:gridCol w:w="72"/>
        <w:gridCol w:w="163"/>
        <w:gridCol w:w="951"/>
        <w:gridCol w:w="155"/>
        <w:gridCol w:w="72"/>
        <w:gridCol w:w="199"/>
        <w:gridCol w:w="1276"/>
        <w:gridCol w:w="155"/>
        <w:gridCol w:w="72"/>
        <w:gridCol w:w="140"/>
        <w:gridCol w:w="762"/>
        <w:gridCol w:w="166"/>
      </w:tblGrid>
      <w:tr>
        <w:trPr/>
        <w:tc>
          <w:tcPr>
            <w:tcW w:w="193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pPr>
            <w:r>
              <w:rPr>
                <w:b/>
              </w:rPr>
              <w:t>Convertible</w:t>
            </w:r>
            <w:r>
              <w:rPr/>
              <w:br/>
            </w: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991"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8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155" w:type="dxa"/>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114" w:type="dxa"/>
            <w:gridSpan w:val="2"/>
            <w:vMerge w:val="restart"/>
            <w:tcBorders/>
            <w:vAlign w:val="bottom"/>
          </w:tcPr>
          <w:p>
            <w:pPr>
              <w:pStyle w:val="TableContents"/>
              <w:bidi w:val="0"/>
              <w:spacing w:before="0" w:after="283"/>
              <w:jc w:val="center"/>
              <w:rPr>
                <w:b/>
              </w:rPr>
            </w:pPr>
            <w:r>
              <w:rPr>
                <w:b/>
              </w:rPr>
              <w:t>Additional</w:t>
              <w:br/>
              <w:t>Paid In</w:t>
              <w:br/>
              <w:t>Capital</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1475" w:type="dxa"/>
            <w:gridSpan w:val="2"/>
            <w:vMerge w:val="restart"/>
            <w:tcBorders/>
            <w:vAlign w:val="bottom"/>
          </w:tcPr>
          <w:p>
            <w:pPr>
              <w:pStyle w:val="TableContents"/>
              <w:bidi w:val="0"/>
              <w:spacing w:before="0" w:after="283"/>
              <w:jc w:val="center"/>
              <w:rPr>
                <w:b/>
              </w:rPr>
            </w:pPr>
            <w:r>
              <w:rPr>
                <w:b/>
              </w:rPr>
              <w:t>(Accumulated</w:t>
              <w:br/>
              <w:t>Deficit)</w:t>
            </w:r>
          </w:p>
        </w:tc>
        <w:tc>
          <w:tcPr>
            <w:tcW w:w="155" w:type="dxa"/>
            <w:vMerge w:val="restart"/>
            <w:tcBorders/>
            <w:vAlign w:val="bottom"/>
          </w:tcPr>
          <w:p>
            <w:pPr>
              <w:pStyle w:val="TableContents"/>
              <w:bidi w:val="0"/>
              <w:spacing w:before="0" w:after="283"/>
              <w:jc w:val="left"/>
              <w:rPr/>
            </w:pPr>
            <w:r>
              <w:rPr/>
              <w:t> </w:t>
            </w:r>
          </w:p>
        </w:tc>
        <w:tc>
          <w:tcPr>
            <w:tcW w:w="72" w:type="dxa"/>
            <w:vMerge w:val="restart"/>
            <w:tcBorders/>
            <w:vAlign w:val="bottom"/>
          </w:tcPr>
          <w:p>
            <w:pPr>
              <w:pStyle w:val="TableContents"/>
              <w:bidi w:val="0"/>
              <w:spacing w:before="0" w:after="283"/>
              <w:jc w:val="left"/>
              <w:rPr/>
            </w:pPr>
            <w:r>
              <w:rPr/>
              <w:t> </w:t>
            </w:r>
          </w:p>
        </w:tc>
        <w:tc>
          <w:tcPr>
            <w:tcW w:w="902" w:type="dxa"/>
            <w:gridSpan w:val="2"/>
            <w:vMerge w:val="restart"/>
            <w:tcBorders/>
            <w:vAlign w:val="bottom"/>
          </w:tcPr>
          <w:p>
            <w:pPr>
              <w:pStyle w:val="TableContents"/>
              <w:bidi w:val="0"/>
              <w:spacing w:before="0" w:after="283"/>
              <w:jc w:val="center"/>
              <w:rPr>
                <w:b/>
              </w:rPr>
            </w:pPr>
            <w:r>
              <w:rPr>
                <w:b/>
              </w:rPr>
              <w:t>Total</w:t>
            </w:r>
          </w:p>
        </w:tc>
        <w:tc>
          <w:tcPr>
            <w:tcW w:w="166" w:type="dxa"/>
            <w:vMerge w:val="restart"/>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5" w:type="dxa"/>
            <w:gridSpan w:val="2"/>
            <w:tcBorders/>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0" w:type="dxa"/>
            <w:gridSpan w:val="2"/>
            <w:tcBorders/>
            <w:vAlign w:val="bottom"/>
          </w:tcPr>
          <w:p>
            <w:pPr>
              <w:pStyle w:val="TableContents"/>
              <w:bidi w:val="0"/>
              <w:spacing w:before="0" w:after="283"/>
              <w:jc w:val="center"/>
              <w:rPr>
                <w:b/>
              </w:rPr>
            </w:pPr>
            <w:r>
              <w:rPr>
                <w:b/>
              </w:rPr>
              <w:t>Amount</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4" w:type="dxa"/>
            <w:gridSpan w:val="2"/>
            <w:tcBorders/>
            <w:vAlign w:val="bottom"/>
          </w:tcPr>
          <w:p>
            <w:pPr>
              <w:pStyle w:val="TableContents"/>
              <w:bidi w:val="0"/>
              <w:spacing w:before="0" w:after="283"/>
              <w:jc w:val="center"/>
              <w:rPr>
                <w:b/>
              </w:rPr>
            </w:pPr>
            <w:r>
              <w:rPr>
                <w:b/>
              </w:rPr>
              <w:t>Shares</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61" w:type="dxa"/>
            <w:gridSpan w:val="2"/>
            <w:tcBorders/>
            <w:vAlign w:val="bottom"/>
          </w:tcPr>
          <w:p>
            <w:pPr>
              <w:pStyle w:val="TableContents"/>
              <w:bidi w:val="0"/>
              <w:spacing w:before="0" w:after="283"/>
              <w:jc w:val="center"/>
              <w:rPr>
                <w:b/>
              </w:rPr>
            </w:pPr>
            <w:r>
              <w:rPr>
                <w:b/>
              </w:rPr>
              <w:t>Amount</w:t>
            </w:r>
          </w:p>
        </w:tc>
        <w:tc>
          <w:tcPr>
            <w:tcW w:w="155" w:type="dxa"/>
            <w:tcBorders/>
            <w:vAlign w:val="bottom"/>
          </w:tcPr>
          <w:p>
            <w:pPr>
              <w:pStyle w:val="TableContents"/>
              <w:bidi w:val="0"/>
              <w:spacing w:before="0" w:after="283"/>
              <w:jc w:val="left"/>
              <w:rPr/>
            </w:pPr>
            <w:r>
              <w:rPr/>
              <w:t> </w:t>
            </w:r>
          </w:p>
        </w:tc>
        <w:tc>
          <w:tcPr>
            <w:tcW w:w="72" w:type="dxa"/>
            <w:vMerge w:val="continue"/>
            <w:tcBorders/>
            <w:vAlign w:val="bottom"/>
          </w:tcPr>
          <w:p>
            <w:pPr>
              <w:pStyle w:val="Normal"/>
              <w:bidi w:val="0"/>
              <w:jc w:val="left"/>
              <w:rPr/>
            </w:pPr>
            <w:r>
              <w:rPr/>
            </w:r>
          </w:p>
        </w:tc>
        <w:tc>
          <w:tcPr>
            <w:tcW w:w="1114"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147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72" w:type="dxa"/>
            <w:vMerge w:val="continue"/>
            <w:tcBorders/>
            <w:vAlign w:val="bottom"/>
          </w:tcPr>
          <w:p>
            <w:pPr>
              <w:pStyle w:val="Normal"/>
              <w:bidi w:val="0"/>
              <w:jc w:val="left"/>
              <w:rPr/>
            </w:pPr>
            <w:r>
              <w:rPr/>
            </w:r>
          </w:p>
        </w:tc>
        <w:tc>
          <w:tcPr>
            <w:tcW w:w="902" w:type="dxa"/>
            <w:gridSpan w:val="2"/>
            <w:vMerge w:val="continue"/>
            <w:tcBorders/>
            <w:vAlign w:val="bottom"/>
          </w:tcPr>
          <w:p>
            <w:pPr>
              <w:pStyle w:val="Normal"/>
              <w:bidi w:val="0"/>
              <w:jc w:val="left"/>
              <w:rPr/>
            </w:pPr>
            <w:r>
              <w:rPr/>
            </w:r>
          </w:p>
        </w:tc>
        <w:tc>
          <w:tcPr>
            <w:tcW w:w="166" w:type="dxa"/>
            <w:vMerge w:val="continue"/>
            <w:tcBorders/>
            <w:vAlign w:val="bottom"/>
          </w:tcPr>
          <w:p>
            <w:pPr>
              <w:pStyle w:val="Normal"/>
              <w:bidi w:val="0"/>
              <w:jc w:val="left"/>
              <w:rPr/>
            </w:pPr>
            <w:r>
              <w:rPr/>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31, 2022</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31,026</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1,181</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195,131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(190,239</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4,902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($13.47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(600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(600</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issuance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715" w:type="dxa"/>
            <w:tcBorders/>
            <w:shd w:fill="CCEEFF" w:val="clear"/>
            <w:vAlign w:val="bottom"/>
          </w:tcPr>
          <w:p>
            <w:pPr>
              <w:pStyle w:val="TableContents"/>
              <w:bidi w:val="0"/>
              <w:spacing w:before="0" w:after="283"/>
              <w:jc w:val="right"/>
              <w:rPr/>
            </w:pPr>
            <w:r>
              <w:rPr/>
              <w:t>179</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7</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142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(942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(942</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546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546</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30, 2023</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715" w:type="dxa"/>
            <w:tcBorders/>
            <w:shd w:fill="CCEEFF" w:val="clear"/>
            <w:vAlign w:val="bottom"/>
          </w:tcPr>
          <w:p>
            <w:pPr>
              <w:pStyle w:val="TableContents"/>
              <w:bidi w:val="0"/>
              <w:spacing w:before="0" w:after="283"/>
              <w:jc w:val="right"/>
              <w:rPr/>
            </w:pPr>
            <w:r>
              <w:rPr/>
              <w:t>31,205</w:t>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1,180</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51" w:type="dxa"/>
            <w:tcBorders/>
            <w:shd w:fill="CCEEFF" w:val="clear"/>
            <w:vAlign w:val="bottom"/>
          </w:tcPr>
          <w:p>
            <w:pPr>
              <w:pStyle w:val="TableContents"/>
              <w:bidi w:val="0"/>
              <w:spacing w:before="0" w:after="283"/>
              <w:jc w:val="right"/>
              <w:rPr/>
            </w:pPr>
            <w:r>
              <w:rPr/>
              <w:t>194,331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(190,293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2" w:type="dxa"/>
            <w:tcBorders/>
            <w:shd w:fill="CCEEFF" w:val="clear"/>
            <w:vAlign w:val="bottom"/>
          </w:tcPr>
          <w:p>
            <w:pPr>
              <w:pStyle w:val="TableContents"/>
              <w:bidi w:val="0"/>
              <w:spacing w:before="0" w:after="283"/>
              <w:jc w:val="right"/>
              <w:rPr/>
            </w:pPr>
            <w:r>
              <w:rPr/>
              <w:t>4,048</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Dividends ($13.32 per convertible preferred share)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sz w:val="4"/>
                <w:szCs w:val="4"/>
              </w:rPr>
            </w:pPr>
            <w:r>
              <w:rPr>
                <w:sz w:val="4"/>
                <w:szCs w:val="4"/>
              </w:rPr>
            </w:r>
          </w:p>
        </w:tc>
        <w:tc>
          <w:tcPr>
            <w:tcW w:w="647"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(709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(709</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equity-based compensation</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62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715" w:type="dxa"/>
            <w:tcBorders/>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(6</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(212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(212</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1,460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1,460</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31,205</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1,174</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194,120</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(189,542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4,588</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($9.99 per convertible preferred share)</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(403</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(403</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15" w:type="dxa"/>
            <w:tcBorders/>
            <w:vAlign w:val="bottom"/>
          </w:tcPr>
          <w:p>
            <w:pPr>
              <w:pStyle w:val="TableContents"/>
              <w:bidi w:val="0"/>
              <w:spacing w:before="0" w:after="283"/>
              <w:jc w:val="right"/>
              <w:rPr/>
            </w:pPr>
            <w:r>
              <w:rPr/>
              <w:t>(9,493</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(289</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51" w:type="dxa"/>
            <w:tcBorders/>
            <w:vAlign w:val="bottom"/>
          </w:tcPr>
          <w:p>
            <w:pPr>
              <w:pStyle w:val="TableContents"/>
              <w:bidi w:val="0"/>
              <w:spacing w:before="0" w:after="283"/>
              <w:jc w:val="right"/>
              <w:rPr/>
            </w:pPr>
            <w:r>
              <w:rPr/>
              <w:t>9,494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2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2" w:type="dxa"/>
            <w:tcBorders/>
            <w:vAlign w:val="bottom"/>
          </w:tcPr>
          <w:p>
            <w:pPr>
              <w:pStyle w:val="TableContents"/>
              <w:bidi w:val="0"/>
              <w:spacing w:before="0" w:after="283"/>
              <w:jc w:val="right"/>
              <w:rPr/>
            </w:pPr>
            <w:r>
              <w:rPr/>
              <w:t>9,493</w:t>
            </w:r>
          </w:p>
        </w:tc>
        <w:tc>
          <w:tcPr>
            <w:tcW w:w="166" w:type="dxa"/>
            <w:tcBorders/>
            <w:vAlign w:val="bottom"/>
          </w:tcPr>
          <w:p>
            <w:pPr>
              <w:pStyle w:val="TableContents"/>
              <w:bidi w:val="0"/>
              <w:spacing w:before="0" w:after="283"/>
              <w:jc w:val="left"/>
              <w:rPr/>
            </w:pPr>
            <w:r>
              <w:rPr/>
              <w:t> </w:t>
            </w:r>
          </w:p>
        </w:tc>
      </w:tr>
      <w:tr>
        <w:trPr/>
        <w:tc>
          <w:tcPr>
            <w:tcW w:w="1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7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6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647"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9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(56,691</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2" w:type="dxa"/>
            <w:tcBorders/>
            <w:shd w:fill="CCEEFF" w:val="clear"/>
            <w:vAlign w:val="bottom"/>
          </w:tcPr>
          <w:p>
            <w:pPr>
              <w:pStyle w:val="TableContents"/>
              <w:bidi w:val="0"/>
              <w:spacing w:before="0" w:after="283"/>
              <w:jc w:val="right"/>
              <w:rPr/>
            </w:pPr>
            <w:r>
              <w:rPr/>
              <w:t>(56,691</w:t>
            </w:r>
          </w:p>
        </w:tc>
        <w:tc>
          <w:tcPr>
            <w:tcW w:w="166" w:type="dxa"/>
            <w:tcBorders/>
            <w:shd w:fill="CCEEFF" w:val="clear"/>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single" w:sz="2" w:space="1" w:color="000000"/>
              </w:pBdr>
              <w:bidi w:val="0"/>
              <w:spacing w:before="0" w:after="0"/>
              <w:jc w:val="left"/>
              <w:rPr/>
            </w:pPr>
            <w:r>
              <w:rPr/>
              <w:t> </w:t>
            </w:r>
          </w:p>
        </w:tc>
        <w:tc>
          <w:tcPr>
            <w:tcW w:w="6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single" w:sz="2" w:space="1" w:color="000000"/>
              </w:pBdr>
              <w:bidi w:val="0"/>
              <w:spacing w:before="0" w:after="0"/>
              <w:jc w:val="left"/>
              <w:rPr/>
            </w:pPr>
            <w:r>
              <w:rPr/>
              <w:t> </w:t>
            </w:r>
          </w:p>
        </w:tc>
        <w:tc>
          <w:tcPr>
            <w:tcW w:w="715" w:type="dxa"/>
            <w:tcBorders/>
            <w:vAlign w:val="bottom"/>
          </w:tcPr>
          <w:p>
            <w:pPr>
              <w:pStyle w:val="TableContents"/>
              <w:pBdr>
                <w:top w:val="single" w:sz="2"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2"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1932" w:type="dxa"/>
            <w:tcBorders/>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715" w:type="dxa"/>
            <w:tcBorders/>
            <w:vAlign w:val="bottom"/>
          </w:tcPr>
          <w:p>
            <w:pPr>
              <w:pStyle w:val="TableContents"/>
              <w:bidi w:val="0"/>
              <w:spacing w:before="0" w:after="283"/>
              <w:jc w:val="right"/>
              <w:rPr/>
            </w:pPr>
            <w:r>
              <w:rPr/>
              <w:t>21,712</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885</w:t>
            </w:r>
          </w:p>
        </w:tc>
        <w:tc>
          <w:tcPr>
            <w:tcW w:w="16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1"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51" w:type="dxa"/>
            <w:tcBorders/>
            <w:vAlign w:val="bottom"/>
          </w:tcPr>
          <w:p>
            <w:pPr>
              <w:pStyle w:val="TableContents"/>
              <w:bidi w:val="0"/>
              <w:spacing w:before="0" w:after="283"/>
              <w:jc w:val="right"/>
              <w:rPr/>
            </w:pPr>
            <w:r>
              <w:rPr/>
              <w:t>203,614</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276" w:type="dxa"/>
            <w:tcBorders/>
            <w:vAlign w:val="bottom"/>
          </w:tcPr>
          <w:p>
            <w:pPr>
              <w:pStyle w:val="TableContents"/>
              <w:bidi w:val="0"/>
              <w:spacing w:before="0" w:after="283"/>
              <w:jc w:val="right"/>
              <w:rPr/>
            </w:pPr>
            <w:r>
              <w:rPr/>
              <w:t>(246,636</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2" w:type="dxa"/>
            <w:tcBorders/>
            <w:vAlign w:val="bottom"/>
          </w:tcPr>
          <w:p>
            <w:pPr>
              <w:pStyle w:val="TableContents"/>
              <w:bidi w:val="0"/>
              <w:spacing w:before="0" w:after="283"/>
              <w:jc w:val="right"/>
              <w:rPr/>
            </w:pPr>
            <w:r>
              <w:rPr/>
              <w:t>(43,013</w:t>
            </w:r>
          </w:p>
        </w:tc>
        <w:tc>
          <w:tcPr>
            <w:tcW w:w="166" w:type="dxa"/>
            <w:tcBorders/>
            <w:vAlign w:val="bottom"/>
          </w:tcPr>
          <w:p>
            <w:pPr>
              <w:pStyle w:val="TableContents"/>
              <w:bidi w:val="0"/>
              <w:spacing w:before="0" w:after="283"/>
              <w:jc w:val="left"/>
              <w:rPr/>
            </w:pPr>
            <w:r>
              <w:rPr/>
              <w:t>) </w:t>
            </w:r>
          </w:p>
        </w:tc>
      </w:tr>
      <w:tr>
        <w:trPr/>
        <w:tc>
          <w:tcPr>
            <w:tcW w:w="19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pPr>
            <w:r>
              <w:rPr/>
              <w:t> </w:t>
            </w:r>
          </w:p>
        </w:tc>
        <w:tc>
          <w:tcPr>
            <w:tcW w:w="96" w:type="dxa"/>
            <w:tcBorders/>
            <w:vAlign w:val="bottom"/>
          </w:tcPr>
          <w:p>
            <w:pPr>
              <w:pStyle w:val="TableContents"/>
              <w:pBdr>
                <w:top w:val="double" w:sz="6" w:space="1" w:color="000000"/>
              </w:pBdr>
              <w:bidi w:val="0"/>
              <w:spacing w:before="0" w:after="0"/>
              <w:jc w:val="left"/>
              <w:rPr/>
            </w:pPr>
            <w:r>
              <w:rPr/>
              <w:t> </w:t>
            </w:r>
          </w:p>
        </w:tc>
        <w:tc>
          <w:tcPr>
            <w:tcW w:w="6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pBdr>
                <w:top w:val="double" w:sz="6" w:space="1" w:color="000000"/>
              </w:pBdr>
              <w:bidi w:val="0"/>
              <w:spacing w:before="0" w:after="0"/>
              <w:jc w:val="left"/>
              <w:rPr/>
            </w:pPr>
            <w:r>
              <w:rPr/>
              <w:t> </w:t>
            </w:r>
          </w:p>
        </w:tc>
        <w:tc>
          <w:tcPr>
            <w:tcW w:w="715" w:type="dxa"/>
            <w:tcBorders/>
            <w:vAlign w:val="bottom"/>
          </w:tcPr>
          <w:p>
            <w:pPr>
              <w:pStyle w:val="TableContents"/>
              <w:pBdr>
                <w:top w:val="double" w:sz="6" w:space="1" w:color="000000"/>
              </w:pBdr>
              <w:bidi w:val="0"/>
              <w:spacing w:before="0" w:after="0"/>
              <w:jc w:val="left"/>
              <w:rPr/>
            </w:pPr>
            <w:r>
              <w:rPr/>
              <w:t> </w:t>
            </w:r>
          </w:p>
        </w:tc>
        <w:tc>
          <w:tcPr>
            <w:tcW w:w="162" w:type="dxa"/>
            <w:tcBorders>
              <w:right w:val="single" w:sz="2" w:space="0" w:color="000000"/>
            </w:tcBorders>
            <w:tcMar>
              <w:right w:w="28" w:type="dxa"/>
            </w:tcMar>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2"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bookmarkStart w:id="96" w:name="tx76201_97"/>
      <w:bookmarkEnd w:id="96"/>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years ended January 3, 2026, December 28, 2024 and December 30, 2023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2"/>
        <w:gridCol w:w="259"/>
        <w:gridCol w:w="174"/>
        <w:gridCol w:w="944"/>
        <w:gridCol w:w="155"/>
        <w:gridCol w:w="209"/>
        <w:gridCol w:w="221"/>
        <w:gridCol w:w="1208"/>
        <w:gridCol w:w="155"/>
        <w:gridCol w:w="209"/>
        <w:gridCol w:w="221"/>
        <w:gridCol w:w="1208"/>
        <w:gridCol w:w="160"/>
      </w:tblGrid>
      <w:tr>
        <w:trPr/>
        <w:tc>
          <w:tcPr>
            <w:tcW w:w="5082"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82"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(loss) income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44" w:type="dxa"/>
            <w:tcBorders/>
            <w:vAlign w:val="bottom"/>
          </w:tcPr>
          <w:p>
            <w:pPr>
              <w:pStyle w:val="TableContents"/>
              <w:bidi w:val="0"/>
              <w:spacing w:before="0" w:after="283"/>
              <w:jc w:val="right"/>
              <w:rPr/>
            </w:pPr>
            <w:r>
              <w:rPr/>
              <w:t>(56,691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1,460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08" w:type="dxa"/>
            <w:tcBorders/>
            <w:vAlign w:val="bottom"/>
          </w:tcPr>
          <w:p>
            <w:pPr>
              <w:pStyle w:val="TableContents"/>
              <w:bidi w:val="0"/>
              <w:spacing w:before="0" w:after="283"/>
              <w:jc w:val="right"/>
              <w:rPr/>
            </w:pPr>
            <w:r>
              <w:rPr/>
              <w:t>546</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(loss) income to net cash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0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13,592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14,364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sale of fixed assets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operating right-of-use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8,242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8,745</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9,190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property, plant, and equipment -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3,275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Impairment of intangible assets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5,857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11,532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Impairment of goodwill</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10,108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Deferred income taxes, net of valuation allowance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(9,943</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issue costs (includes $4,358, $4,361 and $4,636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5,259</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5,264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5,595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 (includes $0, $2,625 and $1,387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1,674</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fair value adjustment of warrants (includes $178, $589 and $1,440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(711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expense</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179</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equity-based compensation</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Changes in working capital:</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1,484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1,444</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Merchandise inventories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6,437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29,952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51,910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2,981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(5,757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(10,529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Accrued expenses and other liabilities (includes ($224), ($947) and $3,532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(7,653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(9,329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(2,602</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Operating lease liabilities, net</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(8,250</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(8,771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(9,221</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Other assets and liabilities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(2,107</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11,520</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operating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(11,183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36,423</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77,338</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INVESTING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Capital expenditures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(9,606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(8,235</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Payment for acquisitions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(13,768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(8,875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(8,064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(23,374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(17,110</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borrowings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48,382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Repayments of debt (includes $5,800, $43,293 and $22,537 to related parties, respectively)</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(55,382</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(52,250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(27,200</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 of debt financing costs (includes $0, $0 and $126 to related parties, respectively)</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(152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Dividends paid</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(988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(3,041</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 of common stock</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(942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Net cash used in financing activities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(7,730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(53,450</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(31,335</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 IN CASH AND CASH EQUIVALENTS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(26,977</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(40,401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28,893</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 Beginning of year</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38,308</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78,709</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49,816</w:t>
            </w:r>
          </w:p>
        </w:tc>
        <w:tc>
          <w:tcPr>
            <w:tcW w:w="160" w:type="dxa"/>
            <w:tcBorders/>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4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0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 End of year</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11,331</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38,308</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78,709</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vAlign w:val="bottom"/>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4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0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9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20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dividend payable</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944" w:type="dxa"/>
            <w:tcBorders/>
            <w:shd w:fill="CCEEFF" w:val="clear"/>
            <w:vAlign w:val="bottom"/>
          </w:tcPr>
          <w:p>
            <w:pPr>
              <w:pStyle w:val="TableContents"/>
              <w:bidi w:val="0"/>
              <w:spacing w:before="0" w:after="283"/>
              <w:jc w:val="right"/>
              <w:rPr/>
            </w:pPr>
            <w:r>
              <w:rPr/>
              <w:t>1,006</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1,334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208" w:type="dxa"/>
            <w:tcBorders/>
            <w:shd w:fill="CCEEFF" w:val="clear"/>
            <w:vAlign w:val="bottom"/>
          </w:tcPr>
          <w:p>
            <w:pPr>
              <w:pStyle w:val="TableContents"/>
              <w:bidi w:val="0"/>
              <w:spacing w:before="0" w:after="283"/>
              <w:jc w:val="right"/>
              <w:rPr/>
            </w:pPr>
            <w:r>
              <w:rPr/>
              <w:t>1,612</w:t>
            </w:r>
          </w:p>
        </w:tc>
        <w:tc>
          <w:tcPr>
            <w:tcW w:w="160" w:type="dxa"/>
            <w:tcBorders/>
            <w:shd w:fill="CCEEFF" w:val="clear"/>
            <w:vAlign w:val="bottom"/>
          </w:tcPr>
          <w:p>
            <w:pPr>
              <w:pStyle w:val="TableContents"/>
              <w:bidi w:val="0"/>
              <w:spacing w:before="0" w:after="283"/>
              <w:jc w:val="left"/>
              <w:rPr/>
            </w:pPr>
            <w:r>
              <w:rPr/>
              <w:t> </w:t>
            </w:r>
          </w:p>
        </w:tc>
      </w:tr>
      <w:tr>
        <w:trPr/>
        <w:tc>
          <w:tcPr>
            <w:tcW w:w="5082" w:type="dxa"/>
            <w:tcBorders/>
          </w:tcPr>
          <w:p>
            <w:pPr>
              <w:pStyle w:val="TableContents"/>
              <w:bidi w:val="0"/>
              <w:spacing w:before="0" w:after="0"/>
              <w:jc w:val="left"/>
              <w:rPr>
                <w:rFonts w:ascii="Times New Roman" w:hAnsi="Times New Roman"/>
                <w:sz w:val="18"/>
              </w:rPr>
            </w:pPr>
            <w:r>
              <w:rPr>
                <w:rFonts w:ascii="Times New Roman" w:hAnsi="Times New Roman"/>
                <w:sz w:val="18"/>
              </w:rPr>
              <w:t>Non-cash common stock forfeitures</w:t>
            </w:r>
          </w:p>
        </w:tc>
        <w:tc>
          <w:tcPr>
            <w:tcW w:w="259"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44"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08"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082"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Non-cash convertible preferred stock forfeitures</w:t>
            </w:r>
          </w:p>
        </w:tc>
        <w:tc>
          <w:tcPr>
            <w:tcW w:w="259"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44"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08"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97" w:name="tx76201_98"/>
            <w:bookmarkEnd w:id="97"/>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3).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24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Reclassifications</w:t>
      </w:r>
      <w:r>
        <w:rPr>
          <w:rFonts w:ascii="Times New Roman" w:hAnsi="Times New Roman"/>
          <w:sz w:val="20"/>
        </w:rPr>
        <w:t xml:space="preserve">—Certain prior period amounts have been reclassified for consistency with the current period presentation.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reclassified the following amounts in the Consolidated Balance Sheets: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7"/>
        <w:gridCol w:w="557"/>
        <w:gridCol w:w="195"/>
        <w:gridCol w:w="1137"/>
        <w:gridCol w:w="60"/>
        <w:gridCol w:w="557"/>
        <w:gridCol w:w="161"/>
        <w:gridCol w:w="928"/>
        <w:gridCol w:w="63"/>
      </w:tblGrid>
      <w:tr>
        <w:trPr/>
        <w:tc>
          <w:tcPr>
            <w:tcW w:w="4097"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3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3" w:type="dxa"/>
            <w:tcBorders/>
            <w:vAlign w:val="bottom"/>
          </w:tcPr>
          <w:p>
            <w:pPr>
              <w:pStyle w:val="TableContents"/>
              <w:bidi w:val="0"/>
              <w:spacing w:before="0" w:after="283"/>
              <w:jc w:val="left"/>
              <w:rPr/>
            </w:pPr>
            <w:r>
              <w:rPr/>
              <w:t> </w:t>
            </w:r>
          </w:p>
        </w:tc>
      </w:tr>
      <w:tr>
        <w:trPr/>
        <w:tc>
          <w:tcPr>
            <w:tcW w:w="4097"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332" w:type="dxa"/>
            <w:gridSpan w:val="2"/>
            <w:tcBorders/>
            <w:vAlign w:val="bottom"/>
          </w:tcPr>
          <w:p>
            <w:pPr>
              <w:pStyle w:val="TableContents"/>
              <w:bidi w:val="0"/>
              <w:spacing w:before="0" w:after="283"/>
              <w:jc w:val="center"/>
              <w:rPr>
                <w:b/>
              </w:rPr>
            </w:pPr>
            <w:r>
              <w:rPr>
                <w:b/>
              </w:rPr>
              <w:t>As Reported</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b/>
              </w:rPr>
            </w:pPr>
            <w:r>
              <w:rPr>
                <w:b/>
              </w:rPr>
              <w:t>Previously</w:t>
              <w:br/>
              <w:t>Reported</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137" w:type="dxa"/>
            <w:tcBorders/>
            <w:shd w:fill="CCEEFF" w:val="clear"/>
            <w:vAlign w:val="bottom"/>
          </w:tcPr>
          <w:p>
            <w:pPr>
              <w:pStyle w:val="TableContents"/>
              <w:bidi w:val="0"/>
              <w:spacing w:before="0" w:after="283"/>
              <w:jc w:val="right"/>
              <w:rPr/>
            </w:pPr>
            <w:r>
              <w:rPr/>
              <w:t>5,580</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8,766</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123,611</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122,100</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15,680</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14,005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34,682</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24,728</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139,651</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149,605</w:t>
            </w:r>
          </w:p>
        </w:tc>
        <w:tc>
          <w:tcPr>
            <w:tcW w:w="63" w:type="dxa"/>
            <w:tcBorders/>
            <w:vAlign w:val="bottom"/>
          </w:tcPr>
          <w:p>
            <w:pPr>
              <w:pStyle w:val="TableContents"/>
              <w:bidi w:val="0"/>
              <w:spacing w:before="0" w:after="283"/>
              <w:jc w:val="left"/>
              <w:rPr/>
            </w:pPr>
            <w:r>
              <w:rPr/>
              <w:t> </w:t>
            </w:r>
          </w:p>
        </w:tc>
      </w:tr>
      <w:tr>
        <w:trPr/>
        <w:tc>
          <w:tcPr>
            <w:tcW w:w="40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55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137" w:type="dxa"/>
            <w:tcBorders/>
            <w:shd w:fill="CCEEFF" w:val="clear"/>
            <w:vAlign w:val="bottom"/>
          </w:tcPr>
          <w:p>
            <w:pPr>
              <w:pStyle w:val="TableContents"/>
              <w:bidi w:val="0"/>
              <w:spacing w:before="0" w:after="283"/>
              <w:jc w:val="right"/>
              <w:rPr/>
            </w:pPr>
            <w:r>
              <w:rPr/>
              <w:t>55,614</w:t>
            </w:r>
          </w:p>
        </w:tc>
        <w:tc>
          <w:tcPr>
            <w:tcW w:w="60"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55,074</w:t>
            </w:r>
          </w:p>
        </w:tc>
        <w:tc>
          <w:tcPr>
            <w:tcW w:w="63" w:type="dxa"/>
            <w:tcBorders/>
            <w:shd w:fill="CCEEFF" w:val="clear"/>
            <w:vAlign w:val="bottom"/>
          </w:tcPr>
          <w:p>
            <w:pPr>
              <w:pStyle w:val="TableContents"/>
              <w:bidi w:val="0"/>
              <w:spacing w:before="0" w:after="283"/>
              <w:jc w:val="left"/>
              <w:rPr/>
            </w:pPr>
            <w:r>
              <w:rPr/>
              <w:t> </w:t>
            </w:r>
          </w:p>
        </w:tc>
      </w:tr>
      <w:tr>
        <w:trPr/>
        <w:tc>
          <w:tcPr>
            <w:tcW w:w="4097"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55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1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previously classified as Other current assets have been reclassified to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Prepaid catalog costs have been reclassified to Other current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related to estimated merchandise returns have been reclassified from Other current assets to Merchandise inventories.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has been reclassified from Intangible assets – net to Property, plant, and equipment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Income taxes payable have been reclassified to Accrued expenses and other liabilities.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Operations and Comprehensive (Loss) Income: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37"/>
        <w:gridCol w:w="248"/>
        <w:gridCol w:w="203"/>
        <w:gridCol w:w="1126"/>
        <w:gridCol w:w="155"/>
        <w:gridCol w:w="202"/>
        <w:gridCol w:w="161"/>
        <w:gridCol w:w="926"/>
        <w:gridCol w:w="60"/>
        <w:gridCol w:w="248"/>
        <w:gridCol w:w="203"/>
        <w:gridCol w:w="1126"/>
        <w:gridCol w:w="155"/>
        <w:gridCol w:w="202"/>
        <w:gridCol w:w="160"/>
        <w:gridCol w:w="926"/>
        <w:gridCol w:w="67"/>
      </w:tblGrid>
      <w:tr>
        <w:trPr/>
        <w:tc>
          <w:tcPr>
            <w:tcW w:w="4037"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7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67" w:type="dxa"/>
            <w:tcBorders/>
            <w:vAlign w:val="bottom"/>
          </w:tcPr>
          <w:p>
            <w:pPr>
              <w:pStyle w:val="TableContents"/>
              <w:bidi w:val="0"/>
              <w:spacing w:before="0" w:after="283"/>
              <w:jc w:val="left"/>
              <w:rPr/>
            </w:pPr>
            <w:r>
              <w:rPr/>
              <w:t> </w:t>
            </w:r>
          </w:p>
        </w:tc>
      </w:tr>
      <w:tr>
        <w:trPr/>
        <w:tc>
          <w:tcPr>
            <w:tcW w:w="4037"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7" w:type="dxa"/>
            <w:gridSpan w:val="2"/>
            <w:tcBorders/>
            <w:vAlign w:val="bottom"/>
          </w:tcPr>
          <w:p>
            <w:pPr>
              <w:pStyle w:val="TableContents"/>
              <w:bidi w:val="0"/>
              <w:spacing w:before="0" w:after="283"/>
              <w:jc w:val="center"/>
              <w:rPr>
                <w:b/>
              </w:rPr>
            </w:pPr>
            <w:r>
              <w:rPr>
                <w:b/>
              </w:rPr>
              <w:t>Previously</w:t>
              <w:br/>
              <w:t>Reported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Previously</w:t>
              <w:br/>
              <w:t>Reported</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445,802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457,885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126" w:type="dxa"/>
            <w:tcBorders/>
            <w:shd w:fill="CCEEFF" w:val="clear"/>
            <w:vAlign w:val="bottom"/>
          </w:tcPr>
          <w:p>
            <w:pPr>
              <w:pStyle w:val="TableContents"/>
              <w:bidi w:val="0"/>
              <w:spacing w:before="0" w:after="283"/>
              <w:jc w:val="right"/>
              <w:rPr/>
            </w:pPr>
            <w:r>
              <w:rPr/>
              <w:t>490,299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504,663</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12,083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14,807</w:t>
            </w:r>
          </w:p>
        </w:tc>
        <w:tc>
          <w:tcPr>
            <w:tcW w:w="67" w:type="dxa"/>
            <w:tcBorders/>
            <w:vAlign w:val="bottom"/>
          </w:tcPr>
          <w:p>
            <w:pPr>
              <w:pStyle w:val="TableContents"/>
              <w:bidi w:val="0"/>
              <w:spacing w:before="0" w:after="283"/>
              <w:jc w:val="left"/>
              <w:rPr/>
            </w:pPr>
            <w:r>
              <w:rPr/>
              <w:t> </w:t>
            </w:r>
          </w:p>
        </w:tc>
      </w:tr>
      <w:tr>
        <w:trPr/>
        <w:tc>
          <w:tcPr>
            <w:tcW w:w="4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41,837</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41,126</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48,112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46,374</w:t>
            </w:r>
          </w:p>
        </w:tc>
        <w:tc>
          <w:tcPr>
            <w:tcW w:w="67" w:type="dxa"/>
            <w:tcBorders/>
            <w:shd w:fill="CCEEFF" w:val="clear"/>
            <w:vAlign w:val="bottom"/>
          </w:tcPr>
          <w:p>
            <w:pPr>
              <w:pStyle w:val="TableContents"/>
              <w:bidi w:val="0"/>
              <w:spacing w:before="0" w:after="283"/>
              <w:jc w:val="left"/>
              <w:rPr/>
            </w:pPr>
            <w:r>
              <w:rPr/>
              <w:t> </w:t>
            </w:r>
          </w:p>
        </w:tc>
      </w:tr>
      <w:tr>
        <w:trPr/>
        <w:tc>
          <w:tcPr>
            <w:tcW w:w="4037" w:type="dxa"/>
            <w:tcBorders/>
          </w:tcPr>
          <w:p>
            <w:pPr>
              <w:pStyle w:val="TableContents"/>
              <w:bidi w:val="0"/>
              <w:spacing w:before="0" w:after="0"/>
              <w:jc w:val="left"/>
              <w:rPr>
                <w:rFonts w:ascii="Times New Roman" w:hAnsi="Times New Roman"/>
                <w:sz w:val="20"/>
              </w:rPr>
            </w:pPr>
            <w:r>
              <w:rPr>
                <w:rFonts w:ascii="Times New Roman" w:hAnsi="Times New Roman"/>
                <w:sz w:val="20"/>
              </w:rPr>
              <w:t>Gain on fair value adjustment of warrants</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(711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(1,738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reclassified the following amounts in the Consolidated Statements of Cash Flows: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04"/>
        <w:gridCol w:w="354"/>
        <w:gridCol w:w="223"/>
        <w:gridCol w:w="1090"/>
        <w:gridCol w:w="155"/>
        <w:gridCol w:w="298"/>
        <w:gridCol w:w="185"/>
        <w:gridCol w:w="916"/>
        <w:gridCol w:w="155"/>
        <w:gridCol w:w="298"/>
        <w:gridCol w:w="223"/>
        <w:gridCol w:w="1090"/>
        <w:gridCol w:w="155"/>
        <w:gridCol w:w="297"/>
        <w:gridCol w:w="185"/>
        <w:gridCol w:w="916"/>
        <w:gridCol w:w="161"/>
      </w:tblGrid>
      <w:tr>
        <w:trPr/>
        <w:tc>
          <w:tcPr>
            <w:tcW w:w="3504"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2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8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Previously</w:t>
            </w:r>
          </w:p>
        </w:tc>
        <w:tc>
          <w:tcPr>
            <w:tcW w:w="161" w:type="dxa"/>
            <w:tcBorders/>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As Reported</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01" w:type="dxa"/>
            <w:gridSpan w:val="2"/>
            <w:tcBorders/>
            <w:vAlign w:val="bottom"/>
          </w:tcPr>
          <w:p>
            <w:pPr>
              <w:pStyle w:val="TableContents"/>
              <w:bidi w:val="0"/>
              <w:spacing w:before="0" w:after="283"/>
              <w:jc w:val="center"/>
              <w:rPr>
                <w:b/>
              </w:rPr>
            </w:pPr>
            <w:r>
              <w:rPr>
                <w:b/>
              </w:rPr>
              <w:t>Reported</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property, plant, and equipment - net</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3,275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11,532</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14,807</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(1,073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1,444</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3,650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9,722</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29,952</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29,853</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51,910</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51,871</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 and payable</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(530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5,443</w:t>
            </w:r>
          </w:p>
        </w:tc>
        <w:tc>
          <w:tcPr>
            <w:tcW w:w="161"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354"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(9,329</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(8,800</w:t>
            </w:r>
          </w:p>
        </w:tc>
        <w:tc>
          <w:tcPr>
            <w:tcW w:w="155"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(2,602</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(3,672</w:t>
            </w:r>
          </w:p>
        </w:tc>
        <w:tc>
          <w:tcPr>
            <w:tcW w:w="161"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354"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4,743</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120</w:t>
            </w:r>
          </w:p>
        </w:tc>
        <w:tc>
          <w:tcPr>
            <w:tcW w:w="155"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11,520</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(1,092</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28, 2024, reclassifications on the Consolidated Balance Sheets resulted in corresponding changes to line items within the Consolidated Statements of Cash Flows.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30, 2023, the Company reclassified a portion of the Impairment of intangible assets into Impairment of property, plant, and equipment – net. Additionally, reclassifications on the Consolidated Balance Sheets resulted in corresponding changes to line items within the Consolidated Statements of Cash Flows. </w:t>
            </w:r>
          </w:p>
        </w:tc>
      </w:tr>
    </w:tbl>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Fiscal year 2025 ended on January 3, 2026 and reflected a 53-week period. Fiscal years 2024 and 2023 ended on December 28, 2024 and December 30, 2023 respectively, and each reflected a 52-week period. References to years in the consolidated financial statements and notes relate to fiscal years rather than calendar years.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sz w:val="20"/>
        </w:rPr>
      </w:pPr>
      <w:r>
        <w:rPr>
          <w:rFonts w:ascii="Times New Roman" w:hAnsi="Times New Roman"/>
          <w:b/>
          <w:sz w:val="20"/>
        </w:rPr>
        <w:t>Use of Estimates</w:t>
      </w:r>
      <w:r>
        <w:rPr>
          <w:rFonts w:ascii="Times New Roman" w:hAnsi="Times New Roman"/>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t>
      </w:r>
    </w:p>
    <w:p>
      <w:pPr>
        <w:pStyle w:val="TextBody"/>
        <w:bidi w:val="0"/>
        <w:spacing w:before="240" w:after="0"/>
        <w:jc w:val="left"/>
        <w:rPr>
          <w:rFonts w:ascii="Times New Roman" w:hAnsi="Times New Roman"/>
          <w:sz w:val="20"/>
        </w:rPr>
      </w:pPr>
      <w:r>
        <w:rPr>
          <w:rFonts w:ascii="Times New Roman" w:hAnsi="Times New Roman"/>
          <w:b/>
          <w:sz w:val="20"/>
        </w:rPr>
        <w:t>Acquisitions</w:t>
      </w:r>
      <w:r>
        <w:rPr>
          <w:rFonts w:ascii="Times New Roman" w:hAnsi="Times New Roman"/>
          <w:sz w:val="20"/>
        </w:rPr>
        <w:t xml:space="preserve">— 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 </w:t>
      </w:r>
    </w:p>
    <w:p>
      <w:pPr>
        <w:pStyle w:val="TextBody"/>
        <w:bidi w:val="0"/>
        <w:spacing w:before="240" w:after="0"/>
        <w:jc w:val="left"/>
        <w:rPr>
          <w:rFonts w:ascii="Times New Roman" w:hAnsi="Times New Roman"/>
          <w:sz w:val="20"/>
        </w:rPr>
      </w:pPr>
      <w:r>
        <w:rPr>
          <w:rFonts w:ascii="Times New Roman" w:hAnsi="Times New Roman"/>
          <w:sz w:val="20"/>
        </w:rPr>
        <w:t xml:space="preserve">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t>
      </w:r>
    </w:p>
    <w:p>
      <w:pPr>
        <w:pStyle w:val="TextBody"/>
        <w:bidi w:val="0"/>
        <w:spacing w:before="240" w:after="0"/>
        <w:jc w:val="left"/>
        <w:rPr>
          <w:rFonts w:ascii="Times New Roman" w:hAnsi="Times New Roman"/>
          <w:sz w:val="20"/>
        </w:rPr>
      </w:pPr>
      <w:r>
        <w:rPr>
          <w:rFonts w:ascii="Times New Roman" w:hAnsi="Times New Roman"/>
          <w:b/>
          <w:sz w:val="20"/>
        </w:rPr>
        <w:t>Cash and Cash Equivalents</w:t>
      </w:r>
      <w:r>
        <w:rPr>
          <w:rFonts w:ascii="Times New Roman" w:hAnsi="Times New Roman"/>
          <w:sz w:val="20"/>
        </w:rPr>
        <w:t xml:space="preserve">—The Company considers all highly liquid investments with an original maturity of three months or less to be cash equivalents. The Company also considers receivables from financial institutions related to credit card purchases to be cash equivalents due to the high credit quality and short settlement period, which generally settle within two to four business days. </w:t>
      </w:r>
    </w:p>
    <w:p>
      <w:pPr>
        <w:pStyle w:val="TextBody"/>
        <w:bidi w:val="0"/>
        <w:spacing w:before="240" w:after="0"/>
        <w:jc w:val="left"/>
        <w:rPr>
          <w:rFonts w:ascii="Times New Roman" w:hAnsi="Times New Roman"/>
          <w:sz w:val="20"/>
        </w:rPr>
      </w:pPr>
      <w:r>
        <w:rPr>
          <w:rFonts w:ascii="Times New Roman" w:hAnsi="Times New Roman"/>
          <w:b/>
          <w:sz w:val="20"/>
        </w:rPr>
        <w:t>Merchandise Inventories</w:t>
      </w:r>
      <w:r>
        <w:rPr>
          <w:rFonts w:ascii="Times New Roman" w:hAnsi="Times New Roman"/>
          <w:sz w:val="20"/>
        </w:rPr>
        <w:t xml:space="preserve">—Merchandise inventory consists of purchased finished goods and is valued at the lower of cost or net realizable value, with cost determined using a standard cost method and relieved using a first-in first-out basis. We reduce the value of our inventory to its estimated net realizable value where cost exceeds the estimated future selling price. </w:t>
      </w:r>
    </w:p>
    <w:p>
      <w:pPr>
        <w:pStyle w:val="TextBody"/>
        <w:bidi w:val="0"/>
        <w:spacing w:before="240" w:after="0"/>
        <w:jc w:val="left"/>
        <w:rPr>
          <w:rFonts w:ascii="Times New Roman" w:hAnsi="Times New Roman"/>
          <w:sz w:val="20"/>
        </w:rPr>
      </w:pPr>
      <w:r>
        <w:rPr>
          <w:rFonts w:ascii="Times New Roman" w:hAnsi="Times New Roman"/>
          <w:b/>
          <w:sz w:val="20"/>
        </w:rPr>
        <w:t>Prepaid Catalog Costs</w:t>
      </w:r>
      <w:r>
        <w:rPr>
          <w:rFonts w:ascii="Times New Roman" w:hAnsi="Times New Roman"/>
          <w:sz w:val="20"/>
        </w:rPr>
        <w:t xml:space="preserve">—Prepaid catalog costs consist of catalog production that have not yet been received by the customer and prepaid paper inventory used in catalog production and are recorded in Other current assets on our Consolidated Balance Sheets. Prepaid catalog costs are expensed based on the in-home date. </w:t>
      </w:r>
    </w:p>
    <w:p>
      <w:pPr>
        <w:pStyle w:val="TextBody"/>
        <w:bidi w:val="0"/>
        <w:spacing w:before="240" w:after="0"/>
        <w:jc w:val="left"/>
        <w:rPr>
          <w:rFonts w:ascii="Times New Roman" w:hAnsi="Times New Roman"/>
          <w:sz w:val="20"/>
        </w:rPr>
      </w:pPr>
      <w:r>
        <w:rPr>
          <w:rFonts w:ascii="Times New Roman" w:hAnsi="Times New Roman"/>
          <w:b/>
          <w:sz w:val="20"/>
        </w:rPr>
        <w:t>Advertising Costs</w:t>
      </w:r>
      <w:r>
        <w:rPr>
          <w:rFonts w:ascii="Times New Roman" w:hAnsi="Times New Roman"/>
          <w:sz w:val="20"/>
        </w:rPr>
        <w:t xml:space="preserve">—Advertising costs for certain direct response mail and media campaigns are expensed based on the in-home date or when they are otherwise presented to the customer. Other advertising costs are expensed as incurred. Advertising costs are recorded in Selling, general, and administrative expenses and were $228,000, $271,300 and $311,352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Cloud Computing Arrangements</w:t>
      </w:r>
      <w:r>
        <w:rPr>
          <w:rFonts w:ascii="Times New Roman" w:hAnsi="Times New Roman"/>
          <w:sz w:val="20"/>
        </w:rPr>
        <w:t xml:space="preserve">—Costs incurred to implement cloud computing arrangements hosted by third-party vendors are capitalized when incurred during the application development phase and amortized on a straight-line basis over the contractual term, plus any reasonably certain renewal periods, of the cloud computing arrangement and are included in Selling, general, and administrative expenses. Capitalized amounts related to such arrangements are recorded within Other current assets on our Consolidated Balance Sheets.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Fair Value of Financial Instruments</w:t>
      </w:r>
      <w:r>
        <w:rPr>
          <w:rFonts w:ascii="Times New Roman" w:hAnsi="Times New Roman"/>
          <w:sz w:val="20"/>
        </w:rPr>
        <w:t xml:space="preserve">—Accounting Standards Codification (“ASC”) Topic 825, </w:t>
      </w:r>
      <w:r>
        <w:rPr>
          <w:rFonts w:ascii="Times New Roman" w:hAnsi="Times New Roman"/>
          <w:i/>
          <w:sz w:val="20"/>
        </w:rPr>
        <w:t xml:space="preserve">Financial Instruments </w:t>
      </w:r>
      <w:r>
        <w:rPr>
          <w:rFonts w:ascii="Times New Roman" w:hAnsi="Times New Roman"/>
          <w:sz w:val="20"/>
        </w:rPr>
        <w:t xml:space="preserve">requires disclosure of the fair value of certain financial instruments. ASC Topic 820, </w:t>
      </w:r>
      <w:r>
        <w:rPr>
          <w:rFonts w:ascii="Times New Roman" w:hAnsi="Times New Roman"/>
          <w:i/>
          <w:sz w:val="20"/>
        </w:rPr>
        <w:t>Fair Value Measurements and Disclosures</w:t>
      </w:r>
      <w:r>
        <w:rPr>
          <w:rFonts w:ascii="Times New Roman" w:hAnsi="Times New Roman"/>
          <w:sz w:val="20"/>
        </w:rPr>
        <w:t xml:space="preserve"> defines fair value, establishes a framework for measuring fair value and enhances disclosures about fair value measurements. </w:t>
      </w:r>
    </w:p>
    <w:p>
      <w:pPr>
        <w:pStyle w:val="TextBody"/>
        <w:bidi w:val="0"/>
        <w:spacing w:before="240" w:after="0"/>
        <w:jc w:val="left"/>
        <w:rPr>
          <w:rFonts w:ascii="Times New Roman" w:hAnsi="Times New Roman"/>
          <w:sz w:val="20"/>
        </w:rPr>
      </w:pPr>
      <w:r>
        <w:rPr>
          <w:rFonts w:ascii="Times New Roman" w:hAnsi="Times New Roman"/>
          <w:sz w:val="20"/>
        </w:rPr>
        <w:t xml:space="preserve">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 </w:t>
      </w:r>
    </w:p>
    <w:p>
      <w:pPr>
        <w:pStyle w:val="TextBody"/>
        <w:bidi w:val="0"/>
        <w:spacing w:before="120" w:after="0"/>
        <w:jc w:val="left"/>
        <w:rPr>
          <w:rFonts w:ascii="Times New Roman" w:hAnsi="Times New Roman"/>
          <w:sz w:val="20"/>
        </w:rPr>
      </w:pPr>
      <w:r>
        <w:rPr>
          <w:rFonts w:ascii="Times New Roman" w:hAnsi="Times New Roman"/>
          <w:sz w:val="20"/>
        </w:rPr>
        <w:t xml:space="preserve">Level 1 – Quoted prices in active markets for identical assets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that are supported by little or no market activity and that are significant to the fair value of assets or liabilities. </w:t>
      </w:r>
    </w:p>
    <w:p>
      <w:pPr>
        <w:pStyle w:val="TextBody"/>
        <w:bidi w:val="0"/>
        <w:spacing w:before="240" w:after="0"/>
        <w:jc w:val="left"/>
        <w:rPr>
          <w:rFonts w:ascii="Times New Roman" w:hAnsi="Times New Roman"/>
          <w:sz w:val="20"/>
        </w:rPr>
      </w:pPr>
      <w:r>
        <w:rPr>
          <w:rFonts w:ascii="Times New Roman" w:hAnsi="Times New Roman"/>
          <w:sz w:val="20"/>
        </w:rPr>
        <w:t xml:space="preserve">See Note 18, for information regarding the fair value of certain financial assets. </w:t>
      </w:r>
    </w:p>
    <w:p>
      <w:pPr>
        <w:pStyle w:val="TextBody"/>
        <w:bidi w:val="0"/>
        <w:spacing w:before="240" w:after="0"/>
        <w:jc w:val="left"/>
        <w:rPr>
          <w:rFonts w:ascii="Times New Roman" w:hAnsi="Times New Roman"/>
          <w:sz w:val="20"/>
        </w:rPr>
      </w:pPr>
      <w:r>
        <w:rPr>
          <w:rFonts w:ascii="Times New Roman" w:hAnsi="Times New Roman"/>
          <w:b/>
          <w:sz w:val="20"/>
        </w:rPr>
        <w:t>Operating Leases</w:t>
      </w:r>
      <w:r>
        <w:rPr>
          <w:rFonts w:ascii="Times New Roman" w:hAnsi="Times New Roman"/>
          <w:sz w:val="20"/>
        </w:rPr>
        <w:t xml:space="preserve">—We determine if an arrangement is a lease at inception. We account for lease agreements as either operating or finance leases depending on certain defined criteria. Operating leases are recognized in Operating lease right-of-use (“ROU”) assets, Short-term operating lease liabilities, and Long-term operating lease liabilities on our consolidated balance sheets. The Company does not have any Finance leases. Lease liabilities are recognized based on the present value of the future minimum lease payments over the lease term at commencement date. Operating lease ROU assets are based on the lease liability adjusted for prepaid rent, deferred rent, and tenant allowances received from certain of the Company’s landlords. As most of our leases do not provide an implicit rate, we use our incremental borrowing rate based on the information available at commencement date in determining the present value of future payments. We recognize lease costs on a straight-line basis over the lease term without regard to deferred payment terms. Our lease terms may include options to extend or terminate the lease, and we adjust our measurement of the lease when it is reasonably certain that we will exercise that option. Operating lease liabilities are amortized based upon the effective interest method. Operating ROU assets are amortized based upon straight-line expense less interest on the lease liability.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 agreements may contain variable costs such as common area maintenance, operating expenses or other costs. Variable lease costs are expensed as incurred on the consolidated statements of operations. To the extent that these charges are fixed within the lease or increase based upon an index or a rate, these lease components are included in the measurement of the lease liability. The Company’s lease agreements generally do not contain any residual value guarantees or restrictive covenants. The Company elected the short-term lease recognition which allows Companies to exclude leases with a term of 12 months or less from the balance sheet. We also elected the practical expedient to not separate lease and non-lease components for our leases. </w:t>
      </w:r>
    </w:p>
    <w:p>
      <w:pPr>
        <w:pStyle w:val="TextBody"/>
        <w:bidi w:val="0"/>
        <w:spacing w:before="240" w:after="0"/>
        <w:jc w:val="left"/>
        <w:rPr>
          <w:rFonts w:ascii="Times New Roman" w:hAnsi="Times New Roman"/>
          <w:sz w:val="20"/>
        </w:rPr>
      </w:pPr>
      <w:r>
        <w:rPr>
          <w:rFonts w:ascii="Times New Roman" w:hAnsi="Times New Roman"/>
          <w:sz w:val="20"/>
        </w:rPr>
        <w:t xml:space="preserve">Operating ROU assets are reviewed for impairment whenever events or changes in circumstances indicate that the carrying amount of the assets may not be recoverable. If the estimated undiscounted future cash flows related to the Operating ROU assets are less than the carrying value, the Company recognizes a loss equal to the difference between the carrying value and the fair value. </w:t>
      </w:r>
    </w:p>
    <w:p>
      <w:pPr>
        <w:pStyle w:val="TextBody"/>
        <w:bidi w:val="0"/>
        <w:spacing w:before="240" w:after="0"/>
        <w:jc w:val="left"/>
        <w:rPr>
          <w:rFonts w:ascii="Times New Roman" w:hAnsi="Times New Roman"/>
          <w:sz w:val="20"/>
        </w:rPr>
      </w:pPr>
      <w:r>
        <w:rPr>
          <w:rFonts w:ascii="Times New Roman" w:hAnsi="Times New Roman"/>
          <w:b/>
          <w:sz w:val="20"/>
        </w:rPr>
        <w:t>Property, Plant, and Equipment Net</w:t>
      </w:r>
      <w:r>
        <w:rPr>
          <w:rFonts w:ascii="Times New Roman" w:hAnsi="Times New Roman"/>
          <w:sz w:val="20"/>
        </w:rPr>
        <w:t xml:space="preserve">—Property, plant, and equipment are stated at cost less accumulated depreciation and amortization. Depreciation and amortization of property, plant, and equipment is computed on a straight-line basis over the estimated useful lives of the related assets, which range from 5 to 30 years for buildings and improvements, and 3 to 10 years for other property and equipment and is included in Selling, general and administrative expenses, on the Consolidated Statements of Operations and Comprehensive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The Company also has leasehold improvements which are amortized over the lesser of 15 years or the life of the lease, including renewal periods, if reasonably assured. Repairs and maintenance are expensed as incurred. Costs incurred to develop internally developed software for internal use are capitalized and amortized over the estimated useful life of the software, which ranges from 3 to 5 years. Costs related to the design or maintenance of internally developed software is expensed as incurred. Additions and improvements which extend service lives are capitalized.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reviews its long-lived assets for impairment whenever events or changes in circumstances indicate that the carrying value of an asset may not be recoverable. An impairment loss is recognized when estimated future cash flows expected to result from the use of the asset and its eventual disposition is less than its carrying amount. When impairment is identified, the carrying amount of the asset is reduced to its estimated fair value. 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Certain software was impaired in 2023 resulting in an immaterial impairment and are recorded in Impairment of property, plant, and equipment – net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b/>
          <w:sz w:val="20"/>
        </w:rPr>
        <w:t>Intangible Assets - net</w:t>
      </w:r>
      <w:r>
        <w:rPr>
          <w:rFonts w:ascii="Times New Roman" w:hAnsi="Times New Roman"/>
          <w:sz w:val="20"/>
        </w:rPr>
        <w:t xml:space="preserve">—Intangible assets are recorded at their fair market values at the date of acquisition and finite-lived intangibles are amortized over their estimated useful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indefinite-lived intangible assets consist of our tradenames and are evaluated for impairment annually similarly to goodwill. When evaluating for impairment,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impairment evaluation for the Company’s indefinite-lived intangible assets involves comparing the estimated fair value of the assets to the carrying amounts, to determine if fair value is lower and a write-down required. If the carrying amount of the asset exceeds its estimated fair value, an impairment charge is recognized in an amount equal to the excess. The fair value of these assets is determined using the relief from royalty method, which is a form of the income approach. The estimates and assumptions used in the determination of the fair value of each tradename included their respective projected revenue growth, long-term growth rate, the royalty rate and discount rate. See Note 8 for additional discussion of the Company’s annual impairment test of indefinite-lived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finite-lived intangible assets consist of the value of customer lists which are amortized over three years. </w:t>
      </w:r>
    </w:p>
    <w:p>
      <w:pPr>
        <w:pStyle w:val="TextBody"/>
        <w:bidi w:val="0"/>
        <w:spacing w:before="240" w:after="0"/>
        <w:jc w:val="left"/>
        <w:rPr>
          <w:rFonts w:ascii="Times New Roman" w:hAnsi="Times New Roman"/>
          <w:sz w:val="20"/>
        </w:rPr>
      </w:pPr>
      <w:r>
        <w:rPr>
          <w:rFonts w:ascii="Times New Roman" w:hAnsi="Times New Roman"/>
          <w:b/>
          <w:sz w:val="20"/>
        </w:rPr>
        <w:t>Goodwill</w:t>
      </w: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The Company evaluates goodwill for impairment as of the fourth quarter. Determination of the fair value of a reporting unit is based on management’s assessment, considering independent third-party appraisals when necessary. Furthermore, this determination is judgmental in nature and often involves the use of significant estimates and assumptions, which include projected future cash flows, discount rates, growth rates and determination of appropriate market comparables and recent transactions. These estimates and assumptions could have a significant impact on whether or not an impairment charge is recognized and the amount of any such charge. We also evaluate goodwill for impairment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fiscal 2025, the Company determined there were circumstances that indicated an impairment may have occurred, including a decline in the Company’s net sales and declining margins, and performed a quantitative goodwill assessment. As a result, the Company recognized an impairment charge to goodwill of $10,108 for the year ended January 3, 2026. The Company elected a qualitative assessment for our fiscal fourth quarter 2024 goodwill impairment testing and determined that it was more likely than not that the fair value of the reporting unit was greater than its carrying amount, and as a result, no impairment for goodwill was required for the year ended December 28, 2024. See Note 9 for additional discussion of the Company’s annual impairment test. </w:t>
      </w:r>
    </w:p>
    <w:p>
      <w:pPr>
        <w:pStyle w:val="TextBody"/>
        <w:bidi w:val="0"/>
        <w:spacing w:before="240" w:after="0"/>
        <w:jc w:val="left"/>
        <w:rPr>
          <w:rFonts w:ascii="Times New Roman" w:hAnsi="Times New Roman"/>
          <w:sz w:val="20"/>
        </w:rPr>
      </w:pPr>
      <w:r>
        <w:rPr>
          <w:rFonts w:ascii="Times New Roman" w:hAnsi="Times New Roman"/>
          <w:b/>
          <w:sz w:val="20"/>
        </w:rPr>
        <w:t>Convertible Preferred Stock</w:t>
      </w:r>
      <w:r>
        <w:rPr>
          <w:rFonts w:ascii="Times New Roman" w:hAnsi="Times New Roman"/>
          <w:sz w:val="20"/>
        </w:rPr>
        <w:t xml:space="preserve">— In prior years, the Convertible Preferred Stock was classified within permanent equity and has been reclassified to temporary equity in the periods presented herein as the preferred stock can be redeemed upon a Deemed Liquidation Event which includes, amongst other items, a change in control which includes the consummation of a merger, reorganization, and certain other events as defined within Preferred Stockholders Agreement. As a Deemed Liquidation Event is outside of the Company’s control, the Convertible Preferred Stock is classified as temporary equity. It is generally not probable that a Deemed Liquidation Event will occur until the transaction has been consummated, because such transaction requires the agreement of a third party and substantive contingencies are associated with the transaction. Therefore, the Convertible Preferred Stock does not require subsequent remeasurement since it is not currently redeemable or probably of becoming redeemable at issuance. </w:t>
      </w:r>
    </w:p>
    <w:p>
      <w:pPr>
        <w:pStyle w:val="TextBody"/>
        <w:bidi w:val="0"/>
        <w:spacing w:before="240" w:after="0"/>
        <w:jc w:val="left"/>
        <w:rPr>
          <w:rFonts w:ascii="Times New Roman" w:hAnsi="Times New Roman"/>
          <w:sz w:val="20"/>
        </w:rPr>
      </w:pPr>
      <w:r>
        <w:rPr>
          <w:rFonts w:ascii="Times New Roman" w:hAnsi="Times New Roman"/>
          <w:b/>
          <w:sz w:val="20"/>
        </w:rPr>
        <w:t>Revenue Recognition</w:t>
      </w:r>
      <w:r>
        <w:rPr>
          <w:rFonts w:ascii="Times New Roman" w:hAnsi="Times New Roman"/>
          <w:sz w:val="20"/>
        </w:rPr>
        <w:t xml:space="preserve">—The Company generally recognizes revenue from internet, phone and mail sales upon shipment of the product. Revenue recognition occurs at a point in time, when performance obligations under the terms of a customer purchase order are satisfied. See Note 4 for additional discussion of our revenue recognition policies as well as additional disclosures on revenue from contracts with customers. </w:t>
      </w:r>
    </w:p>
    <w:p>
      <w:pPr>
        <w:pStyle w:val="TextBody"/>
        <w:bidi w:val="0"/>
        <w:spacing w:before="240" w:after="0"/>
        <w:jc w:val="left"/>
        <w:rPr>
          <w:rFonts w:ascii="Times New Roman" w:hAnsi="Times New Roman"/>
          <w:sz w:val="20"/>
        </w:rPr>
      </w:pPr>
      <w:r>
        <w:rPr>
          <w:rFonts w:ascii="Times New Roman" w:hAnsi="Times New Roman"/>
          <w:b/>
          <w:sz w:val="20"/>
        </w:rPr>
        <w:t>Cost of Merchandise Sold</w:t>
      </w:r>
      <w:r>
        <w:rPr>
          <w:rFonts w:ascii="Times New Roman" w:hAnsi="Times New Roman"/>
          <w:sz w:val="20"/>
        </w:rPr>
        <w:t xml:space="preserve">—Cost of merchandise sold consists of the merchandise, merchandise acquisition costs (primarily commissions and import fees), sourcing costs, and freight to the distribution centers. These costs are determined to be directly or indirectly incurred in bringing inventory available for sale. Additionally, promotional free gift expense and the direct costs associated with shipping goods to customers through outbound carriers are recorded as a component of Cost of merchandise sold. Depreciation and amortization are not considered components of Costs of merchandise sold and are included in Depreciation and Amortization in the Consolidated Statements of Operations and Comprehensive (Loss). </w:t>
      </w:r>
    </w:p>
    <w:p>
      <w:pPr>
        <w:pStyle w:val="TextBody"/>
        <w:bidi w:val="0"/>
        <w:spacing w:before="240" w:after="0"/>
        <w:jc w:val="left"/>
        <w:rPr>
          <w:rFonts w:ascii="Times New Roman" w:hAnsi="Times New Roman"/>
          <w:sz w:val="20"/>
        </w:rPr>
      </w:pPr>
      <w:r>
        <w:rPr>
          <w:rFonts w:ascii="Times New Roman" w:hAnsi="Times New Roman"/>
          <w:b/>
          <w:sz w:val="20"/>
        </w:rPr>
        <w:t>Selling, General, and Administrative Expenses</w:t>
      </w:r>
      <w:r>
        <w:rPr>
          <w:rFonts w:ascii="Times New Roman" w:hAnsi="Times New Roman"/>
          <w:sz w:val="20"/>
        </w:rPr>
        <w:t xml:space="preserve">—Selling, general, and administrative expenses consist of compensation and benefit-related costs for operation and administrative personnel. Selling, general, and administrative expenses also include costs for advertising and marketing, information technology, administrative facilities, insurance, legal, and administrative services. Costs associated with preparing the merchandise for shipping, such as picking, packing, warehousing and order charges (“handling costs”) are also recorded as a component of Selling, general, and administrative expenses. Handling costs were $50,121, $50,375 and $56,984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Income Taxes</w:t>
      </w:r>
      <w:r>
        <w:rPr>
          <w:rFonts w:ascii="Times New Roman" w:hAnsi="Times New Roman"/>
          <w:sz w:val="20"/>
        </w:rPr>
        <w:t xml:space="preserve">— Deferred income tax assets and liabilities are recognized for the estimated future tax consequences attributable to temporary differences between the financial statement carrying amounts of existing assets and liabilities and their respective tax basis. These assets and liabilities are measured using enacted tax rates expected to apply to taxable income in the years in which the temporary differences are expected to reverse. The Company evaluates the recoverability of deferred tax assets by assessing the likelihood of future profitability and available tax planning strategies that could be implemented to realize the deferred tax assets. The Company records a valuation allowance when it is determined that it is more likely than not that some portion (or all) of the deferred tax asset will not be realized. The valuation allowance is based on the Company’s best estimate of future taxable income and the amount of deferred taxes ultimately realizable. Future events could change management’s assessment.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records tax benefits for uncertain tax positions based upon management’s evaluation of the information available at the reporting date. To be recognized in the consolidated financial statements, a tax benefit must be at least more likely than not of being sustained based on technical merits. The benefit for positions meeting the recognition threshold is measured as the largest benefit more likely than not of being realized upon ultimate settlement with a taxing authority that has full knowledge of all relevant information. As of January 3, 2026, the Company’s federal and various state income tax returns for 2019 through 2024 are subject to examination by the applicable tax authorities. </w:t>
      </w:r>
    </w:p>
    <w:p>
      <w:pPr>
        <w:pStyle w:val="TextBody"/>
        <w:bidi w:val="0"/>
        <w:spacing w:before="240" w:after="0"/>
        <w:jc w:val="left"/>
        <w:rPr>
          <w:rFonts w:ascii="Times New Roman" w:hAnsi="Times New Roman"/>
          <w:sz w:val="20"/>
        </w:rPr>
      </w:pPr>
      <w:r>
        <w:rPr>
          <w:rFonts w:ascii="Times New Roman" w:hAnsi="Times New Roman"/>
          <w:b/>
          <w:sz w:val="20"/>
        </w:rPr>
        <w:t>Equity-Based Compensation</w:t>
      </w:r>
      <w:r>
        <w:rPr>
          <w:rFonts w:ascii="Times New Roman" w:hAnsi="Times New Roman"/>
          <w:sz w:val="20"/>
        </w:rPr>
        <w:t xml:space="preserve">— The Management Incentive Plan (“MIP”) provides for the grant of Restricted Stock Awards of the Company. The Company recognizes the cost resulting from equity-based compensation transactions at their grant date fair value. Equity-based compensation expense is recognized for the portion of the award that is ultimately expected to vest. The Company accounts for forfeitures as they occur rather than estimating future forfeitures. </w:t>
      </w:r>
    </w:p>
    <w:p>
      <w:pPr>
        <w:pStyle w:val="TextBody"/>
        <w:bidi w:val="0"/>
        <w:spacing w:before="240" w:after="0"/>
        <w:jc w:val="left"/>
        <w:rPr>
          <w:rFonts w:ascii="Times New Roman" w:hAnsi="Times New Roman"/>
          <w:sz w:val="20"/>
        </w:rPr>
      </w:pPr>
      <w:r>
        <w:rPr>
          <w:rFonts w:ascii="Times New Roman" w:hAnsi="Times New Roman"/>
          <w:b/>
          <w:sz w:val="20"/>
        </w:rPr>
        <w:t>Related Parties</w:t>
      </w:r>
      <w:r>
        <w:rPr>
          <w:rFonts w:ascii="Times New Roman" w:hAnsi="Times New Roman"/>
          <w:sz w:val="20"/>
        </w:rPr>
        <w:t xml:space="preserve">—Related 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board members and other parties with which the Company may deal with if one party controls or can significantly influence the management or operating policies of the other to an extent that one of the transacting parties might be prevented from fully pursuing its own separate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The amendments in this update provide increased transparency about income tax information through improvements to income tax disclosures primarily related to the rate reconciliation and income taxes paid information. This update also includes certain other amendments to improve the effectiveness of income tax disclosures. We prospectively adopted ASU 2023-09 in 2025, see Note 15.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 - 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 xml:space="preserve">On December 11, 2025, Divine Merger Sub I, Inc., a Delaware corporation and wholly owned direct subsidiary of Destination XL Group, Inc. (“DXL”), and the Company, entered into an Agreement and Plan of Merger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second quarter of fiscal 2026, is subject to customary closing conditions, including approval by DXL stockholders. Costs incurred in connection with this Merger, primarily related to professional service fees, of $4,816, were included in Transaction-related expenses on the Consolidated Statements of Operations and Comprehensive (Loss) Income for fiscal 2025. </w:t>
      </w:r>
    </w:p>
    <w:p>
      <w:pPr>
        <w:pStyle w:val="TextBody"/>
        <w:bidi w:val="0"/>
        <w:spacing w:before="360" w:after="0"/>
        <w:jc w:val="left"/>
        <w:rPr>
          <w:rFonts w:ascii="Times New Roman" w:hAnsi="Times New Roman"/>
          <w:b/>
          <w:sz w:val="20"/>
        </w:rPr>
      </w:pPr>
      <w:r>
        <w:rPr>
          <w:rFonts w:ascii="Times New Roman" w:hAnsi="Times New Roman"/>
          <w:b/>
          <w:sz w:val="20"/>
        </w:rPr>
        <w:t xml:space="preserve">2024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March 2024, the Company acquired the assets and some liabilities of Dia &amp; Co. The Dia Shop marketplace joined our new digital mall, which we created in 2023 and greatly expanded our new mall brand offerings – as our Dia Shop site indicates “over 100 brands, over 1,000 styles”. In addition, the Dia Style business and platform brought us a subscription box styling capability we intend to leverage with our existing, classic mall customer base. The acquisition was accounted for as a business combination under GAAP. </w:t>
      </w:r>
    </w:p>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 acquired the assets and some liabilities of Avenue, which presented a unique opportunity to expand our offerings to our classic, digital mall customers as well as introduces our classic mall and new mall customers to Avenue. Similar to our 2020 acquisition of Catherines, Avenue brings a legacy brick and mortar brand awareness which similarly we plan to leverage. Avenue was accounted for as an asset acquisition and included transaction costs of $1,827 in its calculation of the purchase price. Together, these acquisitions totaled $13,768. The acquisitions were immaterial individually and in the aggregate. </w:t>
      </w:r>
    </w:p>
    <w:p>
      <w:pPr>
        <w:pStyle w:val="TextBody"/>
        <w:bidi w:val="0"/>
        <w:spacing w:before="360" w:after="0"/>
        <w:jc w:val="left"/>
        <w:rPr>
          <w:rFonts w:ascii="Times New Roman" w:hAnsi="Times New Roman"/>
          <w:b/>
          <w:sz w:val="20"/>
        </w:rPr>
      </w:pPr>
      <w:r>
        <w:rPr>
          <w:rFonts w:ascii="Times New Roman" w:hAnsi="Times New Roman"/>
          <w:b/>
          <w:sz w:val="20"/>
        </w:rPr>
        <w:t xml:space="preserve">2023 Acquisitions </w:t>
      </w:r>
    </w:p>
    <w:p>
      <w:pPr>
        <w:pStyle w:val="TextBody"/>
        <w:bidi w:val="0"/>
        <w:spacing w:before="120" w:after="0"/>
        <w:jc w:val="left"/>
        <w:rPr>
          <w:rFonts w:ascii="Times New Roman" w:hAnsi="Times New Roman"/>
          <w:sz w:val="20"/>
        </w:rPr>
      </w:pPr>
      <w:r>
        <w:rPr>
          <w:rFonts w:ascii="Times New Roman" w:hAnsi="Times New Roman"/>
          <w:sz w:val="20"/>
        </w:rPr>
        <w:t xml:space="preserve">In May 2023, the Company acquired the assets of ELOQUII, a digitally native vertical brand that offers size-inclusive fashion and on-trend apparel. That was followed by the acquisition of the assets of CUUP in July 2023, a digitally native size-inclusive intimates brand that aims to disrupt the category by creating intimates that are made to accentuate customers’ natural form and bring confidence, comfort and stylish support. These two acquisitions, accounted for as business combinations under GAAP, were acquired in the amount of $8,875, were moved to our new digital mall. The acquisitions were immaterial individually and in the aggregate.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Accounting Policy and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Product sales to customers, including amounts billed to customers for shipping fees are included in Net sales on the Consolidated Statements of Operations and Comprehensive (Loss) Income. This occurs at the time of shipment when control of the promised goods or services is transferred to the customer, in the amount that reflects the consideration the Company expects to be entitled to in exchange for those goods or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related to shipping and handling that are billed to customers are recorded in Net sales, and the related costs are recorded in Cost of merchandise sold, on the Consolidated Statements of Operations and Comprehensive (Loss) Income. </w:t>
      </w:r>
    </w:p>
    <w:p>
      <w:pPr>
        <w:pStyle w:val="TextBody"/>
        <w:bidi w:val="0"/>
        <w:spacing w:before="240" w:after="0"/>
        <w:jc w:val="left"/>
        <w:rPr>
          <w:rFonts w:ascii="Times New Roman" w:hAnsi="Times New Roman"/>
          <w:sz w:val="20"/>
        </w:rPr>
      </w:pPr>
      <w:r>
        <w:rPr>
          <w:rFonts w:ascii="Times New Roman" w:hAnsi="Times New Roman"/>
          <w:sz w:val="20"/>
        </w:rPr>
        <w:t xml:space="preserve">The Company sells merchandise directly to customers primarily via its e-Commerce platform, telephone orders, and through the use of third party websites. As such, 99% of the Company’s revenue is from shipped sales and shipping revenue which is recognized at the point of shipment. The remaining 1% of sales comes from gift card breakage, marketing our credit card program, and breakage from loyalty programs, which are recognized over time which is consistent with prior periods. </w:t>
      </w:r>
    </w:p>
    <w:p>
      <w:pPr>
        <w:pStyle w:val="TextBody"/>
        <w:bidi w:val="0"/>
        <w:spacing w:before="240" w:after="0"/>
        <w:jc w:val="left"/>
        <w:rPr>
          <w:rFonts w:ascii="Times New Roman" w:hAnsi="Times New Roman"/>
          <w:sz w:val="20"/>
        </w:rPr>
      </w:pPr>
      <w:r>
        <w:rPr>
          <w:rFonts w:ascii="Times New Roman" w:hAnsi="Times New Roman"/>
          <w:sz w:val="20"/>
        </w:rPr>
        <w:t xml:space="preserve">Gift cards issued by the Company are recorded as a deferred liability until they are redeemed, at which point revenue is recognized. Gift cards do not have expiration dates. Gift card breakage is included in Net sales in the accompanying Consolidated Statements of Operations and Comprehensive (Loss) Income and was $9,246, $11,904 and $14,525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an agreement with a credit card issuer in connection with our private label credit cards whereby we receive cash incentives and reimbursements in exchange for promised services, such as marketing the credit card program to customers. The Company has identified separate performance obligations related to our private label credit card agreement that includes both providing a license and an obligation to redeem loyalty points issued under the loyalty program. The Company maintains customer loyalty programs associated with our private label credit cards which customers earn points towards rewards for qualifying purchases. Upon reaching specified point values, customers are issued a certificate. Points earned and certificates expire after a period of time. Our obligation to provide a license is satisfied when the subsequent sale or usage occurs and our obligation to redeem loyalty points is deferred until those loyalty points and certificates are redeemed. The Company received a signing bonus from our private label credit card issuer which is recognized over the life of the contract. Net sales are recognized over time as we transfer promised services throughout the contract term.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Price and Payment Terms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price is the amount of consideration we expect to receive from our customers and is reduced by any stated promotional discounts at the time of purchase. The transaction price may be variable due to terms that permit customers to exchange or return products for a refund. The implicit contract with the customer reflected in the transaction receipt states the final terms of the sale, including the description, quantity, and price of each product purchased. The customer agrees to a stated price in the contract that does not vary over the term of the contract and may include revenue to offset shipping costs. Sales tax collected from customers and remitted to taxing authorities is excluded from Net sales and is included as part of Accrued expenses and other liabilities on the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Returns and Refunds </w:t>
      </w:r>
    </w:p>
    <w:p>
      <w:pPr>
        <w:pStyle w:val="TextBody"/>
        <w:bidi w:val="0"/>
        <w:spacing w:before="120" w:after="0"/>
        <w:jc w:val="left"/>
        <w:rPr>
          <w:rFonts w:ascii="Times New Roman" w:hAnsi="Times New Roman"/>
          <w:sz w:val="20"/>
        </w:rPr>
      </w:pPr>
      <w:r>
        <w:rPr>
          <w:rFonts w:ascii="Times New Roman" w:hAnsi="Times New Roman"/>
          <w:sz w:val="20"/>
        </w:rPr>
        <w:t xml:space="preserve">The standard terms and conditions of a customer purchase order include general rights of return and product warranty provisions related to nonconforming merchandise. Depending on the circumstances, the merchandise is either replaced or a refund is issued. Such warranties do not represent a separate performance obligation. The Company records a reserve for estimated merchandise returns based on prior customer return patterns and various other assumptions, which is recorded in Accrued expenses and other liabilities on our Consolidated Balance Sheets and was $5,822 and $6,422 as of January 3, 2026 and December 28, 2024, respectively. The asset related to anticipated returned merchandise is included in Merchandise inventories on the Consolidated Balance Sheets and was $1,293 and $1,511 as of January 3, 2026 and December 28,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Contract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income for unredeemed gift cards, referred to as gift card breakage, in proportion to the anticipated redemptions and when the Company determines that it does not have a legal obligation to remit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the unredeemed gift card to the relevant jurisdiction as unclaimed or abandoned property. We expect the revenue associated with these liabilities to be recognized in proportion to the pattern of customer redemptions within two years.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received signing bonuses from its private label credit card issuer in 2025, 2018 and 2015, which are deferred and recognized in Net Sales on a straight line basis over the life of each contract.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defers a portion of merchandise sales related to the Company’s loyalty programs based on the estimated stand-alone selling price of the points earned and certificates issued. This deferred revenue is recognized in Net sales on the Consolidated Statements of Operations and Comprehensive (Loss) Income as certificates are redeemed or expire. The deferred revenue related to our loyalty programs is not material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93"/>
        <w:gridCol w:w="510"/>
        <w:gridCol w:w="223"/>
        <w:gridCol w:w="895"/>
        <w:gridCol w:w="60"/>
        <w:gridCol w:w="510"/>
        <w:gridCol w:w="286"/>
        <w:gridCol w:w="1146"/>
        <w:gridCol w:w="60"/>
        <w:gridCol w:w="510"/>
        <w:gridCol w:w="286"/>
        <w:gridCol w:w="1146"/>
        <w:gridCol w:w="63"/>
      </w:tblGrid>
      <w:tr>
        <w:trPr/>
        <w:tc>
          <w:tcPr>
            <w:tcW w:w="36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93"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3" w:type="dxa"/>
            <w:tcBorders/>
            <w:vAlign w:val="bottom"/>
          </w:tcPr>
          <w:p>
            <w:pPr>
              <w:pStyle w:val="TableContents"/>
              <w:bidi w:val="0"/>
              <w:spacing w:before="0" w:after="283"/>
              <w:jc w:val="left"/>
              <w:rPr/>
            </w:pPr>
            <w:r>
              <w:rPr/>
              <w:t> </w:t>
            </w:r>
          </w:p>
        </w:tc>
      </w:tr>
      <w:tr>
        <w:trPr/>
        <w:tc>
          <w:tcPr>
            <w:tcW w:w="36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51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5"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3,944</w:t>
            </w:r>
          </w:p>
        </w:tc>
        <w:tc>
          <w:tcPr>
            <w:tcW w:w="60"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6,620</w:t>
            </w:r>
          </w:p>
        </w:tc>
        <w:tc>
          <w:tcPr>
            <w:tcW w:w="63" w:type="dxa"/>
            <w:tcBorders/>
            <w:shd w:fill="CCEEFF" w:val="clear"/>
            <w:vAlign w:val="bottom"/>
          </w:tcPr>
          <w:p>
            <w:pPr>
              <w:pStyle w:val="TableContents"/>
              <w:bidi w:val="0"/>
              <w:spacing w:before="0" w:after="283"/>
              <w:jc w:val="left"/>
              <w:rPr/>
            </w:pPr>
            <w:r>
              <w:rPr/>
              <w:t> </w:t>
            </w:r>
          </w:p>
        </w:tc>
      </w:tr>
      <w:tr>
        <w:trPr/>
        <w:tc>
          <w:tcPr>
            <w:tcW w:w="3693"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51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prior period contact liabilities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773"/>
        <w:gridCol w:w="482"/>
        <w:gridCol w:w="223"/>
        <w:gridCol w:w="896"/>
        <w:gridCol w:w="60"/>
        <w:gridCol w:w="482"/>
        <w:gridCol w:w="286"/>
        <w:gridCol w:w="1146"/>
        <w:gridCol w:w="60"/>
        <w:gridCol w:w="482"/>
        <w:gridCol w:w="286"/>
        <w:gridCol w:w="1146"/>
        <w:gridCol w:w="66"/>
      </w:tblGrid>
      <w:tr>
        <w:trPr/>
        <w:tc>
          <w:tcPr>
            <w:tcW w:w="3773"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2" w:type="dxa"/>
            <w:tcBorders/>
            <w:vAlign w:val="bottom"/>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773"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66" w:type="dxa"/>
            <w:tcBorders/>
            <w:vAlign w:val="bottom"/>
          </w:tcPr>
          <w:p>
            <w:pPr>
              <w:pStyle w:val="TableContents"/>
              <w:bidi w:val="0"/>
              <w:spacing w:before="0" w:after="283"/>
              <w:jc w:val="left"/>
              <w:rPr/>
            </w:pPr>
            <w:r>
              <w:rPr/>
              <w:t> </w:t>
            </w:r>
          </w:p>
        </w:tc>
      </w:tr>
      <w:tr>
        <w:trPr/>
        <w:tc>
          <w:tcPr>
            <w:tcW w:w="37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redemptions and gift card breakage</w:t>
            </w:r>
          </w:p>
        </w:tc>
        <w:tc>
          <w:tcPr>
            <w:tcW w:w="48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1,866</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3,870</w:t>
            </w:r>
          </w:p>
        </w:tc>
        <w:tc>
          <w:tcPr>
            <w:tcW w:w="60" w:type="dxa"/>
            <w:tcBorders/>
            <w:shd w:fill="CCEEFF" w:val="clear"/>
            <w:vAlign w:val="bottom"/>
          </w:tcPr>
          <w:p>
            <w:pPr>
              <w:pStyle w:val="TableContents"/>
              <w:bidi w:val="0"/>
              <w:spacing w:before="0" w:after="283"/>
              <w:jc w:val="left"/>
              <w:rPr/>
            </w:pPr>
            <w:r>
              <w:rPr/>
              <w:t> </w:t>
            </w:r>
          </w:p>
        </w:tc>
        <w:tc>
          <w:tcPr>
            <w:tcW w:w="482"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5,911</w:t>
            </w:r>
          </w:p>
        </w:tc>
        <w:tc>
          <w:tcPr>
            <w:tcW w:w="66" w:type="dxa"/>
            <w:tcBorders/>
            <w:shd w:fill="CCEEFF" w:val="clear"/>
            <w:vAlign w:val="bottom"/>
          </w:tcPr>
          <w:p>
            <w:pPr>
              <w:pStyle w:val="TableContents"/>
              <w:bidi w:val="0"/>
              <w:spacing w:before="0" w:after="283"/>
              <w:jc w:val="left"/>
              <w:rPr/>
            </w:pPr>
            <w:r>
              <w:rPr/>
              <w:t> </w:t>
            </w:r>
          </w:p>
        </w:tc>
      </w:tr>
      <w:tr>
        <w:trPr/>
        <w:tc>
          <w:tcPr>
            <w:tcW w:w="3773"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8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482"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46" w:type="dxa"/>
            <w:tcBorders/>
            <w:vAlign w:val="bottom"/>
          </w:tcPr>
          <w:p>
            <w:pPr>
              <w:pStyle w:val="TableContents"/>
              <w:bidi w:val="0"/>
              <w:spacing w:before="0" w:after="283"/>
              <w:jc w:val="right"/>
              <w:rPr/>
            </w:pPr>
            <w:r>
              <w:rPr/>
              <w:t>3,200</w:t>
            </w:r>
          </w:p>
        </w:tc>
        <w:tc>
          <w:tcPr>
            <w:tcW w:w="66"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years ended January 3, 2026, December 28, 2024 and December 30, 2023, respectively.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7"/>
        <w:gridCol w:w="193"/>
        <w:gridCol w:w="140"/>
        <w:gridCol w:w="853"/>
        <w:gridCol w:w="60"/>
        <w:gridCol w:w="60"/>
        <w:gridCol w:w="60"/>
        <w:gridCol w:w="607"/>
        <w:gridCol w:w="322"/>
        <w:gridCol w:w="143"/>
        <w:gridCol w:w="140"/>
        <w:gridCol w:w="900"/>
        <w:gridCol w:w="60"/>
        <w:gridCol w:w="146"/>
        <w:gridCol w:w="60"/>
        <w:gridCol w:w="606"/>
        <w:gridCol w:w="275"/>
        <w:gridCol w:w="143"/>
        <w:gridCol w:w="140"/>
        <w:gridCol w:w="900"/>
        <w:gridCol w:w="60"/>
        <w:gridCol w:w="146"/>
        <w:gridCol w:w="60"/>
        <w:gridCol w:w="607"/>
        <w:gridCol w:w="287"/>
      </w:tblGrid>
      <w:tr>
        <w:trPr/>
        <w:tc>
          <w:tcPr>
            <w:tcW w:w="3237"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r>
      <w:tr>
        <w:trPr/>
        <w:tc>
          <w:tcPr>
            <w:tcW w:w="323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91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588,168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81.7</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658,303</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81.8</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00" w:type="dxa"/>
            <w:tcBorders/>
            <w:shd w:fill="CCEEFF" w:val="clear"/>
            <w:vAlign w:val="bottom"/>
          </w:tcPr>
          <w:p>
            <w:pPr>
              <w:pStyle w:val="TableContents"/>
              <w:bidi w:val="0"/>
              <w:spacing w:before="0" w:after="283"/>
              <w:jc w:val="right"/>
              <w:rPr/>
            </w:pPr>
            <w:r>
              <w:rPr/>
              <w:t>742,016</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80.8</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98,371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13.7</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105,832</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13.1</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123,816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13.5</w:t>
            </w:r>
          </w:p>
        </w:tc>
        <w:tc>
          <w:tcPr>
            <w:tcW w:w="287" w:type="dxa"/>
            <w:tcBorders/>
            <w:vAlign w:val="bottom"/>
          </w:tcPr>
          <w:p>
            <w:pPr>
              <w:pStyle w:val="TableContents"/>
              <w:bidi w:val="0"/>
              <w:spacing w:before="0" w:after="283"/>
              <w:jc w:val="left"/>
              <w:rPr/>
            </w:pPr>
            <w:r>
              <w:rPr/>
              <w:t>% </w:t>
            </w:r>
          </w:p>
        </w:tc>
      </w:tr>
      <w:tr>
        <w:trPr/>
        <w:tc>
          <w:tcPr>
            <w:tcW w:w="32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33,793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4.6</w:t>
            </w:r>
          </w:p>
        </w:tc>
        <w:tc>
          <w:tcPr>
            <w:tcW w:w="32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40,962</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right"/>
              <w:rPr/>
            </w:pPr>
            <w:r>
              <w:rPr/>
              <w:t>5.1</w:t>
            </w:r>
          </w:p>
        </w:tc>
        <w:tc>
          <w:tcPr>
            <w:tcW w:w="27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52,758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7" w:type="dxa"/>
            <w:tcBorders/>
            <w:shd w:fill="CCEEFF" w:val="clear"/>
            <w:vAlign w:val="bottom"/>
          </w:tcPr>
          <w:p>
            <w:pPr>
              <w:pStyle w:val="TableContents"/>
              <w:bidi w:val="0"/>
              <w:spacing w:before="0" w:after="283"/>
              <w:jc w:val="right"/>
              <w:rPr/>
            </w:pPr>
            <w:r>
              <w:rPr/>
              <w:t>5.7</w:t>
            </w:r>
          </w:p>
        </w:tc>
        <w:tc>
          <w:tcPr>
            <w:tcW w:w="287" w:type="dxa"/>
            <w:tcBorders/>
            <w:shd w:fill="CCEEFF" w:val="clear"/>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6"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7"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3237"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720,332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32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805,097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918,590</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vAlign w:val="bottom"/>
          </w:tcPr>
          <w:p>
            <w:pPr>
              <w:pStyle w:val="TableContents"/>
              <w:bidi w:val="0"/>
              <w:spacing w:before="0" w:after="283"/>
              <w:jc w:val="right"/>
              <w:rPr/>
            </w:pPr>
            <w:r>
              <w:rPr/>
              <w:t>100.0</w:t>
            </w:r>
          </w:p>
        </w:tc>
        <w:tc>
          <w:tcPr>
            <w:tcW w:w="287" w:type="dxa"/>
            <w:tcBorders/>
            <w:vAlign w:val="bottom"/>
          </w:tcPr>
          <w:p>
            <w:pPr>
              <w:pStyle w:val="TableContents"/>
              <w:bidi w:val="0"/>
              <w:spacing w:before="0" w:after="283"/>
              <w:jc w:val="left"/>
              <w:rPr/>
            </w:pPr>
            <w:r>
              <w:rPr/>
              <w:t>% </w:t>
            </w:r>
          </w:p>
        </w:tc>
      </w:tr>
      <w:tr>
        <w:trPr/>
        <w:tc>
          <w:tcPr>
            <w:tcW w:w="3237"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32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6"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07"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$8,370, $12,983 and $14,999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$914, $1,539 and $2,038 of net sales for the years ended January 3, 2026, December 28, 2024 and December 30, 2023,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$268, $597 and $688 of net sales for the years ended January 3, 2026, December 28, 2024 and December 30, 2023, respectively, relate to sales recognized over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other current assets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56"/>
        <w:gridCol w:w="480"/>
        <w:gridCol w:w="201"/>
        <w:gridCol w:w="987"/>
        <w:gridCol w:w="60"/>
        <w:gridCol w:w="480"/>
        <w:gridCol w:w="242"/>
        <w:gridCol w:w="1284"/>
        <w:gridCol w:w="65"/>
      </w:tblGrid>
      <w:tr>
        <w:trPr/>
        <w:tc>
          <w:tcPr>
            <w:tcW w:w="3956"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15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catalog costs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3,874</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3,914</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Catalog paper inventory</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4,129</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4,852</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assets</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5,011</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5,749</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receivable</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3,427</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7" w:type="dxa"/>
            <w:tcBorders/>
            <w:shd w:fill="CCEEFF" w:val="clear"/>
            <w:vAlign w:val="bottom"/>
          </w:tcPr>
          <w:p>
            <w:pPr>
              <w:pStyle w:val="TableContents"/>
              <w:bidi w:val="0"/>
              <w:spacing w:before="0" w:after="283"/>
              <w:jc w:val="right"/>
              <w:rPr/>
            </w:pPr>
            <w:r>
              <w:rPr/>
              <w:t>3,035</w:t>
            </w:r>
          </w:p>
        </w:tc>
        <w:tc>
          <w:tcPr>
            <w:tcW w:w="60" w:type="dxa"/>
            <w:tcBorders/>
            <w:shd w:fill="CCEEFF" w:val="clear"/>
            <w:vAlign w:val="bottom"/>
          </w:tcPr>
          <w:p>
            <w:pPr>
              <w:pStyle w:val="TableContents"/>
              <w:bidi w:val="0"/>
              <w:spacing w:before="0" w:after="283"/>
              <w:jc w:val="left"/>
              <w:rPr/>
            </w:pPr>
            <w:r>
              <w:rPr/>
              <w:t> </w:t>
            </w:r>
          </w:p>
        </w:tc>
        <w:tc>
          <w:tcPr>
            <w:tcW w:w="48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284" w:type="dxa"/>
            <w:tcBorders/>
            <w:shd w:fill="CCEEFF" w:val="clear"/>
            <w:vAlign w:val="bottom"/>
          </w:tcPr>
          <w:p>
            <w:pPr>
              <w:pStyle w:val="TableContents"/>
              <w:bidi w:val="0"/>
              <w:spacing w:before="0" w:after="283"/>
              <w:jc w:val="right"/>
              <w:rPr/>
            </w:pPr>
            <w:r>
              <w:rPr/>
              <w:t>1,165</w:t>
            </w:r>
          </w:p>
        </w:tc>
        <w:tc>
          <w:tcPr>
            <w:tcW w:w="65" w:type="dxa"/>
            <w:tcBorders/>
            <w:shd w:fill="CCEEFF" w:val="clear"/>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956"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current assets</w:t>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7" w:type="dxa"/>
            <w:tcBorders/>
            <w:vAlign w:val="bottom"/>
          </w:tcPr>
          <w:p>
            <w:pPr>
              <w:pStyle w:val="TableContents"/>
              <w:bidi w:val="0"/>
              <w:spacing w:before="0" w:after="283"/>
              <w:jc w:val="right"/>
              <w:rPr/>
            </w:pPr>
            <w:r>
              <w:rPr/>
              <w:t>19,476</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w:t>
            </w:r>
          </w:p>
        </w:tc>
        <w:tc>
          <w:tcPr>
            <w:tcW w:w="1284" w:type="dxa"/>
            <w:tcBorders/>
            <w:vAlign w:val="bottom"/>
          </w:tcPr>
          <w:p>
            <w:pPr>
              <w:pStyle w:val="TableContents"/>
              <w:bidi w:val="0"/>
              <w:spacing w:before="0" w:after="283"/>
              <w:jc w:val="right"/>
              <w:rPr/>
            </w:pPr>
            <w:r>
              <w:rPr/>
              <w:t>15,680</w:t>
            </w:r>
          </w:p>
        </w:tc>
        <w:tc>
          <w:tcPr>
            <w:tcW w:w="65" w:type="dxa"/>
            <w:tcBorders/>
            <w:vAlign w:val="bottom"/>
          </w:tcPr>
          <w:p>
            <w:pPr>
              <w:pStyle w:val="TableContents"/>
              <w:bidi w:val="0"/>
              <w:spacing w:before="0" w:after="283"/>
              <w:jc w:val="left"/>
              <w:rPr/>
            </w:pPr>
            <w:r>
              <w:rPr/>
              <w:t> </w:t>
            </w:r>
          </w:p>
        </w:tc>
      </w:tr>
      <w:tr>
        <w:trPr/>
        <w:tc>
          <w:tcPr>
            <w:tcW w:w="3956" w:type="dxa"/>
            <w:tcBorders/>
            <w:vAlign w:val="bottom"/>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242"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offices, warehouse space, and equipment leased under non-cancelable operating leasing arrangements which expire at various dates through 2031. If the lease contains a renewal period at the Company’s option, the renewal period is included in the lease term if determined the option is reasonably certain to be exercised. </w:t>
      </w:r>
    </w:p>
    <w:p>
      <w:pPr>
        <w:pStyle w:val="TextBody"/>
        <w:bidi w:val="0"/>
        <w:spacing w:before="240" w:after="0"/>
        <w:jc w:val="left"/>
        <w:rPr>
          <w:rFonts w:ascii="Times New Roman" w:hAnsi="Times New Roman"/>
          <w:sz w:val="20"/>
        </w:rPr>
      </w:pPr>
      <w:r>
        <w:rPr>
          <w:rFonts w:ascii="Times New Roman" w:hAnsi="Times New Roman"/>
          <w:sz w:val="20"/>
        </w:rPr>
        <w:t xml:space="preserve">Some of the Company’s leases contain real estate taxes, common area maintenance, and similar items that are billed as pass-through charges from its landlords. These payments are not included in the measurement of the lease liability but are recognized as variable lease cost in the period incurred.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discount rate as of January 3, 2026 and December 28, 2024 was 5.7% and 5.6%, respectively. The rate implicit in the lease is not readily determinable in the lease agreements; therefore, the Company estimated the incremental borrowing rate, at the commencement date of each lease, which is the rate of interest it would have to borrow on a collateralized basis over a similar term with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lease expense are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5"/>
        <w:gridCol w:w="394"/>
        <w:gridCol w:w="190"/>
        <w:gridCol w:w="934"/>
        <w:gridCol w:w="60"/>
        <w:gridCol w:w="394"/>
        <w:gridCol w:w="241"/>
        <w:gridCol w:w="1183"/>
        <w:gridCol w:w="60"/>
        <w:gridCol w:w="394"/>
        <w:gridCol w:w="241"/>
        <w:gridCol w:w="1183"/>
        <w:gridCol w:w="163"/>
      </w:tblGrid>
      <w:tr>
        <w:trPr/>
        <w:tc>
          <w:tcPr>
            <w:tcW w:w="3135"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35"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1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30,</w:t>
              <w:br/>
              <w:t>2023</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cost</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9,858</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9,993</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83" w:type="dxa"/>
            <w:tcBorders/>
            <w:shd w:fill="CCEEFF" w:val="clear"/>
            <w:vAlign w:val="bottom"/>
          </w:tcPr>
          <w:p>
            <w:pPr>
              <w:pStyle w:val="TableContents"/>
              <w:bidi w:val="0"/>
              <w:spacing w:before="0" w:after="283"/>
              <w:jc w:val="right"/>
              <w:rPr/>
            </w:pPr>
            <w:r>
              <w:rPr/>
              <w:t>9,994</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1,405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1,345</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1,282</w:t>
            </w:r>
          </w:p>
        </w:tc>
        <w:tc>
          <w:tcPr>
            <w:tcW w:w="163" w:type="dxa"/>
            <w:tcBorders/>
            <w:vAlign w:val="bottom"/>
          </w:tcPr>
          <w:p>
            <w:pPr>
              <w:pStyle w:val="TableContents"/>
              <w:bidi w:val="0"/>
              <w:spacing w:before="0" w:after="283"/>
              <w:jc w:val="left"/>
              <w:rPr/>
            </w:pPr>
            <w:r>
              <w:rPr/>
              <w:t> </w:t>
            </w:r>
          </w:p>
        </w:tc>
      </w:tr>
      <w:tr>
        <w:trPr/>
        <w:tc>
          <w:tcPr>
            <w:tcW w:w="313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Sublease income</w:t>
            </w:r>
          </w:p>
        </w:tc>
        <w:tc>
          <w:tcPr>
            <w:tcW w:w="394"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(365</w:t>
            </w:r>
          </w:p>
        </w:tc>
        <w:tc>
          <w:tcPr>
            <w:tcW w:w="163" w:type="dxa"/>
            <w:tcBorders/>
            <w:shd w:fill="CCEEFF" w:val="clear"/>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single" w:sz="2" w:space="1" w:color="000000"/>
              </w:pBdr>
              <w:bidi w:val="0"/>
              <w:spacing w:before="0" w:after="0"/>
              <w:jc w:val="left"/>
              <w:rPr/>
            </w:pPr>
            <w:r>
              <w:rPr/>
              <w:t> </w:t>
            </w:r>
          </w:p>
        </w:tc>
        <w:tc>
          <w:tcPr>
            <w:tcW w:w="1183"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313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cost</w:t>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11,263</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11,338</w:t>
            </w:r>
          </w:p>
        </w:tc>
        <w:tc>
          <w:tcPr>
            <w:tcW w:w="60"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183" w:type="dxa"/>
            <w:tcBorders/>
            <w:vAlign w:val="bottom"/>
          </w:tcPr>
          <w:p>
            <w:pPr>
              <w:pStyle w:val="TableContents"/>
              <w:bidi w:val="0"/>
              <w:spacing w:before="0" w:after="283"/>
              <w:jc w:val="right"/>
              <w:rPr/>
            </w:pPr>
            <w:r>
              <w:rPr/>
              <w:t>10,911</w:t>
            </w:r>
          </w:p>
        </w:tc>
        <w:tc>
          <w:tcPr>
            <w:tcW w:w="163" w:type="dxa"/>
            <w:tcBorders/>
            <w:vAlign w:val="bottom"/>
          </w:tcPr>
          <w:p>
            <w:pPr>
              <w:pStyle w:val="TableContents"/>
              <w:bidi w:val="0"/>
              <w:spacing w:before="0" w:after="283"/>
              <w:jc w:val="left"/>
              <w:rPr/>
            </w:pPr>
            <w:r>
              <w:rPr/>
              <w:t> </w:t>
            </w:r>
          </w:p>
        </w:tc>
      </w:tr>
      <w:tr>
        <w:trPr/>
        <w:tc>
          <w:tcPr>
            <w:tcW w:w="3135"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41" w:type="dxa"/>
            <w:tcBorders/>
            <w:vAlign w:val="bottom"/>
          </w:tcPr>
          <w:p>
            <w:pPr>
              <w:pStyle w:val="TableContents"/>
              <w:pBdr>
                <w:top w:val="double" w:sz="6" w:space="1" w:color="000000"/>
              </w:pBdr>
              <w:bidi w:val="0"/>
              <w:spacing w:before="0" w:after="0"/>
              <w:jc w:val="left"/>
              <w:rPr/>
            </w:pPr>
            <w:r>
              <w:rPr/>
              <w:t> </w:t>
            </w:r>
          </w:p>
        </w:tc>
        <w:tc>
          <w:tcPr>
            <w:tcW w:w="1183"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Supplemental operating cash flow information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274"/>
        <w:gridCol w:w="381"/>
        <w:gridCol w:w="226"/>
        <w:gridCol w:w="904"/>
        <w:gridCol w:w="60"/>
        <w:gridCol w:w="381"/>
        <w:gridCol w:w="241"/>
        <w:gridCol w:w="1179"/>
        <w:gridCol w:w="60"/>
        <w:gridCol w:w="381"/>
        <w:gridCol w:w="241"/>
        <w:gridCol w:w="1179"/>
        <w:gridCol w:w="65"/>
      </w:tblGrid>
      <w:tr>
        <w:trPr/>
        <w:tc>
          <w:tcPr>
            <w:tcW w:w="32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2022</w:t>
            </w:r>
          </w:p>
        </w:tc>
        <w:tc>
          <w:tcPr>
            <w:tcW w:w="65" w:type="dxa"/>
            <w:tcBorders/>
            <w:vAlign w:val="bottom"/>
          </w:tcPr>
          <w:p>
            <w:pPr>
              <w:pStyle w:val="TableContents"/>
              <w:bidi w:val="0"/>
              <w:spacing w:before="0" w:after="283"/>
              <w:jc w:val="left"/>
              <w:rPr/>
            </w:pPr>
            <w:r>
              <w:rPr/>
              <w:t> </w:t>
            </w:r>
          </w:p>
        </w:tc>
      </w:tr>
      <w:tr>
        <w:trPr/>
        <w:tc>
          <w:tcPr>
            <w:tcW w:w="3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included in the measurement of operating lease liabilities</w:t>
            </w:r>
          </w:p>
        </w:tc>
        <w:tc>
          <w:tcPr>
            <w:tcW w:w="381"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04" w:type="dxa"/>
            <w:tcBorders/>
            <w:shd w:fill="CCEEFF" w:val="clear"/>
            <w:vAlign w:val="bottom"/>
          </w:tcPr>
          <w:p>
            <w:pPr>
              <w:pStyle w:val="TableContents"/>
              <w:bidi w:val="0"/>
              <w:spacing w:before="0" w:after="283"/>
              <w:jc w:val="right"/>
              <w:rPr/>
            </w:pPr>
            <w:r>
              <w:rPr/>
              <w:t>9,866</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10,019</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10,026</w:t>
            </w:r>
          </w:p>
        </w:tc>
        <w:tc>
          <w:tcPr>
            <w:tcW w:w="65" w:type="dxa"/>
            <w:tcBorders/>
            <w:shd w:fill="CCEEFF" w:val="clear"/>
            <w:vAlign w:val="bottom"/>
          </w:tcPr>
          <w:p>
            <w:pPr>
              <w:pStyle w:val="TableContents"/>
              <w:bidi w:val="0"/>
              <w:spacing w:before="0" w:after="283"/>
              <w:jc w:val="left"/>
              <w:rPr/>
            </w:pPr>
            <w:r>
              <w:rPr/>
              <w:t> </w:t>
            </w:r>
          </w:p>
        </w:tc>
      </w:tr>
      <w:tr>
        <w:trPr/>
        <w:tc>
          <w:tcPr>
            <w:tcW w:w="3274"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new operating lease liabilities</w:t>
            </w:r>
          </w:p>
        </w:tc>
        <w:tc>
          <w:tcPr>
            <w:tcW w:w="381"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04" w:type="dxa"/>
            <w:tcBorders/>
            <w:vAlign w:val="bottom"/>
          </w:tcPr>
          <w:p>
            <w:pPr>
              <w:pStyle w:val="TableContents"/>
              <w:bidi w:val="0"/>
              <w:spacing w:before="0" w:after="283"/>
              <w:jc w:val="right"/>
              <w:rPr/>
            </w:pPr>
            <w:r>
              <w:rPr/>
              <w:t>377</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1,563</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Maturity of lease liabilities under our non-cancellable operating leases as of January 3, 2026,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41"/>
        <w:gridCol w:w="476"/>
        <w:gridCol w:w="145"/>
        <w:gridCol w:w="819"/>
        <w:gridCol w:w="158"/>
      </w:tblGrid>
      <w:tr>
        <w:trPr/>
        <w:tc>
          <w:tcPr>
            <w:tcW w:w="534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41" w:type="dxa"/>
            <w:tcBorders/>
            <w:vAlign w:val="bottom"/>
          </w:tcPr>
          <w:p>
            <w:pPr>
              <w:pStyle w:val="TableContents"/>
              <w:bidi w:val="0"/>
              <w:spacing w:before="0" w:after="283"/>
              <w:jc w:val="left"/>
              <w:rPr>
                <w:b/>
              </w:rPr>
            </w:pPr>
            <w:r>
              <w:rPr>
                <w:b/>
              </w:rPr>
              <w:t>Fiscal Years</w:t>
            </w:r>
          </w:p>
        </w:tc>
        <w:tc>
          <w:tcPr>
            <w:tcW w:w="476"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8,533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8,113</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8,003</w:t>
            </w:r>
          </w:p>
        </w:tc>
        <w:tc>
          <w:tcPr>
            <w:tcW w:w="158" w:type="dxa"/>
            <w:tcBorders/>
            <w:vAlign w:val="bottom"/>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7,689</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2,562</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45,250</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(13,574</w:t>
            </w:r>
          </w:p>
        </w:tc>
        <w:tc>
          <w:tcPr>
            <w:tcW w:w="158" w:type="dxa"/>
            <w:tcBorders/>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34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Present value of lease payments</w:t>
            </w:r>
          </w:p>
        </w:tc>
        <w:tc>
          <w:tcPr>
            <w:tcW w:w="476"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31,676</w:t>
            </w:r>
          </w:p>
        </w:tc>
        <w:tc>
          <w:tcPr>
            <w:tcW w:w="158" w:type="dxa"/>
            <w:tcBorders/>
            <w:shd w:fill="CCEEFF" w:val="clear"/>
            <w:vAlign w:val="bottom"/>
          </w:tcPr>
          <w:p>
            <w:pPr>
              <w:pStyle w:val="TableContents"/>
              <w:bidi w:val="0"/>
              <w:spacing w:before="0" w:after="283"/>
              <w:jc w:val="left"/>
              <w:rPr/>
            </w:pPr>
            <w:r>
              <w:rPr/>
              <w:t> </w:t>
            </w:r>
          </w:p>
        </w:tc>
      </w:tr>
      <w:tr>
        <w:trPr/>
        <w:tc>
          <w:tcPr>
            <w:tcW w:w="534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weighted-average remaining lease term is 4.9 years, 5.7 years and 6.6 years as of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were no executed leases in which the Company did not have control of the underlying asset.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as of January 3, 2026 and December 28, 2024,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3"/>
        <w:gridCol w:w="464"/>
        <w:gridCol w:w="176"/>
        <w:gridCol w:w="975"/>
        <w:gridCol w:w="60"/>
        <w:gridCol w:w="464"/>
        <w:gridCol w:w="210"/>
        <w:gridCol w:w="1268"/>
        <w:gridCol w:w="65"/>
      </w:tblGrid>
      <w:tr>
        <w:trPr/>
        <w:tc>
          <w:tcPr>
            <w:tcW w:w="4073"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073"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building, and improvements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30,486</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68" w:type="dxa"/>
            <w:tcBorders/>
            <w:shd w:fill="CCEEFF" w:val="clear"/>
            <w:vAlign w:val="bottom"/>
          </w:tcPr>
          <w:p>
            <w:pPr>
              <w:pStyle w:val="TableContents"/>
              <w:bidi w:val="0"/>
              <w:spacing w:before="0" w:after="283"/>
              <w:jc w:val="right"/>
              <w:rPr/>
            </w:pPr>
            <w:r>
              <w:rPr/>
              <w:t>29,689</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Technical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21,085</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18,266</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6,457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6,392</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Internal Software</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50,278</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45,674</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1,185</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1,526</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109,491</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68" w:type="dxa"/>
            <w:tcBorders/>
            <w:vAlign w:val="bottom"/>
          </w:tcPr>
          <w:p>
            <w:pPr>
              <w:pStyle w:val="TableContents"/>
              <w:bidi w:val="0"/>
              <w:spacing w:before="0" w:after="283"/>
              <w:jc w:val="right"/>
              <w:rPr/>
            </w:pPr>
            <w:r>
              <w:rPr/>
              <w:t>101,547</w:t>
            </w:r>
          </w:p>
        </w:tc>
        <w:tc>
          <w:tcPr>
            <w:tcW w:w="65" w:type="dxa"/>
            <w:tcBorders/>
            <w:vAlign w:val="bottom"/>
          </w:tcPr>
          <w:p>
            <w:pPr>
              <w:pStyle w:val="TableContents"/>
              <w:bidi w:val="0"/>
              <w:spacing w:before="0" w:after="283"/>
              <w:jc w:val="left"/>
              <w:rPr/>
            </w:pPr>
            <w:r>
              <w:rPr/>
              <w:t> </w:t>
            </w:r>
          </w:p>
        </w:tc>
      </w:tr>
      <w:tr>
        <w:trPr/>
        <w:tc>
          <w:tcPr>
            <w:tcW w:w="40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 and amortization</w:t>
            </w:r>
          </w:p>
        </w:tc>
        <w:tc>
          <w:tcPr>
            <w:tcW w:w="46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77,607</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68" w:type="dxa"/>
            <w:tcBorders/>
            <w:shd w:fill="CCEEFF" w:val="clear"/>
            <w:vAlign w:val="bottom"/>
          </w:tcPr>
          <w:p>
            <w:pPr>
              <w:pStyle w:val="TableContents"/>
              <w:bidi w:val="0"/>
              <w:spacing w:before="0" w:after="283"/>
              <w:jc w:val="right"/>
              <w:rPr/>
            </w:pPr>
            <w:r>
              <w:rPr/>
              <w:t>66,865</w:t>
            </w:r>
          </w:p>
        </w:tc>
        <w:tc>
          <w:tcPr>
            <w:tcW w:w="65" w:type="dxa"/>
            <w:tcBorders/>
            <w:shd w:fill="CCEEFF" w:val="clear"/>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6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073" w:type="dxa"/>
            <w:tcBorders/>
          </w:tcPr>
          <w:p>
            <w:pPr>
              <w:pStyle w:val="TableContents"/>
              <w:bidi w:val="0"/>
              <w:spacing w:before="0" w:after="0"/>
              <w:jc w:val="left"/>
              <w:rPr>
                <w:rFonts w:ascii="Times New Roman" w:hAnsi="Times New Roman"/>
                <w:sz w:val="20"/>
              </w:rPr>
            </w:pPr>
            <w:r>
              <w:rPr>
                <w:rFonts w:ascii="Times New Roman" w:hAnsi="Times New Roman"/>
                <w:sz w:val="20"/>
              </w:rPr>
              <w:t>Total net property and equipment</w:t>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31,884</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68" w:type="dxa"/>
            <w:tcBorders/>
            <w:vAlign w:val="bottom"/>
          </w:tcPr>
          <w:p>
            <w:pPr>
              <w:pStyle w:val="TableContents"/>
              <w:bidi w:val="0"/>
              <w:spacing w:before="0" w:after="283"/>
              <w:jc w:val="right"/>
              <w:rPr/>
            </w:pPr>
            <w:r>
              <w:rPr/>
              <w:t>34,682</w:t>
            </w:r>
          </w:p>
        </w:tc>
        <w:tc>
          <w:tcPr>
            <w:tcW w:w="65" w:type="dxa"/>
            <w:tcBorders/>
            <w:vAlign w:val="bottom"/>
          </w:tcPr>
          <w:p>
            <w:pPr>
              <w:pStyle w:val="TableContents"/>
              <w:bidi w:val="0"/>
              <w:spacing w:before="0" w:after="283"/>
              <w:jc w:val="left"/>
              <w:rPr/>
            </w:pPr>
            <w:r>
              <w:rPr/>
              <w:t> </w:t>
            </w:r>
          </w:p>
        </w:tc>
      </w:tr>
      <w:tr>
        <w:trPr/>
        <w:tc>
          <w:tcPr>
            <w:tcW w:w="4073"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64"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6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expense for property, plant, and equipment was $10,862, $9,459 and $9,508 for the years ended January 3, 2026,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Company’s intangible assets other than tradename and goodwill as of January 3, 2026 and December 28, 2024: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January 3, 2026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78,766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2,285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78,766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2,285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128,779</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131,064</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200" w:type="pct"/>
        <w:jc w:val="center"/>
        <w:tblInd w:w="0" w:type="dxa"/>
        <w:tblLayout w:type="fixed"/>
        <w:tblCellMar>
          <w:top w:w="0" w:type="dxa"/>
          <w:left w:w="0" w:type="dxa"/>
          <w:bottom w:w="0" w:type="dxa"/>
          <w:right w:w="0" w:type="dxa"/>
        </w:tblCellMar>
      </w:tblPr>
      <w:tblGrid>
        <w:gridCol w:w="2813"/>
        <w:gridCol w:w="353"/>
        <w:gridCol w:w="256"/>
        <w:gridCol w:w="1256"/>
        <w:gridCol w:w="60"/>
        <w:gridCol w:w="353"/>
        <w:gridCol w:w="236"/>
        <w:gridCol w:w="1157"/>
        <w:gridCol w:w="60"/>
        <w:gridCol w:w="353"/>
        <w:gridCol w:w="238"/>
        <w:gridCol w:w="1370"/>
        <w:gridCol w:w="67"/>
      </w:tblGrid>
      <w:tr>
        <w:trPr/>
        <w:tc>
          <w:tcPr>
            <w:tcW w:w="281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53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12" w:type="dxa"/>
            <w:gridSpan w:val="2"/>
            <w:tcBorders/>
            <w:vAlign w:val="bottom"/>
          </w:tcPr>
          <w:p>
            <w:pPr>
              <w:pStyle w:val="TableContents"/>
              <w:bidi w:val="0"/>
              <w:spacing w:before="0" w:after="283"/>
              <w:jc w:val="center"/>
              <w:rPr>
                <w:b/>
              </w:rPr>
            </w:pPr>
            <w:r>
              <w:rPr>
                <w:b/>
              </w:rPr>
              <w:t>Gross Amount</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93" w:type="dxa"/>
            <w:gridSpan w:val="2"/>
            <w:tcBorders/>
            <w:vAlign w:val="bottom"/>
          </w:tcPr>
          <w:p>
            <w:pPr>
              <w:pStyle w:val="TableContents"/>
              <w:bidi w:val="0"/>
              <w:spacing w:before="0" w:after="283"/>
              <w:jc w:val="center"/>
              <w:rPr>
                <w:b/>
              </w:rPr>
            </w:pPr>
            <w:r>
              <w:rPr>
                <w:b/>
              </w:rPr>
              <w:t>Accumulated</w:t>
              <w:br/>
              <w:t>Amortization</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center"/>
              <w:rPr>
                <w:b/>
              </w:rPr>
            </w:pPr>
            <w:r>
              <w:rPr>
                <w:b/>
              </w:rPr>
              <w:t>Total Net Book</w:t>
              <w:br/>
              <w:t>Value</w:t>
            </w:r>
          </w:p>
        </w:tc>
        <w:tc>
          <w:tcPr>
            <w:tcW w:w="67" w:type="dxa"/>
            <w:tcBorders/>
            <w:vAlign w:val="bottom"/>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Finite-lived intangible assets (life):</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137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Customer List (3 years)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81,051</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1157" w:type="dxa"/>
            <w:tcBorders/>
            <w:vAlign w:val="bottom"/>
          </w:tcPr>
          <w:p>
            <w:pPr>
              <w:pStyle w:val="TableContents"/>
              <w:bidi w:val="0"/>
              <w:spacing w:before="0" w:after="283"/>
              <w:jc w:val="right"/>
              <w:rPr/>
            </w:pPr>
            <w:r>
              <w:rPr/>
              <w:t>76,036</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5,015</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single" w:sz="2" w:space="1" w:color="000000"/>
              </w:pBdr>
              <w:bidi w:val="0"/>
              <w:spacing w:before="0" w:after="0"/>
              <w:jc w:val="left"/>
              <w:rPr/>
            </w:pPr>
            <w:r>
              <w:rPr/>
              <w:t> </w:t>
            </w:r>
          </w:p>
        </w:tc>
        <w:tc>
          <w:tcPr>
            <w:tcW w:w="11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finite-lived intangible assets</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81,051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1157" w:type="dxa"/>
            <w:tcBorders/>
            <w:shd w:fill="CCEEFF" w:val="clear"/>
            <w:vAlign w:val="bottom"/>
          </w:tcPr>
          <w:p>
            <w:pPr>
              <w:pStyle w:val="TableContents"/>
              <w:bidi w:val="0"/>
              <w:spacing w:before="0" w:after="283"/>
              <w:jc w:val="right"/>
              <w:rPr/>
            </w:pPr>
            <w:r>
              <w:rPr/>
              <w:t>76,036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5,015</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pBdr>
                <w:top w:val="double" w:sz="6" w:space="1" w:color="000000"/>
              </w:pBdr>
              <w:bidi w:val="0"/>
              <w:spacing w:before="0" w:after="0"/>
              <w:jc w:val="left"/>
              <w:rPr/>
            </w:pPr>
            <w:r>
              <w:rPr/>
              <w:t> </w:t>
            </w:r>
          </w:p>
        </w:tc>
        <w:tc>
          <w:tcPr>
            <w:tcW w:w="11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1370"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Indefinite-lived intangible assets - tradenames</w:t>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134,636</w:t>
            </w:r>
          </w:p>
        </w:tc>
        <w:tc>
          <w:tcPr>
            <w:tcW w:w="67" w:type="dxa"/>
            <w:tcBorders/>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intangible assets - net</w:t>
            </w:r>
          </w:p>
        </w:tc>
        <w:tc>
          <w:tcPr>
            <w:tcW w:w="353"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sz w:val="4"/>
                <w:szCs w:val="4"/>
              </w:rPr>
            </w:pPr>
            <w:r>
              <w:rPr>
                <w:sz w:val="4"/>
                <w:szCs w:val="4"/>
              </w:rPr>
            </w:r>
          </w:p>
        </w:tc>
        <w:tc>
          <w:tcPr>
            <w:tcW w:w="115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53"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139,651</w:t>
            </w:r>
          </w:p>
        </w:tc>
        <w:tc>
          <w:tcPr>
            <w:tcW w:w="67" w:type="dxa"/>
            <w:tcBorders/>
            <w:shd w:fill="CCEEFF" w:val="clear"/>
            <w:vAlign w:val="bottom"/>
          </w:tcPr>
          <w:p>
            <w:pPr>
              <w:pStyle w:val="TableContents"/>
              <w:bidi w:val="0"/>
              <w:spacing w:before="0" w:after="283"/>
              <w:jc w:val="left"/>
              <w:rPr/>
            </w:pPr>
            <w:r>
              <w:rPr/>
              <w:t> </w:t>
            </w:r>
          </w:p>
        </w:tc>
      </w:tr>
      <w:tr>
        <w:trPr/>
        <w:tc>
          <w:tcPr>
            <w:tcW w:w="281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sz w:val="4"/>
                <w:szCs w:val="4"/>
              </w:rPr>
            </w:pPr>
            <w:r>
              <w:rPr>
                <w:sz w:val="4"/>
                <w:szCs w:val="4"/>
              </w:rPr>
            </w:r>
          </w:p>
        </w:tc>
        <w:tc>
          <w:tcPr>
            <w:tcW w:w="11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year ended January 3, 2026, based on a combination of factors, predominantly driven by the reduction of demand of certain of the Company’s brand products, the Company concluded that the carrying value of its tradenames exceeded their fair values and recorded a non-cash intangible asset impairment charge of $5,857. Based on the results of the Company’s annual impairment testing of its indefinite-lived intangible assets for the year ended December 28, 2024, no impairment charges were deemed necessary. In the year ended December 30, 2023, based on a combination of factors, predominantly driven by the reduction of customer demand for one of the Company’s brand products, the Company concluded that the carrying value of one of its tradenames exceeded their fair values and recorded a non-cash intangible asset impairment charge of $11,532. </w:t>
      </w:r>
    </w:p>
    <w:p>
      <w:pPr>
        <w:pStyle w:val="TextBody"/>
        <w:bidi w:val="0"/>
        <w:spacing w:before="240" w:after="0"/>
        <w:jc w:val="left"/>
        <w:rPr>
          <w:rFonts w:ascii="Times New Roman" w:hAnsi="Times New Roman"/>
          <w:sz w:val="20"/>
        </w:rPr>
      </w:pPr>
      <w:r>
        <w:rPr>
          <w:rFonts w:ascii="Times New Roman" w:hAnsi="Times New Roman"/>
          <w:sz w:val="20"/>
        </w:rPr>
        <w:t xml:space="preserve">Finite-lived intangible assets are amortized on a straight-line method over their expected lives, except customer lists which were amortized on an accelerated method. The Company recorded amortization expense of $2,730, $2,624 and $4,856 for the years ended January 3, 2026, December 28, 2024 and December 30, 2023, respectively. The estimated aggregated future amortization expense for all amortizable intangibles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75"/>
        <w:gridCol w:w="438"/>
        <w:gridCol w:w="140"/>
        <w:gridCol w:w="623"/>
        <w:gridCol w:w="63"/>
      </w:tblGrid>
      <w:tr>
        <w:trPr/>
        <w:tc>
          <w:tcPr>
            <w:tcW w:w="567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2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1,852</w:t>
            </w:r>
          </w:p>
        </w:tc>
        <w:tc>
          <w:tcPr>
            <w:tcW w:w="63" w:type="dxa"/>
            <w:tcBorders/>
            <w:vAlign w:val="bottom"/>
          </w:tcPr>
          <w:p>
            <w:pPr>
              <w:pStyle w:val="TableContents"/>
              <w:bidi w:val="0"/>
              <w:spacing w:before="0" w:after="283"/>
              <w:jc w:val="left"/>
              <w:rPr/>
            </w:pPr>
            <w:r>
              <w:rPr/>
              <w:t> </w:t>
            </w:r>
          </w:p>
        </w:tc>
      </w:tr>
      <w:tr>
        <w:trPr/>
        <w:tc>
          <w:tcPr>
            <w:tcW w:w="56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434</w:t>
            </w:r>
          </w:p>
        </w:tc>
        <w:tc>
          <w:tcPr>
            <w:tcW w:w="63"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2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67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23" w:type="dxa"/>
            <w:tcBorders/>
            <w:vAlign w:val="bottom"/>
          </w:tcPr>
          <w:p>
            <w:pPr>
              <w:pStyle w:val="TableContents"/>
              <w:bidi w:val="0"/>
              <w:spacing w:before="0" w:after="283"/>
              <w:jc w:val="right"/>
              <w:rPr/>
            </w:pPr>
            <w:r>
              <w:rPr/>
              <w:t>2,285</w:t>
            </w:r>
          </w:p>
        </w:tc>
        <w:tc>
          <w:tcPr>
            <w:tcW w:w="63"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2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changes in the carrying amount of goodwill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38"/>
        <w:gridCol w:w="462"/>
        <w:gridCol w:w="147"/>
        <w:gridCol w:w="831"/>
        <w:gridCol w:w="161"/>
      </w:tblGrid>
      <w:tr>
        <w:trPr/>
        <w:tc>
          <w:tcPr>
            <w:tcW w:w="5338" w:type="dxa"/>
            <w:tcBorders/>
            <w:vAlign w:val="center"/>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31" w:type="dxa"/>
            <w:tcBorders/>
            <w:vAlign w:val="bottom"/>
          </w:tcPr>
          <w:p>
            <w:pPr>
              <w:pStyle w:val="TableContents"/>
              <w:bidi w:val="0"/>
              <w:spacing w:before="0" w:after="283"/>
              <w:jc w:val="right"/>
              <w:rPr/>
            </w:pPr>
            <w:r>
              <w:rPr/>
              <w:t>40,215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9,378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in fiscal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578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40,793</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(30,837</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30, 2023</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9,956</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Additions in fiscal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152</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3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(30,837</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28, 2024</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10,108</w:t>
            </w:r>
          </w:p>
        </w:tc>
        <w:tc>
          <w:tcPr>
            <w:tcW w:w="161" w:type="dxa"/>
            <w:tcBorders/>
            <w:vAlign w:val="bottom"/>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 loss in fiscal 2025</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(10,108</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3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31" w:type="dxa"/>
            <w:tcBorders/>
            <w:shd w:fill="CCEEFF" w:val="clear"/>
            <w:vAlign w:val="bottom"/>
          </w:tcPr>
          <w:p>
            <w:pPr>
              <w:pStyle w:val="TableContents"/>
              <w:bidi w:val="0"/>
              <w:spacing w:before="0" w:after="283"/>
              <w:jc w:val="right"/>
              <w:rPr/>
            </w:pPr>
            <w:r>
              <w:rPr/>
              <w:t>40,945</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impairment losses</w:t>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31" w:type="dxa"/>
            <w:tcBorders/>
            <w:vAlign w:val="bottom"/>
          </w:tcPr>
          <w:p>
            <w:pPr>
              <w:pStyle w:val="TableContents"/>
              <w:bidi w:val="0"/>
              <w:spacing w:before="0" w:after="283"/>
              <w:jc w:val="right"/>
              <w:rPr/>
            </w:pPr>
            <w:r>
              <w:rPr/>
              <w:t>(40,945</w:t>
            </w:r>
          </w:p>
        </w:tc>
        <w:tc>
          <w:tcPr>
            <w:tcW w:w="161" w:type="dxa"/>
            <w:tcBorders/>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3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3, 2026</w:t>
            </w:r>
          </w:p>
        </w:tc>
        <w:tc>
          <w:tcPr>
            <w:tcW w:w="46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3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5338" w:type="dxa"/>
            <w:tcBorders/>
            <w:vAlign w:val="bottom"/>
          </w:tcPr>
          <w:p>
            <w:pPr>
              <w:pStyle w:val="TableContents"/>
              <w:bidi w:val="0"/>
              <w:spacing w:before="0" w:after="283"/>
              <w:jc w:val="left"/>
              <w:rPr>
                <w:sz w:val="4"/>
                <w:szCs w:val="4"/>
              </w:rPr>
            </w:pPr>
            <w:r>
              <w:rPr>
                <w:sz w:val="4"/>
                <w:szCs w:val="4"/>
              </w:rPr>
            </w:r>
          </w:p>
        </w:tc>
        <w:tc>
          <w:tcPr>
            <w:tcW w:w="46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3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year ended January 3, 2026, the Company recorded an impairment charge of $10,108 in order to adjust carrying value to estimated fair value. No impairment charge was recorded for the year ended December 28, 2024 or December 30, 2023, respectively. See Note 2 for more information about our annual impairment test of goodwill.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accrued expenses as of January 3, 2026 and December 28, 2024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13"/>
        <w:gridCol w:w="454"/>
        <w:gridCol w:w="201"/>
        <w:gridCol w:w="986"/>
        <w:gridCol w:w="60"/>
        <w:gridCol w:w="454"/>
        <w:gridCol w:w="243"/>
        <w:gridCol w:w="1281"/>
        <w:gridCol w:w="63"/>
      </w:tblGrid>
      <w:tr>
        <w:trPr/>
        <w:tc>
          <w:tcPr>
            <w:tcW w:w="4013"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13"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cards and customer credits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986" w:type="dxa"/>
            <w:tcBorders/>
            <w:shd w:fill="CCEEFF" w:val="clear"/>
            <w:vAlign w:val="bottom"/>
          </w:tcPr>
          <w:p>
            <w:pPr>
              <w:pStyle w:val="TableContents"/>
              <w:bidi w:val="0"/>
              <w:spacing w:before="0" w:after="283"/>
              <w:jc w:val="right"/>
              <w:rPr/>
            </w:pPr>
            <w:r>
              <w:rPr/>
              <w:t>4,705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5,095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related</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6,402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8,014</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 liabilities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5,608</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9,357</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Advertising</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9,524</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9,487</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9,009</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9,595</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Returns reserve</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5,822</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6,422</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2,260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2,592</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(includes $2,508 and $2,731 to related parties, respectively)</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986" w:type="dxa"/>
            <w:tcBorders/>
            <w:vAlign w:val="bottom"/>
          </w:tcPr>
          <w:p>
            <w:pPr>
              <w:pStyle w:val="TableContents"/>
              <w:bidi w:val="0"/>
              <w:spacing w:before="0" w:after="283"/>
              <w:jc w:val="right"/>
              <w:rPr/>
            </w:pPr>
            <w:r>
              <w:rPr/>
              <w:t>3,031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3,296</w:t>
            </w:r>
          </w:p>
        </w:tc>
        <w:tc>
          <w:tcPr>
            <w:tcW w:w="63" w:type="dxa"/>
            <w:tcBorders/>
            <w:vAlign w:val="bottom"/>
          </w:tcPr>
          <w:p>
            <w:pPr>
              <w:pStyle w:val="TableContents"/>
              <w:bidi w:val="0"/>
              <w:spacing w:before="0" w:after="283"/>
              <w:jc w:val="left"/>
              <w:rPr/>
            </w:pPr>
            <w:r>
              <w:rPr/>
              <w:t> </w:t>
            </w:r>
          </w:p>
        </w:tc>
      </w:tr>
      <w:tr>
        <w:trPr/>
        <w:tc>
          <w:tcPr>
            <w:tcW w:w="40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5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986"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1,756</w:t>
            </w:r>
          </w:p>
        </w:tc>
        <w:tc>
          <w:tcPr>
            <w:tcW w:w="63" w:type="dxa"/>
            <w:tcBorders/>
            <w:shd w:fill="CCEEFF" w:val="clear"/>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9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13"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liabilities</w:t>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986" w:type="dxa"/>
            <w:tcBorders/>
            <w:vAlign w:val="bottom"/>
          </w:tcPr>
          <w:p>
            <w:pPr>
              <w:pStyle w:val="TableContents"/>
              <w:bidi w:val="0"/>
              <w:spacing w:before="0" w:after="283"/>
              <w:jc w:val="right"/>
              <w:rPr/>
            </w:pPr>
            <w:r>
              <w:rPr/>
              <w:t>47,961</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55,614</w:t>
            </w:r>
          </w:p>
        </w:tc>
        <w:tc>
          <w:tcPr>
            <w:tcW w:w="63" w:type="dxa"/>
            <w:tcBorders/>
            <w:vAlign w:val="bottom"/>
          </w:tcPr>
          <w:p>
            <w:pPr>
              <w:pStyle w:val="TableContents"/>
              <w:bidi w:val="0"/>
              <w:spacing w:before="0" w:after="283"/>
              <w:jc w:val="left"/>
              <w:rPr/>
            </w:pPr>
            <w:r>
              <w:rPr/>
              <w:t> </w:t>
            </w:r>
          </w:p>
        </w:tc>
      </w:tr>
      <w:tr>
        <w:trPr/>
        <w:tc>
          <w:tcPr>
            <w:tcW w:w="4013"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9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January 3, 2026 and December 28, 2024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0"/>
        <w:gridCol w:w="423"/>
        <w:gridCol w:w="177"/>
        <w:gridCol w:w="1028"/>
        <w:gridCol w:w="155"/>
        <w:gridCol w:w="423"/>
        <w:gridCol w:w="212"/>
        <w:gridCol w:w="1277"/>
        <w:gridCol w:w="160"/>
      </w:tblGrid>
      <w:tr>
        <w:trPr/>
        <w:tc>
          <w:tcPr>
            <w:tcW w:w="3900"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0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$217,293 and $223,093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262,250</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269,250</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$7,783 and $11,946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(9,393</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(14,417</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252,857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254,833</w:t>
            </w:r>
          </w:p>
        </w:tc>
        <w:tc>
          <w:tcPr>
            <w:tcW w:w="160" w:type="dxa"/>
            <w:tcBorders/>
            <w:vAlign w:val="bottom"/>
          </w:tcPr>
          <w:p>
            <w:pPr>
              <w:pStyle w:val="TableContents"/>
              <w:bidi w:val="0"/>
              <w:spacing w:before="0" w:after="283"/>
              <w:jc w:val="left"/>
              <w:rPr/>
            </w:pPr>
            <w:r>
              <w:rPr/>
              <w:t> </w:t>
            </w:r>
          </w:p>
        </w:tc>
      </w:tr>
      <w:tr>
        <w:trPr/>
        <w:tc>
          <w:tcPr>
            <w:tcW w:w="39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423"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(7,000</w:t>
            </w:r>
          </w:p>
        </w:tc>
        <w:tc>
          <w:tcPr>
            <w:tcW w:w="160" w:type="dxa"/>
            <w:tcBorders/>
            <w:shd w:fill="CCEEFF" w:val="clear"/>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900"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$203,710 and $205,347 to related parties, respectively)</w:t>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245,857</w:t>
            </w:r>
          </w:p>
        </w:tc>
        <w:tc>
          <w:tcPr>
            <w:tcW w:w="155"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247,833</w:t>
            </w:r>
          </w:p>
        </w:tc>
        <w:tc>
          <w:tcPr>
            <w:tcW w:w="160" w:type="dxa"/>
            <w:tcBorders/>
            <w:vAlign w:val="bottom"/>
          </w:tcPr>
          <w:p>
            <w:pPr>
              <w:pStyle w:val="TableContents"/>
              <w:bidi w:val="0"/>
              <w:spacing w:before="0" w:after="283"/>
              <w:jc w:val="left"/>
              <w:rPr/>
            </w:pPr>
            <w:r>
              <w:rPr/>
              <w:t> </w:t>
            </w:r>
          </w:p>
        </w:tc>
      </w:tr>
      <w:tr>
        <w:trPr/>
        <w:tc>
          <w:tcPr>
            <w:tcW w:w="3900"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3"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of Key Debt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key debt features as of January 3,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397"/>
        <w:gridCol w:w="410"/>
        <w:gridCol w:w="129"/>
        <w:gridCol w:w="1295"/>
        <w:gridCol w:w="278"/>
        <w:gridCol w:w="315"/>
        <w:gridCol w:w="60"/>
        <w:gridCol w:w="1328"/>
        <w:gridCol w:w="60"/>
        <w:gridCol w:w="410"/>
        <w:gridCol w:w="251"/>
        <w:gridCol w:w="574"/>
        <w:gridCol w:w="65"/>
      </w:tblGrid>
      <w:tr>
        <w:trPr/>
        <w:tc>
          <w:tcPr>
            <w:tcW w:w="3397"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Interest Rate</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Maturity</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Priority</w:t>
            </w:r>
          </w:p>
        </w:tc>
        <w:tc>
          <w:tcPr>
            <w:tcW w:w="65" w:type="dxa"/>
            <w:tcBorders/>
            <w:vAlign w:val="bottom"/>
          </w:tcPr>
          <w:p>
            <w:pPr>
              <w:pStyle w:val="TableContents"/>
              <w:bidi w:val="0"/>
              <w:spacing w:before="0" w:after="283"/>
              <w:jc w:val="left"/>
              <w:rPr/>
            </w:pPr>
            <w:r>
              <w:rPr/>
              <w:t> </w:t>
            </w:r>
          </w:p>
        </w:tc>
      </w:tr>
      <w:tr>
        <w:trPr/>
        <w:tc>
          <w:tcPr>
            <w:tcW w:w="3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41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7.25</w:t>
            </w:r>
          </w:p>
        </w:tc>
        <w:tc>
          <w:tcPr>
            <w:tcW w:w="278"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May 2027</w:t>
            </w:r>
          </w:p>
        </w:tc>
        <w:tc>
          <w:tcPr>
            <w:tcW w:w="6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574" w:type="dxa"/>
            <w:tcBorders/>
            <w:shd w:fill="CCEEFF" w:val="clear"/>
            <w:vAlign w:val="bottom"/>
          </w:tcPr>
          <w:p>
            <w:pPr>
              <w:pStyle w:val="TableContents"/>
              <w:bidi w:val="0"/>
              <w:spacing w:before="0" w:after="283"/>
              <w:jc w:val="right"/>
              <w:rPr/>
            </w:pPr>
            <w:r>
              <w:rPr/>
              <w:t>1</w:t>
            </w:r>
          </w:p>
        </w:tc>
        <w:tc>
          <w:tcPr>
            <w:tcW w:w="65" w:type="dxa"/>
            <w:tcBorders/>
            <w:shd w:fill="CCEEFF" w:val="clear"/>
            <w:vAlign w:val="bottom"/>
          </w:tcPr>
          <w:p>
            <w:pPr>
              <w:pStyle w:val="TableContents"/>
              <w:bidi w:val="0"/>
              <w:spacing w:before="0" w:after="283"/>
              <w:jc w:val="left"/>
              <w:rPr/>
            </w:pPr>
            <w:r>
              <w:rPr/>
              <w:t> </w:t>
            </w:r>
          </w:p>
        </w:tc>
      </w:tr>
      <w:tr>
        <w:trPr/>
        <w:tc>
          <w:tcPr>
            <w:tcW w:w="3397"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w:t>
            </w:r>
          </w:p>
        </w:tc>
        <w:tc>
          <w:tcPr>
            <w:tcW w:w="41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11.47</w:t>
            </w:r>
          </w:p>
        </w:tc>
        <w:tc>
          <w:tcPr>
            <w:tcW w:w="278"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August 2027</w:t>
            </w:r>
          </w:p>
        </w:tc>
        <w:tc>
          <w:tcPr>
            <w:tcW w:w="6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574"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January 3, 2026, the borrowing base for the ABL Facility was $120,000 and availability under the ABL Facility was $66,864, which reflects capacity of $71,805 less $4,941 of outstanding letters of credit and $0 outstanding borrowings under the revolving credit line. </w:t>
      </w:r>
    </w:p>
    <w:p>
      <w:pPr>
        <w:pStyle w:val="TextBody"/>
        <w:bidi w:val="0"/>
        <w:spacing w:before="240" w:after="0"/>
        <w:jc w:val="left"/>
        <w:rPr>
          <w:rFonts w:ascii="Times New Roman" w:hAnsi="Times New Roman"/>
          <w:sz w:val="20"/>
        </w:rPr>
      </w:pPr>
      <w:r>
        <w:rPr>
          <w:rFonts w:ascii="Times New Roman" w:hAnsi="Times New Roman"/>
          <w:sz w:val="20"/>
        </w:rPr>
        <w:t xml:space="preserve">The ABL Facility provides the Borrower with the right to request additional commitments under this facility, subject to customary conditions. </w:t>
      </w:r>
    </w:p>
    <w:p>
      <w:pPr>
        <w:pStyle w:val="TextBody"/>
        <w:bidi w:val="0"/>
        <w:spacing w:before="240" w:after="0"/>
        <w:jc w:val="left"/>
        <w:rPr>
          <w:rFonts w:ascii="Times New Roman" w:hAnsi="Times New Roman"/>
          <w:sz w:val="20"/>
        </w:rPr>
      </w:pPr>
      <w:r>
        <w:rPr>
          <w:rFonts w:ascii="Times New Roman" w:hAnsi="Times New Roman"/>
          <w:i/>
          <w:sz w:val="20"/>
        </w:rPr>
        <w:t>Interest</w:t>
      </w:r>
      <w:r>
        <w:rPr>
          <w:rFonts w:ascii="Times New Roman" w:hAnsi="Times New Roman"/>
          <w:sz w:val="20"/>
        </w:rPr>
        <w:t xml:space="preserve"> </w:t>
      </w:r>
      <w:r>
        <w:rPr>
          <w:rFonts w:ascii="Times New Roman" w:hAnsi="Times New Roman"/>
          <w:i/>
          <w:sz w:val="20"/>
        </w:rPr>
        <w:t xml:space="preserve">Rate and Fees. </w:t>
      </w:r>
      <w:r>
        <w:rPr>
          <w:rFonts w:ascii="Times New Roman" w:hAnsi="Times New Roman"/>
          <w:sz w:val="20"/>
        </w:rPr>
        <w:t xml:space="preserve">Borrowings under the ABL Facility bear interest at a rate per annum equal to, at the Borrower’s option, either (a) a base rate determined by reference to the greatest of (1) the prime rate, (2) the Federal Funds rate plus 0.50% and (3) a SOFR Rate plus 1.00% or (b) a SOFR rate plus an applicable rate. The applicable rate is subject to adjustment each fiscal quarter, based on excess availability and ranges from 0.50% to 1.00% for loans bearing interest at the base rate and 1.50% to 2.00% for loans bearing interest at the SOFR Rate. </w:t>
      </w:r>
    </w:p>
    <w:p>
      <w:pPr>
        <w:pStyle w:val="TextBody"/>
        <w:bidi w:val="0"/>
        <w:spacing w:before="240" w:after="0"/>
        <w:jc w:val="left"/>
        <w:rPr>
          <w:rFonts w:ascii="Times New Roman" w:hAnsi="Times New Roman"/>
          <w:sz w:val="20"/>
        </w:rPr>
      </w:pPr>
      <w:r>
        <w:rPr>
          <w:rFonts w:ascii="Times New Roman" w:hAnsi="Times New Roman"/>
          <w:sz w:val="20"/>
        </w:rPr>
        <w:t xml:space="preserve">The Borrower is required to pay a commitment fee in respect of the unutilized commitments under the ABL Facility of 0.250% to 0.375% per annum, depending on usage under the facility. The Borrower must also pay customary letter of credit fees and agency fees. </w:t>
      </w:r>
    </w:p>
    <w:p>
      <w:pPr>
        <w:pStyle w:val="TextBody"/>
        <w:bidi w:val="0"/>
        <w:spacing w:before="240" w:after="0"/>
        <w:jc w:val="left"/>
        <w:rPr>
          <w:rFonts w:ascii="Times New Roman" w:hAnsi="Times New Roman"/>
          <w:sz w:val="20"/>
        </w:rPr>
      </w:pPr>
      <w:r>
        <w:rPr>
          <w:rFonts w:ascii="Times New Roman" w:hAnsi="Times New Roman"/>
          <w:i/>
          <w:sz w:val="20"/>
        </w:rPr>
        <w:t xml:space="preserve">Amortization. </w:t>
      </w:r>
      <w:r>
        <w:rPr>
          <w:rFonts w:ascii="Times New Roman" w:hAnsi="Times New Roman"/>
          <w:sz w:val="20"/>
        </w:rPr>
        <w:t xml:space="preserve">There is no scheduled amortization under the ABL Facility.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ABL Facility are unconditionally guaranteed by the Borrower and substantially all of its existing 100%-owned domestic subsidiaries and will be required to be guaranteed by certain of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 xml:space="preserve">Certain Covenants and Events of Default. </w:t>
      </w:r>
      <w:r>
        <w:rPr>
          <w:rFonts w:ascii="Times New Roman" w:hAnsi="Times New Roman"/>
          <w:sz w:val="20"/>
        </w:rPr>
        <w:t xml:space="preserve">The ABL Facility contains certain customary covenants that, among other things and subject to certain exceptions, restrict the Borrower’s ability and the ability of its subsidiaries to incur liens; make investments, loans and acquisitions; incur additional indebtedness; consolidate, merge or liquidate; dispose of assets; pay dividends on capital stock or redeem, repurchase or retire capital stock or certain other junior lien indebtedness; prepay indebtedness; alter the business conducted; engage in transactions with affiliates; and create restrictions on the payment of dividends or other amounts from restricted subsidiaries or the ability to incur liens on the Borrower’s assets.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ABL Facility requires the Borrower to maintain a Fixed Charge Coverage Ratio (as defined in the ABL Facility) of at least 1.0 to 1.0. The ABL Facility also contains certain customary representations and warranties, affirmative covenants and provisions relating to events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January 3, 2026 and December 28, 2024, approximately 82.9% and 82.9%, respectively, of the Company’s institutional debt holders also hold an equity interest in the Company, have representation on the Board of Directors, or otherwise exert significant influence over the Company. </w:t>
      </w:r>
    </w:p>
    <w:p>
      <w:pPr>
        <w:pStyle w:val="TextBody"/>
        <w:bidi w:val="0"/>
        <w:spacing w:before="240" w:after="0"/>
        <w:jc w:val="left"/>
        <w:rPr>
          <w:rFonts w:ascii="Times New Roman" w:hAnsi="Times New Roman"/>
          <w:sz w:val="20"/>
        </w:rPr>
      </w:pPr>
      <w:r>
        <w:rPr>
          <w:rFonts w:ascii="Times New Roman" w:hAnsi="Times New Roman"/>
          <w:i/>
          <w:sz w:val="20"/>
        </w:rPr>
        <w:t xml:space="preserve">Interest Rate and Fees. </w:t>
      </w:r>
      <w:r>
        <w:rPr>
          <w:rFonts w:ascii="Times New Roman" w:hAnsi="Times New Roman"/>
          <w:sz w:val="20"/>
        </w:rPr>
        <w:t xml:space="preserve">Borrowings under the First Lien bear interest at a rate per annum equal to, at the Borrower’s option, either (a) a base rate determined by reference to the highest of (1) the Prime Rate, (2) the Federal Funds rate plus 0.50%, (3) adjusted term SOFR for one month plus 1.00%, and (4) 2.00% or (b) SOFR rate plus an applicable rate of 7.50%. The base rate and the SOFR Rate are subject to a floor of 1.00%. </w:t>
      </w:r>
    </w:p>
    <w:p>
      <w:pPr>
        <w:pStyle w:val="TextBody"/>
        <w:bidi w:val="0"/>
        <w:spacing w:before="240" w:after="0"/>
        <w:jc w:val="left"/>
        <w:rPr>
          <w:rFonts w:ascii="Times New Roman" w:hAnsi="Times New Roman"/>
          <w:sz w:val="20"/>
        </w:rPr>
      </w:pPr>
      <w:r>
        <w:rPr>
          <w:rFonts w:ascii="Times New Roman" w:hAnsi="Times New Roman"/>
          <w:i/>
          <w:sz w:val="20"/>
        </w:rPr>
        <w:t>Amortization</w:t>
      </w:r>
      <w:r>
        <w:rPr>
          <w:rFonts w:ascii="Times New Roman" w:hAnsi="Times New Roman"/>
          <w:sz w:val="20"/>
        </w:rPr>
        <w:t xml:space="preserve">. The Borrower is required to make scheduled quarterly payments of $1,750, plus an annual payment equal to (a). 75% of the excess cash flow for the immediately preceding fiscal year in which indebtedness to adjusted EBITDA ratio is greater than or equal to 2.50 :1.00; or (b) 50 % of the excess cash flow for the immediately preceding fiscal year in which the funded indebtedness to adjusted EBITDA Ratio is less than 2.50 :1.00, less voluntary prepayments, with final payment at maturity. </w:t>
      </w:r>
    </w:p>
    <w:p>
      <w:pPr>
        <w:pStyle w:val="TextBody"/>
        <w:bidi w:val="0"/>
        <w:spacing w:before="240" w:after="0"/>
        <w:jc w:val="left"/>
        <w:rPr>
          <w:rFonts w:ascii="Times New Roman" w:hAnsi="Times New Roman"/>
          <w:sz w:val="20"/>
        </w:rPr>
      </w:pPr>
      <w:r>
        <w:rPr>
          <w:rFonts w:ascii="Times New Roman" w:hAnsi="Times New Roman"/>
          <w:i/>
          <w:sz w:val="20"/>
        </w:rPr>
        <w:t xml:space="preserve">Guarantees. </w:t>
      </w:r>
      <w:r>
        <w:rPr>
          <w:rFonts w:ascii="Times New Roman" w:hAnsi="Times New Roman"/>
          <w:sz w:val="20"/>
        </w:rPr>
        <w:t xml:space="preserve">All obligations under the First Lien are unconditionally guaranteed by the Borrower and substantially all of its existing 100%-owned domestic subsidiaries and will be required to be guaranteed by certain of any future domestic 100%-owned subsidiaries. </w:t>
      </w:r>
    </w:p>
    <w:p>
      <w:pPr>
        <w:pStyle w:val="TextBody"/>
        <w:bidi w:val="0"/>
        <w:spacing w:before="240" w:after="0"/>
        <w:jc w:val="left"/>
        <w:rPr>
          <w:rFonts w:ascii="Times New Roman" w:hAnsi="Times New Roman"/>
          <w:sz w:val="20"/>
        </w:rPr>
      </w:pPr>
      <w:r>
        <w:rPr>
          <w:rFonts w:ascii="Times New Roman" w:hAnsi="Times New Roman"/>
          <w:i/>
          <w:sz w:val="20"/>
        </w:rPr>
        <w:t>Certain</w:t>
      </w:r>
      <w:r>
        <w:rPr>
          <w:rFonts w:ascii="Times New Roman" w:hAnsi="Times New Roman"/>
          <w:sz w:val="20"/>
        </w:rPr>
        <w:t xml:space="preserve"> </w:t>
      </w:r>
      <w:r>
        <w:rPr>
          <w:rFonts w:ascii="Times New Roman" w:hAnsi="Times New Roman"/>
          <w:i/>
          <w:sz w:val="20"/>
        </w:rPr>
        <w:t>Covenants</w:t>
      </w:r>
      <w:r>
        <w:rPr>
          <w:rFonts w:ascii="Times New Roman" w:hAnsi="Times New Roman"/>
          <w:sz w:val="20"/>
        </w:rPr>
        <w:t xml:space="preserve"> </w:t>
      </w:r>
      <w:r>
        <w:rPr>
          <w:rFonts w:ascii="Times New Roman" w:hAnsi="Times New Roman"/>
          <w:i/>
          <w:sz w:val="20"/>
        </w:rPr>
        <w:t>and Events</w:t>
      </w:r>
      <w:r>
        <w:rPr>
          <w:rFonts w:ascii="Times New Roman" w:hAnsi="Times New Roman"/>
          <w:sz w:val="20"/>
        </w:rPr>
        <w:t xml:space="preserve"> </w:t>
      </w:r>
      <w:r>
        <w:rPr>
          <w:rFonts w:ascii="Times New Roman" w:hAnsi="Times New Roman"/>
          <w:i/>
          <w:sz w:val="20"/>
        </w:rPr>
        <w:t>of Default.</w:t>
      </w:r>
      <w:r>
        <w:rPr>
          <w:rFonts w:ascii="Times New Roman" w:hAnsi="Times New Roman"/>
          <w:sz w:val="20"/>
        </w:rPr>
        <w:t xml:space="preserve"> The First Lien contains certain customary covenants that, among other things and subject to certain exceptions, restrict the ability of the Company and its subsidiaries to incur liens; make investments, loans and acquisitions; incur additional indebtedness; consolidate, merge or liquidate; dispose of assets; pay dividends on its capital stock or redeem, repurchase or retire the capital stock or certain other junior lien indebtedness; alter the business the Borrower conducts; engage in transactions with its affiliates; and create restrictions on the payment of dividends or other amounts from its restricted subsidiaries or the ability to incur liens on the assets. The First Lien requires the Borrower not to exceed a total leverage ratio of 6.0 to 1.0.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also contains certain customary representations and warranties, affirmative covenants and provisions relating to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maturity table for debt obligations as of January 3,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 (includes $ 5,800 to related parties)</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7,000</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 (includes $ 211,493 to related parties)</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255,250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262,250</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Debt issuance costs and original issue discount are amortized over the respective terms of the ABL Facility and First Lien and recorded as a component of Interest Expense, net, in the accompanying Consolidated Statements of Operations and Comprehensive (Loss)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interest paid was $33,179, $38,443 and $43,717, for the years ended January 3, 2026, December 28, 2024 and December 30, 2023, respectively. Of total cash paid, $27,369, $31,853 and $36,223 for the years ended January 3, 2026, December 28, 2024 and December 30, 2023, respectively, relates to cash interest paid to related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2025. The holders of the Preferred Stock were entitled to the following rights: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January 3, 2026 and December 28, 2024 is $13,229 and $19,460, respectively. During fiscal 2025, 24 shares of Preferred Stock were forfeited by departing holders, resulting in a reduction to the carrying value of Convertible Preferred Stock of $9,493 and a corresponding increase to Additional paid-in capital. As of January 3, 2026 and December 28, 2024,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$730, $974 and $985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January 3, 2026 and December 28, 2024,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Management Incentive Plan (“MIP”) provides for the grant of Restricted Stock Awards (“RSA’s”) of the Company. In addition, the MIP provides for recipients to receive anti-dilution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Company’s MIP provides for the grant of RSA’s of the Company. RSA’s generally consist of two components, time-based (“Time-Based Shares”) and performance-based (“Performance-Based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Time-Based shares generally vest over four years of continuous service. For Time-Based Shares, noncash RSA expense is calculated based on the grant-date fair value of the Shares and is recognized in expense straight-line over the service period. All Time-Based shares vested as of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The Performance-Based Shares generally vest either on the achievement of certain predefined levels of EBITDA, or the date of a Liquidation Event in which Total Enterprise Value exceeds certain predefined hurdles. Compensation expense for Performance-Based Shares is recognized when it is probable that the performance condition will be achieved. All EBITDA and Total Enterprise Values hurdles from Shares issued from 2020 and prior were achieved prior to 2022 resulting in full vesting of those Performance-Based Shares and therefore no incremental expense was incurred during either fiscal year 2025, 2024, or 2023. All Performance-Based Shares granted from 2021 through 2025 vest on the achievement of a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Due to the terms of the agreement with each RSA holder and each parties’ respective rights thereunder, the Awards are accounted for as a substantive class of equity. The aggregate number of RSA’s authorized for issuance against the MIP was 161 and 161 on January 3, 2026 and December 28,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Performance-Based Share awards and activity of the Shares for the year ended January 3,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8"/>
        <w:gridCol w:w="484"/>
        <w:gridCol w:w="154"/>
        <w:gridCol w:w="1006"/>
        <w:gridCol w:w="155"/>
        <w:gridCol w:w="484"/>
        <w:gridCol w:w="214"/>
        <w:gridCol w:w="1161"/>
        <w:gridCol w:w="159"/>
      </w:tblGrid>
      <w:tr>
        <w:trPr/>
        <w:tc>
          <w:tcPr>
            <w:tcW w:w="3938"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38"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 Fair</w:t>
              <w:br/>
              <w:t>Value per</w:t>
              <w:br/>
              <w:t>Share</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December 28, 2024</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170.01</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31.30</w:t>
            </w:r>
          </w:p>
        </w:tc>
        <w:tc>
          <w:tcPr>
            <w:tcW w:w="159" w:type="dxa"/>
            <w:tcBorders/>
            <w:vAlign w:val="bottom"/>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16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(142.88</w:t>
            </w:r>
          </w:p>
        </w:tc>
        <w:tc>
          <w:tcPr>
            <w:tcW w:w="159" w:type="dxa"/>
            <w:tcBorders/>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at January 3, 2026</w:t>
            </w:r>
          </w:p>
        </w:tc>
        <w:tc>
          <w:tcPr>
            <w:tcW w:w="48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14</w:t>
            </w:r>
          </w:p>
        </w:tc>
        <w:tc>
          <w:tcPr>
            <w:tcW w:w="155" w:type="dxa"/>
            <w:tcBorders/>
            <w:shd w:fill="CCEEFF" w:val="clear"/>
            <w:vAlign w:val="bottom"/>
          </w:tcPr>
          <w:p>
            <w:pPr>
              <w:pStyle w:val="TableContents"/>
              <w:bidi w:val="0"/>
              <w:spacing w:before="0" w:after="283"/>
              <w:jc w:val="left"/>
              <w:rPr/>
            </w:pPr>
            <w:r>
              <w:rPr/>
              <w:t> </w:t>
            </w:r>
          </w:p>
        </w:tc>
        <w:tc>
          <w:tcPr>
            <w:tcW w:w="484"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166.36</w:t>
            </w:r>
          </w:p>
        </w:tc>
        <w:tc>
          <w:tcPr>
            <w:tcW w:w="159" w:type="dxa"/>
            <w:tcBorders/>
            <w:shd w:fill="CCEEFF" w:val="clear"/>
            <w:vAlign w:val="bottom"/>
          </w:tcPr>
          <w:p>
            <w:pPr>
              <w:pStyle w:val="TableContents"/>
              <w:bidi w:val="0"/>
              <w:spacing w:before="0" w:after="283"/>
              <w:jc w:val="left"/>
              <w:rPr/>
            </w:pPr>
            <w:r>
              <w:rPr/>
              <w:t> </w:t>
            </w:r>
          </w:p>
        </w:tc>
      </w:tr>
      <w:tr>
        <w:trPr/>
        <w:tc>
          <w:tcPr>
            <w:tcW w:w="3938" w:type="dxa"/>
            <w:tcBorders/>
            <w:vAlign w:val="bottom"/>
          </w:tcPr>
          <w:p>
            <w:pPr>
              <w:pStyle w:val="TableContents"/>
              <w:bidi w:val="0"/>
              <w:spacing w:before="0" w:after="283"/>
              <w:jc w:val="left"/>
              <w:rPr>
                <w:sz w:val="4"/>
                <w:szCs w:val="4"/>
              </w:rPr>
            </w:pPr>
            <w:r>
              <w:rPr>
                <w:sz w:val="4"/>
                <w:szCs w:val="4"/>
              </w:rPr>
            </w:r>
          </w:p>
        </w:tc>
        <w:tc>
          <w:tcPr>
            <w:tcW w:w="484"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84"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1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recognized expense of $0, $1 and $142 related to RSA’s in the years ended January 3, 2026, December 28, 2024 and December 30, 2023, respectively, and is recorded in Selling, General, and Administrative Expenses. For the years ended January 3, 2026, December 28, 2024 and December 30, 2023, the Company recognized a corresponding tax expense of $0, $0 and $183,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the RSA’s was estimated on the date of grant using the Black-Scholes based option valuation model that used the following assumptions. Expected volatility was estimated based on the leverage adjusted historical volatility of certain of our peer companies over a historical term commensurate with the remaining expected holding period. Expected dividend yield is zero percent as the Company does not anticipate paying future dividends. The risk-free rate was based on the U.S. Treasury yield curve in effect at the time of the grant.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used in the Black-Scholes option-pricing model to estimate fair value of Awards granted, which requires the input of both subjective and objective assumptions,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99"/>
        <w:gridCol w:w="392"/>
        <w:gridCol w:w="60"/>
        <w:gridCol w:w="445"/>
        <w:gridCol w:w="299"/>
        <w:gridCol w:w="282"/>
        <w:gridCol w:w="60"/>
        <w:gridCol w:w="445"/>
        <w:gridCol w:w="299"/>
        <w:gridCol w:w="282"/>
        <w:gridCol w:w="60"/>
        <w:gridCol w:w="445"/>
        <w:gridCol w:w="304"/>
      </w:tblGrid>
      <w:tr>
        <w:trPr/>
        <w:tc>
          <w:tcPr>
            <w:tcW w:w="519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19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75.0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dividends</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r>
      <w:tr>
        <w:trPr/>
        <w:tc>
          <w:tcPr>
            <w:tcW w:w="51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3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299"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right"/>
              <w:rPr/>
            </w:pPr>
            <w:r>
              <w:rPr/>
              <w:t>2.0</w:t>
            </w:r>
          </w:p>
        </w:tc>
        <w:tc>
          <w:tcPr>
            <w:tcW w:w="304" w:type="dxa"/>
            <w:tcBorders/>
            <w:shd w:fill="CCEEFF" w:val="clear"/>
            <w:vAlign w:val="bottom"/>
          </w:tcPr>
          <w:p>
            <w:pPr>
              <w:pStyle w:val="TableContents"/>
              <w:bidi w:val="0"/>
              <w:spacing w:before="0" w:after="283"/>
              <w:jc w:val="left"/>
              <w:rPr/>
            </w:pPr>
            <w:r>
              <w:rPr/>
              <w:t> </w:t>
            </w:r>
          </w:p>
        </w:tc>
      </w:tr>
      <w:tr>
        <w:trPr/>
        <w:tc>
          <w:tcPr>
            <w:tcW w:w="5199" w:type="dxa"/>
            <w:tcBorders/>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3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3.5</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4.3</w:t>
            </w:r>
          </w:p>
        </w:tc>
        <w:tc>
          <w:tcPr>
            <w:tcW w:w="299"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4.5</w:t>
            </w:r>
          </w:p>
        </w:tc>
        <w:tc>
          <w:tcPr>
            <w:tcW w:w="30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January 3, 2026, there was $0 of RSA compensation expense expected to be recognized in future periods related to unvested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RETIREMENT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currently sponsors a defined contribution retirement savings plan which is available to certain employees who meet the eligibility requirements. Eligible employees may contribute a percentage of their annual compensation, subject to certain limitations under the Internal Revenue Code. The Company may, at its discretion, make matching contributions, which vest immediately. The Company’s expense under this Retirement Plan was $1,012, $938 and $869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Certain employees of the Company are eligible for the Company’s Deferred Compensation Plan, a nonqualified plan. The Company has amended the Deferred Compensation Plan and no longer allows for new participants or allows existing participants to contribute to the plan. The participants earn interest based upon the 10-Year U.S. Treasury Note rate. Expenses associated with the plan for the years ended January 3, 2026, December 28, 2024 and December 30, 2023 were not material. The Company’s liabilities under this plan were $47 and $672 as of January 3, 2026 and December 28, 2024, respectively, and is included in other non-current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participates in a multi-employer plan, The Legacy Plan of the National Retirement Fund (Employer Identification Number 13-6130178), that provides benefits for its union employees. As of January 3, 2026 and December 28, 2024, the multi-employer plan was in critical status as the plan is projected to have an accumulated funding deficiency within nine years. The Company paid a surcharge of 10% for the year ended January 3, 2026 and is required to pay a 10% surcharge for each succeeding year thereafter in which the plan is in critical status. The Company’s expenses for this plan were $617, $588 and $560 for the years ended January 3, 2026, December 28, 2024 and December 30, 2023, respectively. There was a collective bargaining agreement effective from February 28, 2021 through February 29, 2024. In March 2024, and Company entered into a new collective agreement with the union that expires on February 28, 2027. Additional information regarding the plan for the years ended January 3, 2026, December 28, 2024 and December 30, 2023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40"/>
        <w:gridCol w:w="461"/>
        <w:gridCol w:w="140"/>
        <w:gridCol w:w="380"/>
        <w:gridCol w:w="276"/>
        <w:gridCol w:w="391"/>
        <w:gridCol w:w="141"/>
        <w:gridCol w:w="380"/>
        <w:gridCol w:w="275"/>
        <w:gridCol w:w="392"/>
        <w:gridCol w:w="140"/>
        <w:gridCol w:w="380"/>
        <w:gridCol w:w="276"/>
      </w:tblGrid>
      <w:tr>
        <w:trPr/>
        <w:tc>
          <w:tcPr>
            <w:tcW w:w="4940" w:type="dxa"/>
            <w:tcBorders/>
            <w:vAlign w:val="center"/>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contributions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617</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0" w:type="dxa"/>
            <w:tcBorders/>
            <w:shd w:fill="CCEEFF" w:val="clear"/>
            <w:vAlign w:val="bottom"/>
          </w:tcPr>
          <w:p>
            <w:pPr>
              <w:pStyle w:val="TableContents"/>
              <w:bidi w:val="0"/>
              <w:spacing w:before="0" w:after="283"/>
              <w:jc w:val="right"/>
              <w:rPr/>
            </w:pPr>
            <w:r>
              <w:rPr/>
              <w:t>560</w:t>
            </w:r>
          </w:p>
        </w:tc>
        <w:tc>
          <w:tcPr>
            <w:tcW w:w="276" w:type="dxa"/>
            <w:tcBorders/>
            <w:shd w:fill="CCEEFF" w:val="clear"/>
            <w:vAlign w:val="bottom"/>
          </w:tcPr>
          <w:p>
            <w:pPr>
              <w:pStyle w:val="TableContents"/>
              <w:bidi w:val="0"/>
              <w:spacing w:before="0" w:after="283"/>
              <w:jc w:val="left"/>
              <w:rPr/>
            </w:pPr>
            <w:r>
              <w:rPr/>
              <w:t> </w:t>
            </w:r>
          </w:p>
        </w:tc>
      </w:tr>
      <w:tr>
        <w:trPr/>
        <w:tc>
          <w:tcPr>
            <w:tcW w:w="4940" w:type="dxa"/>
            <w:tcBorders/>
          </w:tcPr>
          <w:p>
            <w:pPr>
              <w:pStyle w:val="TableContents"/>
              <w:bidi w:val="0"/>
              <w:spacing w:before="0" w:after="0"/>
              <w:jc w:val="left"/>
              <w:rPr>
                <w:rFonts w:ascii="Times New Roman" w:hAnsi="Times New Roman"/>
                <w:sz w:val="20"/>
              </w:rPr>
            </w:pPr>
            <w:r>
              <w:rPr>
                <w:rFonts w:ascii="Times New Roman" w:hAnsi="Times New Roman"/>
                <w:sz w:val="20"/>
              </w:rPr>
              <w:t>Are Company’s contributions more than 5% of the total contributions?</w:t>
            </w:r>
          </w:p>
        </w:tc>
        <w:tc>
          <w:tcPr>
            <w:tcW w:w="4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c>
          <w:tcPr>
            <w:tcW w:w="39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5"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No</w:t>
            </w:r>
          </w:p>
        </w:tc>
        <w:tc>
          <w:tcPr>
            <w:tcW w:w="276" w:type="dxa"/>
            <w:tcBorders/>
            <w:vAlign w:val="bottom"/>
          </w:tcPr>
          <w:p>
            <w:pPr>
              <w:pStyle w:val="TableContents"/>
              <w:bidi w:val="0"/>
              <w:spacing w:before="0" w:after="283"/>
              <w:jc w:val="left"/>
              <w:rPr/>
            </w:pPr>
            <w:r>
              <w:rPr/>
              <w:t> </w:t>
            </w:r>
          </w:p>
        </w:tc>
      </w:tr>
      <w:tr>
        <w:trPr/>
        <w:tc>
          <w:tcPr>
            <w:tcW w:w="4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Funded Status</w:t>
            </w:r>
          </w:p>
        </w:tc>
        <w:tc>
          <w:tcPr>
            <w:tcW w:w="4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96</w:t>
            </w:r>
          </w:p>
        </w:tc>
        <w:tc>
          <w:tcPr>
            <w:tcW w:w="276"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4, 2025, President Trump signed into law the One Big Beautiful Bill Act (the “OBBB”). The OBBB made key elements of the Tax Cuts and Jobs Act permanent, including 100% bonus depreciation, domestic research cost expensing and the business interest expense limitation. Accounting Standards Codification Topic No. 740, “Income Taxes”, requires that we recognize the effects of changes in tax rates and laws in the period in which the legislation is enacted. Consequently, our Fiscal 2025 results reflect an increase in deferred tax expense, primarily due to the impact of the 100% bonus depreciation, offset by reductions in our current tax expense. Enactment of the OBBB did not have a material impact on our financial statements, including our Fiscal 2025 effective tax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provision for income taxes for the years ended January 3, 2026, December 28, 2024 and December 30, 2023 consists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819"/>
        <w:gridCol w:w="402"/>
        <w:gridCol w:w="217"/>
        <w:gridCol w:w="1013"/>
        <w:gridCol w:w="155"/>
        <w:gridCol w:w="402"/>
        <w:gridCol w:w="260"/>
        <w:gridCol w:w="1163"/>
        <w:gridCol w:w="155"/>
        <w:gridCol w:w="402"/>
        <w:gridCol w:w="260"/>
        <w:gridCol w:w="1162"/>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19"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w:t>
              <w:br/>
              <w:t>2026</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28,</w:t>
              <w:br/>
              <w:t>2024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30,</w:t>
              <w:br/>
              <w:t>2023</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(2,209</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3,677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8,883</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604</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tax provision</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(1,767</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4,115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9,487</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8,542</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(3,363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(9,168</w:t>
            </w:r>
          </w:p>
        </w:tc>
        <w:tc>
          <w:tcPr>
            <w:tcW w:w="162"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1,231</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(775</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9,773</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(3,311</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(9,943</w:t>
            </w:r>
          </w:p>
        </w:tc>
        <w:tc>
          <w:tcPr>
            <w:tcW w:w="162"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 (benefit)</w:t>
            </w:r>
          </w:p>
        </w:tc>
        <w:tc>
          <w:tcPr>
            <w:tcW w:w="40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8,006</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3" w:type="dxa"/>
            <w:tcBorders/>
            <w:shd w:fill="CCEEFF" w:val="clear"/>
            <w:vAlign w:val="bottom"/>
          </w:tcPr>
          <w:p>
            <w:pPr>
              <w:pStyle w:val="TableContents"/>
              <w:bidi w:val="0"/>
              <w:spacing w:before="0" w:after="283"/>
              <w:jc w:val="right"/>
              <w:rPr/>
            </w:pPr>
            <w:r>
              <w:rPr/>
              <w:t>804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(456</w:t>
            </w:r>
          </w:p>
        </w:tc>
        <w:tc>
          <w:tcPr>
            <w:tcW w:w="162"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had no foreign operating income or taxes.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between the statutory federal income tax rate and the effective income tax rate as applied for the year ended January 3, 2026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0"/>
        <w:gridCol w:w="356"/>
        <w:gridCol w:w="140"/>
        <w:gridCol w:w="756"/>
        <w:gridCol w:w="164"/>
        <w:gridCol w:w="356"/>
        <w:gridCol w:w="60"/>
        <w:gridCol w:w="530"/>
        <w:gridCol w:w="363"/>
      </w:tblGrid>
      <w:tr>
        <w:trPr/>
        <w:tc>
          <w:tcPr>
            <w:tcW w:w="503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03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January 3, 2026</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(10,224</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21.0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 (1)</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1,581</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(3.2</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Nontaxable or nondeductible items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(0.0</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valuation allowance</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17,865</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(36.7</w:t>
            </w:r>
          </w:p>
        </w:tc>
        <w:tc>
          <w:tcPr>
            <w:tcW w:w="363" w:type="dxa"/>
            <w:tcBorders/>
            <w:vAlign w:val="bottom"/>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 impairment</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(1,205</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2.5</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(27</w:t>
            </w:r>
          </w:p>
        </w:tc>
        <w:tc>
          <w:tcPr>
            <w:tcW w:w="164"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right"/>
              <w:rPr/>
            </w:pPr>
            <w:r>
              <w:rPr/>
              <w:t>0.1</w:t>
            </w:r>
          </w:p>
        </w:tc>
        <w:tc>
          <w:tcPr>
            <w:tcW w:w="363" w:type="dxa"/>
            <w:tcBorders/>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0" w:type="dxa"/>
            <w:tcBorders/>
            <w:vAlign w:val="bottom"/>
          </w:tcPr>
          <w:p>
            <w:pPr>
              <w:pStyle w:val="TableContents"/>
              <w:pBdr>
                <w:top w:val="single" w:sz="2"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r>
        <w:trPr/>
        <w:tc>
          <w:tcPr>
            <w:tcW w:w="50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6" w:type="dxa"/>
            <w:tcBorders/>
            <w:shd w:fill="CCEEFF" w:val="clear"/>
            <w:vAlign w:val="bottom"/>
          </w:tcPr>
          <w:p>
            <w:pPr>
              <w:pStyle w:val="TableContents"/>
              <w:bidi w:val="0"/>
              <w:spacing w:before="0" w:after="283"/>
              <w:jc w:val="right"/>
              <w:rPr/>
            </w:pPr>
            <w:r>
              <w:rPr/>
              <w:t>8,006</w:t>
            </w:r>
          </w:p>
        </w:tc>
        <w:tc>
          <w:tcPr>
            <w:tcW w:w="164"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right"/>
              <w:rPr/>
            </w:pPr>
            <w:r>
              <w:rPr/>
              <w:t>(16.4</w:t>
            </w:r>
          </w:p>
        </w:tc>
        <w:tc>
          <w:tcPr>
            <w:tcW w:w="363" w:type="dxa"/>
            <w:tcBorders/>
            <w:shd w:fill="CCEEFF" w:val="clear"/>
            <w:vAlign w:val="bottom"/>
          </w:tcPr>
          <w:p>
            <w:pPr>
              <w:pStyle w:val="TableContents"/>
              <w:bidi w:val="0"/>
              <w:spacing w:before="0" w:after="283"/>
              <w:jc w:val="left"/>
              <w:rPr/>
            </w:pPr>
            <w:r>
              <w:rPr/>
              <w:t>%) </w:t>
            </w:r>
          </w:p>
        </w:tc>
      </w:tr>
      <w:tr>
        <w:trPr/>
        <w:tc>
          <w:tcPr>
            <w:tcW w:w="503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0" w:type="dxa"/>
            <w:tcBorders/>
            <w:vAlign w:val="bottom"/>
          </w:tcPr>
          <w:p>
            <w:pPr>
              <w:pStyle w:val="TableContents"/>
              <w:pBdr>
                <w:top w:val="double" w:sz="6" w:space="1" w:color="000000"/>
              </w:pBdr>
              <w:bidi w:val="0"/>
              <w:spacing w:before="0" w:after="0"/>
              <w:jc w:val="left"/>
              <w:rPr/>
            </w:pPr>
            <w:r>
              <w:rPr/>
              <w:t> </w:t>
            </w:r>
          </w:p>
        </w:tc>
        <w:tc>
          <w:tcPr>
            <w:tcW w:w="3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local taxes in New York and Texas make up the majority (greater than 50 percent) of this category.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prior to the adoption of ASU 2023-09, the reconciliation between the statutory federal income tax rate and the effective income tax rate as applied for the years ended December 28, 2024 and December 30, 2023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04"/>
        <w:gridCol w:w="233"/>
        <w:gridCol w:w="199"/>
        <w:gridCol w:w="690"/>
        <w:gridCol w:w="277"/>
        <w:gridCol w:w="321"/>
        <w:gridCol w:w="85"/>
        <w:gridCol w:w="630"/>
        <w:gridCol w:w="324"/>
        <w:gridCol w:w="233"/>
        <w:gridCol w:w="174"/>
        <w:gridCol w:w="575"/>
        <w:gridCol w:w="253"/>
        <w:gridCol w:w="302"/>
        <w:gridCol w:w="74"/>
        <w:gridCol w:w="817"/>
        <w:gridCol w:w="397"/>
      </w:tblGrid>
      <w:tr>
        <w:trPr/>
        <w:tc>
          <w:tcPr>
            <w:tcW w:w="3804"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r>
      <w:tr>
        <w:trPr/>
        <w:tc>
          <w:tcPr>
            <w:tcW w:w="380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28, 2024</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30, 2023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federal income tax rate</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475</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21.0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575" w:type="dxa"/>
            <w:tcBorders/>
            <w:shd w:fill="CCEEFF" w:val="clear"/>
            <w:vAlign w:val="bottom"/>
          </w:tcPr>
          <w:p>
            <w:pPr>
              <w:pStyle w:val="TableContents"/>
              <w:bidi w:val="0"/>
              <w:spacing w:before="0" w:after="283"/>
              <w:jc w:val="right"/>
              <w:rPr/>
            </w:pPr>
            <w:r>
              <w:rPr/>
              <w:t>19</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21.0</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 income taxes — net of federal tax benefit</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388</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17.1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(135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(150.0</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qualified transportation fringe benefit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50</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2.2</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55</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61.1</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Change in fair value of warrants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(149</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(6.6</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(365</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(405.6</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Disallowed meals and entertainment</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16</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0.8</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16</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17.9</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Tax credits</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(12</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(51</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(56.7</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prior year’s return</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32</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1.4</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2</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2.2</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WOTC wage reduction</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3</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0.1</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3.3</w:t>
            </w:r>
          </w:p>
        </w:tc>
        <w:tc>
          <w:tcPr>
            <w:tcW w:w="397" w:type="dxa"/>
            <w:tcBorders/>
            <w:vAlign w:val="bottom"/>
          </w:tcPr>
          <w:p>
            <w:pPr>
              <w:pStyle w:val="TableContents"/>
              <w:bidi w:val="0"/>
              <w:spacing w:before="0" w:after="283"/>
              <w:jc w:val="left"/>
              <w:rPr/>
            </w:pPr>
            <w:r>
              <w:rPr/>
              <w:t> </w:t>
            </w:r>
          </w:p>
        </w:tc>
      </w:tr>
      <w:tr>
        <w:trPr/>
        <w:tc>
          <w:tcPr>
            <w:tcW w:w="38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3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w:t>
            </w:r>
          </w:p>
        </w:tc>
        <w:tc>
          <w:tcPr>
            <w:tcW w:w="277"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right"/>
              <w:rPr/>
            </w:pPr>
            <w:r>
              <w:rPr/>
              <w:t>0.0</w:t>
            </w:r>
          </w:p>
        </w:tc>
        <w:tc>
          <w:tcPr>
            <w:tcW w:w="32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575" w:type="dxa"/>
            <w:tcBorders/>
            <w:shd w:fill="CCEEFF" w:val="clear"/>
            <w:vAlign w:val="bottom"/>
          </w:tcPr>
          <w:p>
            <w:pPr>
              <w:pStyle w:val="TableContents"/>
              <w:bidi w:val="0"/>
              <w:spacing w:before="0" w:after="283"/>
              <w:jc w:val="right"/>
              <w:rPr/>
            </w:pPr>
            <w:r>
              <w:rPr/>
              <w:t>— </w:t>
            </w:r>
          </w:p>
        </w:tc>
        <w:tc>
          <w:tcPr>
            <w:tcW w:w="253"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397" w:type="dxa"/>
            <w:tcBorders/>
            <w:shd w:fill="CCEEFF" w:val="clear"/>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630"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575" w:type="dxa"/>
            <w:tcBorders/>
            <w:vAlign w:val="bottom"/>
          </w:tcPr>
          <w:p>
            <w:pPr>
              <w:pStyle w:val="TableContents"/>
              <w:pBdr>
                <w:top w:val="single" w:sz="2"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r>
        <w:trPr/>
        <w:tc>
          <w:tcPr>
            <w:tcW w:w="3804" w:type="dxa"/>
            <w:tcBorders/>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804</w:t>
            </w:r>
          </w:p>
        </w:tc>
        <w:tc>
          <w:tcPr>
            <w:tcW w:w="277"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right"/>
              <w:rPr/>
            </w:pPr>
            <w:r>
              <w:rPr/>
              <w:t>35.5</w:t>
            </w:r>
          </w:p>
        </w:tc>
        <w:tc>
          <w:tcPr>
            <w:tcW w:w="32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575" w:type="dxa"/>
            <w:tcBorders/>
            <w:vAlign w:val="bottom"/>
          </w:tcPr>
          <w:p>
            <w:pPr>
              <w:pStyle w:val="TableContents"/>
              <w:bidi w:val="0"/>
              <w:spacing w:before="0" w:after="283"/>
              <w:jc w:val="right"/>
              <w:rPr/>
            </w:pPr>
            <w:r>
              <w:rPr/>
              <w:t>(456</w:t>
            </w:r>
          </w:p>
        </w:tc>
        <w:tc>
          <w:tcPr>
            <w:tcW w:w="253"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(506.7</w:t>
            </w:r>
          </w:p>
        </w:tc>
        <w:tc>
          <w:tcPr>
            <w:tcW w:w="397" w:type="dxa"/>
            <w:tcBorders/>
            <w:vAlign w:val="bottom"/>
          </w:tcPr>
          <w:p>
            <w:pPr>
              <w:pStyle w:val="TableContents"/>
              <w:bidi w:val="0"/>
              <w:spacing w:before="0" w:after="283"/>
              <w:jc w:val="left"/>
              <w:rPr/>
            </w:pPr>
            <w:r>
              <w:rPr/>
              <w:t>%) </w:t>
            </w:r>
          </w:p>
        </w:tc>
      </w:tr>
      <w:tr>
        <w:trPr/>
        <w:tc>
          <w:tcPr>
            <w:tcW w:w="3804"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double" w:sz="6" w:space="1" w:color="000000"/>
              </w:pBdr>
              <w:bidi w:val="0"/>
              <w:spacing w:before="0" w:after="0"/>
              <w:jc w:val="left"/>
              <w:rPr/>
            </w:pPr>
            <w:r>
              <w:rPr/>
              <w:t> </w:t>
            </w:r>
          </w:p>
        </w:tc>
        <w:tc>
          <w:tcPr>
            <w:tcW w:w="630" w:type="dxa"/>
            <w:tcBorders/>
            <w:vAlign w:val="bottom"/>
          </w:tcPr>
          <w:p>
            <w:pPr>
              <w:pStyle w:val="TableContents"/>
              <w:pBdr>
                <w:top w:val="double" w:sz="6"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575" w:type="dxa"/>
            <w:tcBorders/>
            <w:vAlign w:val="bottom"/>
          </w:tcPr>
          <w:p>
            <w:pPr>
              <w:pStyle w:val="TableContents"/>
              <w:pBdr>
                <w:top w:val="double" w:sz="6" w:space="1" w:color="000000"/>
              </w:pBdr>
              <w:bidi w:val="0"/>
              <w:spacing w:before="0" w:after="0"/>
              <w:jc w:val="left"/>
              <w:rPr/>
            </w:pPr>
            <w:r>
              <w:rPr/>
              <w:t> </w:t>
            </w:r>
          </w:p>
        </w:tc>
        <w:tc>
          <w:tcPr>
            <w:tcW w:w="253" w:type="dxa"/>
            <w:tcBorders/>
            <w:vAlign w:val="center"/>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39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Major components of deferred tax assets (liabilities) as of January 3, 2026 and December 28, 2024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47"/>
        <w:gridCol w:w="451"/>
        <w:gridCol w:w="174"/>
        <w:gridCol w:w="975"/>
        <w:gridCol w:w="155"/>
        <w:gridCol w:w="451"/>
        <w:gridCol w:w="221"/>
        <w:gridCol w:w="1222"/>
        <w:gridCol w:w="159"/>
      </w:tblGrid>
      <w:tr>
        <w:trPr/>
        <w:tc>
          <w:tcPr>
            <w:tcW w:w="3947"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47"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reserves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2,339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3,885</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642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Depreciation/amortization and basis differences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14,932</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12,551</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163(j)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14,754</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Credit carryforwards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730</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carryforwards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6,210</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obligation</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7,062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8,806</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50,188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(18,967</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Total 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31,221</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40,820</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9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(2,396</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(1,967</w:t>
            </w:r>
          </w:p>
        </w:tc>
        <w:tc>
          <w:tcPr>
            <w:tcW w:w="159" w:type="dxa"/>
            <w:tcBorders/>
            <w:vAlign w:val="bottom"/>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Inventory</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(4,598</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(3,110</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Lease right of use asset</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(6,368</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(8,111</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5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(13,362</w:t>
            </w:r>
          </w:p>
        </w:tc>
        <w:tc>
          <w:tcPr>
            <w:tcW w:w="155"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(13,188</w:t>
            </w:r>
          </w:p>
        </w:tc>
        <w:tc>
          <w:tcPr>
            <w:tcW w:w="159" w:type="dxa"/>
            <w:tcBorders/>
            <w:shd w:fill="CCEEFF" w:val="clear"/>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47" w:type="dxa"/>
            <w:tcBorders/>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17,859</w:t>
            </w:r>
          </w:p>
        </w:tc>
        <w:tc>
          <w:tcPr>
            <w:tcW w:w="155"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27,632</w:t>
            </w:r>
          </w:p>
        </w:tc>
        <w:tc>
          <w:tcPr>
            <w:tcW w:w="159" w:type="dxa"/>
            <w:tcBorders/>
            <w:vAlign w:val="bottom"/>
          </w:tcPr>
          <w:p>
            <w:pPr>
              <w:pStyle w:val="TableContents"/>
              <w:bidi w:val="0"/>
              <w:spacing w:before="0" w:after="283"/>
              <w:jc w:val="left"/>
              <w:rPr/>
            </w:pPr>
            <w:r>
              <w:rPr/>
              <w:t> </w:t>
            </w:r>
          </w:p>
        </w:tc>
      </w:tr>
      <w:tr>
        <w:trPr/>
        <w:tc>
          <w:tcPr>
            <w:tcW w:w="3947"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174"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the likelihood of the recoverability of its deferred tax assets. Any valuation allowance recorded is based on estimates and assumptions of taxable income in future periods and a determination is made of the magnitude of deferred tax assets which are more likely than not to be realized. If these estimates and related assumptions change in the future, the Company may be required to record additional valuation allowances against its deferred tax assets and its effective tax rate may increase which could result in a material adverse impact on the Company’s Consolidated Balance Sheets and Consolidated Statements of Operations and Comprehensive (Loss) Income. Valuation allowances are applied against certain deferred income tax assets where the Company has assessed that the realization of such assets does not meet the “more likely than not” criteria.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recorded deferred tax assets for disallowed interest carryforwards of $18,967 and $14,754 as of January 3, 2026 and December 28, 2024, respectively. The Company also recorded federal and state net operating loss carryforwards of $6,210 and $0 as of January 3, 2026 and December 28, 2024, respectively. The company believes that it is more likely than not that a portion of its deferred tax assets will not be realized and has recorded a valuation allowance of $18,967 against its disallowed interest carryforward for the period ending January 3, 2026. The company did not record a valuation allowance for the year ending December 28, 2024. </w:t>
      </w:r>
    </w:p>
    <w:p>
      <w:pPr>
        <w:pStyle w:val="TextBody"/>
        <w:bidi w:val="0"/>
        <w:spacing w:before="240" w:after="0"/>
        <w:jc w:val="left"/>
        <w:rPr>
          <w:rFonts w:ascii="Times New Roman" w:hAnsi="Times New Roman"/>
          <w:sz w:val="20"/>
        </w:rPr>
      </w:pPr>
      <w:r>
        <w:rPr>
          <w:rFonts w:ascii="Times New Roman" w:hAnsi="Times New Roman"/>
          <w:sz w:val="20"/>
        </w:rPr>
        <w:t xml:space="preserve">After evaluating open tax years, the Company has concluded no uncertain tax positions require recognition in the financial statements. This assessment is not expected to change materially in the next 12 months, and no related interest or penalties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income taxes paid during the year ending January 3, 2026, net of refunds, by jurisdiction.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1"/>
        <w:gridCol w:w="587"/>
        <w:gridCol w:w="226"/>
        <w:gridCol w:w="961"/>
        <w:gridCol w:w="64"/>
      </w:tblGrid>
      <w:tr>
        <w:trPr/>
        <w:tc>
          <w:tcPr>
            <w:tcW w:w="5101" w:type="dxa"/>
            <w:tcBorders/>
            <w:vAlign w:val="center"/>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left"/>
              <w:rPr/>
            </w:pPr>
            <w:r>
              <w:rPr/>
              <w:t>  </w:t>
            </w:r>
          </w:p>
        </w:tc>
        <w:tc>
          <w:tcPr>
            <w:tcW w:w="11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4" w:type="dxa"/>
            <w:tcBorders/>
            <w:vAlign w:val="bottom"/>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Federal</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2,000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State and local</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Texas</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132</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taxes paid</w:t>
            </w:r>
          </w:p>
        </w:tc>
        <w:tc>
          <w:tcPr>
            <w:tcW w:w="58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2,200</w:t>
            </w:r>
          </w:p>
        </w:tc>
        <w:tc>
          <w:tcPr>
            <w:tcW w:w="64" w:type="dxa"/>
            <w:tcBorders/>
            <w:shd w:fill="CCEEFF" w:val="clear"/>
            <w:vAlign w:val="bottom"/>
          </w:tcPr>
          <w:p>
            <w:pPr>
              <w:pStyle w:val="TableContents"/>
              <w:bidi w:val="0"/>
              <w:spacing w:before="0" w:after="283"/>
              <w:jc w:val="left"/>
              <w:rPr/>
            </w:pPr>
            <w:r>
              <w:rPr/>
              <w:t> </w:t>
            </w:r>
          </w:p>
        </w:tc>
      </w:tr>
      <w:tr>
        <w:trPr/>
        <w:tc>
          <w:tcPr>
            <w:tcW w:w="5101"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previously disclosed, prior to the adoption of ASU 2023-09, the Company’s income tax cash payments were $4,645 and $4,044 for the years ending December 28, 2024 and December 30,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January 3, 2026 and December 28, 2024, the Company has outstanding letters of credit of $4,941 and $4,981,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January 3, 2026 and December 28, 2024, 82.9% and 82.9%, respectively, of our First Lien was owned by equity shareholders. Cash interest paid on the First Lien attributable to related parties was $27,369, $31,853 and $36,223 for the years ended January 3, 2026, December 28, 2024 and December 30, 2023, respectively, representing 82.9% of total cash interest paid. See Note 11. Additionally, at January 3, 2026 and December 28, 2024, 82.9% and 82.9%, respectively, of the Company’s outstanding warrants are owned by equity shareholders or held by board members and are classified as Other non-current liabilities on the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for one share of Common Stock at an exercise price of $722.70 per share. The Warrant Agreement contains customary anti-dilution adjustments including, but not limited to, cash dividends, reorganizations, and business combination transactions. All warrants remain outstanding as of January 3, 2026 and December 28, 2024. The fair value of the warrants was $0 and $215 as of January 3, 2026 and December 28, 2024, respectively, and was recorded in Other Non-Current Liabilities. The change in fair value of the warrants is included in Gain on fair value adjustment of warrants in the accompanying Consolidated Statements of Operations and Comprehensive (Loss) Income and was a gain of $215, $711 and $1,738 for the years ended January 3, 2026, December 28, 2024 and December 30, 2023,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years ended January 3, 2026, December 28, 2024 and December 30, 2023 except in connection with the impairment of software, the impairment of Tradenames and the impairment of Goodwill. The categorization of the framework to price these assets is within Level 3 due to the subjective nature of unobservable inputs. Refer to Note 2, Note 8 and Note 9 for discussion of the impairment of software, the impairment of Tradenames and the impairment of Goodwill,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Instruments</w:t>
      </w:r>
      <w:r>
        <w:rPr>
          <w:rFonts w:ascii="Times New Roman" w:hAnsi="Times New Roman"/>
          <w:sz w:val="20"/>
        </w:rPr>
        <w:t xml:space="preserve"> </w:t>
      </w:r>
      <w:r>
        <w:rPr>
          <w:rFonts w:ascii="Times New Roman" w:hAnsi="Times New Roman"/>
          <w:b/>
          <w:sz w:val="20"/>
        </w:rPr>
        <w:t>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517"/>
        <w:gridCol w:w="238"/>
        <w:gridCol w:w="437"/>
        <w:gridCol w:w="1196"/>
        <w:gridCol w:w="60"/>
        <w:gridCol w:w="238"/>
        <w:gridCol w:w="457"/>
        <w:gridCol w:w="1251"/>
        <w:gridCol w:w="60"/>
        <w:gridCol w:w="238"/>
        <w:gridCol w:w="510"/>
        <w:gridCol w:w="1391"/>
        <w:gridCol w:w="60"/>
        <w:gridCol w:w="238"/>
        <w:gridCol w:w="385"/>
        <w:gridCol w:w="1044"/>
        <w:gridCol w:w="68"/>
      </w:tblGrid>
      <w:tr>
        <w:trPr/>
        <w:tc>
          <w:tcPr>
            <w:tcW w:w="1517"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1517"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pPr>
            <w:r>
              <w:rPr>
                <w:b/>
              </w:rPr>
              <w:t>Unobservable</w:t>
              <w:br/>
              <w:t>Inputs</w:t>
            </w:r>
            <w:r>
              <w:rPr/>
              <w:br/>
            </w:r>
            <w:r>
              <w:rPr>
                <w:b/>
              </w:rPr>
              <w:t>(Level 3)</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15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28, 2024</w:t>
            </w:r>
          </w:p>
        </w:tc>
        <w:tc>
          <w:tcPr>
            <w:tcW w:w="2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1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151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196"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4" w:type="dxa"/>
            <w:tcBorders/>
            <w:vAlign w:val="bottom"/>
          </w:tcPr>
          <w:p>
            <w:pPr>
              <w:pStyle w:val="TableContents"/>
              <w:bidi w:val="0"/>
              <w:spacing w:before="0" w:after="283"/>
              <w:jc w:val="right"/>
              <w:rPr/>
            </w:pPr>
            <w:r>
              <w:rPr/>
              <w:t>215</w:t>
            </w:r>
          </w:p>
        </w:tc>
        <w:tc>
          <w:tcPr>
            <w:tcW w:w="6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20, 2026, the U.S. Supreme Court ruled that certain tariffs imposed by the current administration under the International Emergency Economic Powers Act (“IEEPA”) were unlawful. Following the ruling, the current administration indicated it would discontinue collection of such IEEPA-based duties and announced its intent to impose additional tariffs under other statutory authorities, including newly announced temporary global tariffs in addition to existing non-IEEPA tariffs. The availability, timing, and amount of any potential refunds of previously paid IEEPA-related duties remain uncertain and may depend on further legal, regulatory, and administrative processes. The duration, scope, and rates of existing and newly announced tariff measures, as well as the potential for modifications, suspensions, or additional retaliatory actions, are also uncertain and could affect the Company’s operations, supply chain, and cost structure. The Company is monitoring these developments and assessing their potential impact on its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reflect management’s evaluation of the subsequent events through April 1, 2026, the date the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8" w:name="fin76201_99"/>
      <w:bookmarkEnd w:id="98"/>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As of April 4, 2026 and January 3, 2026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amounts)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0"/>
        <w:gridCol w:w="220"/>
        <w:gridCol w:w="140"/>
        <w:gridCol w:w="875"/>
        <w:gridCol w:w="163"/>
        <w:gridCol w:w="186"/>
        <w:gridCol w:w="162"/>
        <w:gridCol w:w="1001"/>
        <w:gridCol w:w="168"/>
      </w:tblGrid>
      <w:tr>
        <w:trPr/>
        <w:tc>
          <w:tcPr>
            <w:tcW w:w="729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29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5,565</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11,331</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5,816</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4,096</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122,473</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117,174</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18,524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19,476</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152,378</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152,077</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31,898</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31,884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26,590</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28,560</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 net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130,417</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131,064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1,349</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495</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16,595</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17,859</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359,227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361,939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283"/>
              <w:jc w:val="left"/>
              <w:rPr>
                <w:b/>
              </w:rPr>
            </w:pPr>
            <w:r>
              <w:rPr>
                <w:b/>
              </w:rPr>
              <w:t>LIABILITIES, CONVERTIBLE PREFERRED STOCK AND STOCKHOLDERS’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47,561</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w:t>
            </w:r>
          </w:p>
        </w:tc>
        <w:tc>
          <w:tcPr>
            <w:tcW w:w="1001" w:type="dxa"/>
            <w:tcBorders/>
            <w:vAlign w:val="bottom"/>
          </w:tcPr>
          <w:p>
            <w:pPr>
              <w:pStyle w:val="TableContents"/>
              <w:bidi w:val="0"/>
              <w:spacing w:before="0" w:after="283"/>
              <w:jc w:val="right"/>
              <w:rPr/>
            </w:pPr>
            <w:r>
              <w:rPr/>
              <w:t>47,128</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$4,016 and $2,508 to related parties,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50,077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47,961</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Short-term operating lease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7,982</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8,104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(includes $5,800 and $5,800 to related parties,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7,000</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7,000</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112,620</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110,193</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3,446</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3,618</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Long-term debt (includes $203,350 and $203,710 to related parties, respectively)</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269,217</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245,857</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operating lease liabilities</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21,721</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23,572</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407,004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383,240</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283"/>
              <w:jc w:val="left"/>
              <w:rPr/>
            </w:pPr>
            <w:r>
              <w:rPr/>
              <w:t>COMMITMENTS AND CONTINGENCIES (See Note 9)</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c>
          <w:tcPr>
            <w:tcW w:w="7290" w:type="dxa"/>
            <w:tcBorders/>
          </w:tcPr>
          <w:p>
            <w:pPr>
              <w:pStyle w:val="TableContents"/>
              <w:bidi w:val="0"/>
              <w:spacing w:before="0" w:after="283"/>
              <w:jc w:val="left"/>
              <w:rPr/>
            </w:pPr>
            <w:r>
              <w:rPr/>
              <w:t>CONVERTIBLE PREFERRED STOCK:</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($0.01 par value, 170 authorized; 49 and 49 shares issued and outstanding at April 4, 2026 and January 3, 2026, respectively)</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21,712</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21,712</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($0.01 par value, 1,700 authorized; 885 and 885 shares issued and outstanding at April 4, 2026 and January 3, 2026)</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203,614</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203,614</w:t>
            </w:r>
          </w:p>
        </w:tc>
        <w:tc>
          <w:tcPr>
            <w:tcW w:w="168" w:type="dxa"/>
            <w:tcBorders/>
            <w:vAlign w:val="bottom"/>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(273,112</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(246,636</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(69,489</w:t>
            </w:r>
          </w:p>
        </w:tc>
        <w:tc>
          <w:tcPr>
            <w:tcW w:w="16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(43,013</w:t>
            </w:r>
          </w:p>
        </w:tc>
        <w:tc>
          <w:tcPr>
            <w:tcW w:w="168" w:type="dxa"/>
            <w:tcBorders/>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7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2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359,227</w:t>
            </w:r>
          </w:p>
        </w:tc>
        <w:tc>
          <w:tcPr>
            <w:tcW w:w="16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w:t>
            </w:r>
          </w:p>
        </w:tc>
        <w:tc>
          <w:tcPr>
            <w:tcW w:w="1001" w:type="dxa"/>
            <w:tcBorders/>
            <w:shd w:fill="CCEEFF" w:val="clear"/>
            <w:vAlign w:val="bottom"/>
          </w:tcPr>
          <w:p>
            <w:pPr>
              <w:pStyle w:val="TableContents"/>
              <w:bidi w:val="0"/>
              <w:spacing w:before="0" w:after="283"/>
              <w:jc w:val="right"/>
              <w:rPr/>
            </w:pPr>
            <w:r>
              <w:rPr/>
              <w:t>361,939</w:t>
            </w:r>
          </w:p>
        </w:tc>
        <w:tc>
          <w:tcPr>
            <w:tcW w:w="168" w:type="dxa"/>
            <w:tcBorders/>
            <w:shd w:fill="CCEEFF" w:val="clear"/>
            <w:vAlign w:val="bottom"/>
          </w:tcPr>
          <w:p>
            <w:pPr>
              <w:pStyle w:val="TableContents"/>
              <w:bidi w:val="0"/>
              <w:spacing w:before="0" w:after="283"/>
              <w:jc w:val="left"/>
              <w:rPr/>
            </w:pPr>
            <w:r>
              <w:rPr/>
              <w:t> </w:t>
            </w:r>
          </w:p>
        </w:tc>
      </w:tr>
      <w:tr>
        <w:trPr/>
        <w:tc>
          <w:tcPr>
            <w:tcW w:w="7290" w:type="dxa"/>
            <w:tcBorders/>
            <w:vAlign w:val="bottom"/>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fin76201_100"/>
      <w:bookmarkEnd w:id="99"/>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09"/>
        <w:gridCol w:w="230"/>
        <w:gridCol w:w="140"/>
        <w:gridCol w:w="807"/>
        <w:gridCol w:w="155"/>
        <w:gridCol w:w="193"/>
        <w:gridCol w:w="159"/>
        <w:gridCol w:w="953"/>
        <w:gridCol w:w="159"/>
      </w:tblGrid>
      <w:tr>
        <w:trPr/>
        <w:tc>
          <w:tcPr>
            <w:tcW w:w="7409"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9"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151,174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53" w:type="dxa"/>
            <w:tcBorders/>
            <w:shd w:fill="CCEEFF" w:val="clear"/>
            <w:vAlign w:val="bottom"/>
          </w:tcPr>
          <w:p>
            <w:pPr>
              <w:pStyle w:val="TableContents"/>
              <w:bidi w:val="0"/>
              <w:spacing w:before="0" w:after="283"/>
              <w:jc w:val="right"/>
              <w:rPr/>
            </w:pPr>
            <w:r>
              <w:rPr/>
              <w:t>169,482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Cost of merchandise sold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62,230</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65,645</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88,944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103,837</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95,553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103,509</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3,153</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3,372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Transaction-related expenses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1,703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5,857</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(11,465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(8,904</w:t>
            </w:r>
          </w:p>
        </w:tc>
        <w:tc>
          <w:tcPr>
            <w:tcW w:w="159" w:type="dxa"/>
            <w:tcBorders/>
            <w:vAlign w:val="bottom"/>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 net (includes $8,915 and $7,963 to related parties, respectively)</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11,332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9,725</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income taxes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(22,797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(18,629</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3,709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(2,392</w:t>
            </w:r>
          </w:p>
        </w:tc>
        <w:tc>
          <w:tcPr>
            <w:tcW w:w="159" w:type="dxa"/>
            <w:tcBorders/>
            <w:shd w:fill="CCEEFF" w:val="clear"/>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5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09" w:type="dxa"/>
            <w:tcBorders/>
          </w:tcPr>
          <w:p>
            <w:pPr>
              <w:pStyle w:val="TableContents"/>
              <w:bidi w:val="0"/>
              <w:spacing w:before="0" w:after="0"/>
              <w:jc w:val="left"/>
              <w:rPr>
                <w:rFonts w:ascii="Times New Roman" w:hAnsi="Times New Roman"/>
                <w:sz w:val="20"/>
              </w:rPr>
            </w:pPr>
            <w:r>
              <w:rPr>
                <w:rFonts w:ascii="Times New Roman" w:hAnsi="Times New Roman"/>
                <w:sz w:val="20"/>
              </w:rPr>
              <w:t>Net loss and comprehensive loss - net of tax</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(26,506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53" w:type="dxa"/>
            <w:tcBorders/>
            <w:vAlign w:val="bottom"/>
          </w:tcPr>
          <w:p>
            <w:pPr>
              <w:pStyle w:val="TableContents"/>
              <w:bidi w:val="0"/>
              <w:spacing w:before="0" w:after="283"/>
              <w:jc w:val="right"/>
              <w:rPr/>
            </w:pPr>
            <w:r>
              <w:rPr/>
              <w:t>(16,237</w:t>
            </w:r>
          </w:p>
        </w:tc>
        <w:tc>
          <w:tcPr>
            <w:tcW w:w="159" w:type="dxa"/>
            <w:tcBorders/>
            <w:vAlign w:val="bottom"/>
          </w:tcPr>
          <w:p>
            <w:pPr>
              <w:pStyle w:val="TableContents"/>
              <w:bidi w:val="0"/>
              <w:spacing w:before="0" w:after="283"/>
              <w:jc w:val="left"/>
              <w:rPr/>
            </w:pPr>
            <w:r>
              <w:rPr/>
              <w:t>) </w:t>
            </w:r>
          </w:p>
        </w:tc>
      </w:tr>
      <w:tr>
        <w:trPr/>
        <w:tc>
          <w:tcPr>
            <w:tcW w:w="7409"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95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0" w:name="fin76201_101"/>
      <w:bookmarkEnd w:id="100"/>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(Deficit) Equity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20"/>
        <w:gridCol w:w="115"/>
        <w:gridCol w:w="133"/>
        <w:gridCol w:w="610"/>
        <w:gridCol w:w="60"/>
        <w:gridCol w:w="84"/>
        <w:gridCol w:w="180"/>
        <w:gridCol w:w="733"/>
        <w:gridCol w:w="84"/>
        <w:gridCol w:w="115"/>
        <w:gridCol w:w="83"/>
        <w:gridCol w:w="686"/>
        <w:gridCol w:w="60"/>
        <w:gridCol w:w="115"/>
        <w:gridCol w:w="300"/>
        <w:gridCol w:w="563"/>
        <w:gridCol w:w="60"/>
        <w:gridCol w:w="115"/>
        <w:gridCol w:w="140"/>
        <w:gridCol w:w="841"/>
        <w:gridCol w:w="60"/>
        <w:gridCol w:w="115"/>
        <w:gridCol w:w="141"/>
        <w:gridCol w:w="916"/>
        <w:gridCol w:w="155"/>
        <w:gridCol w:w="115"/>
        <w:gridCol w:w="140"/>
        <w:gridCol w:w="801"/>
        <w:gridCol w:w="165"/>
      </w:tblGrid>
      <w:tr>
        <w:trPr/>
        <w:tc>
          <w:tcPr>
            <w:tcW w:w="252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center"/>
              <w:rPr>
                <w:b/>
              </w:rPr>
            </w:pPr>
            <w:r>
              <w:rPr>
                <w:b/>
              </w:rPr>
              <w:t>Convertible</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540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981"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105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1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center"/>
              <w:rPr>
                <w:b/>
              </w:rPr>
            </w:pPr>
            <w:r>
              <w:rPr>
                <w:b/>
              </w:rPr>
              <w:t>Amount</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BALANCE—January 3, 2026</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49</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21,712</w:t>
            </w:r>
          </w:p>
        </w:tc>
        <w:tc>
          <w:tcPr>
            <w:tcW w:w="84" w:type="dxa"/>
            <w:tcBorders/>
            <w:shd w:fill="CCEEFF" w:val="clear"/>
            <w:vAlign w:val="bottom"/>
          </w:tcPr>
          <w:p>
            <w:pPr>
              <w:pStyle w:val="TableContents"/>
              <w:bidi w:val="0"/>
              <w:spacing w:before="0" w:after="283"/>
              <w:jc w:val="left"/>
              <w:rPr/>
            </w:pPr>
            <w:r>
              <w:rPr/>
              <w:t> </w:t>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885</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9</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203,614</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(246,636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(43,013</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Dividend forfeitures</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(26,506</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(26,506</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BALANCE—April 4, 2026</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21,712</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885</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9</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203,614</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(273,112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(69,489</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rHeight w:val="240" w:hRule="atLeast"/>
        </w:trPr>
        <w:tc>
          <w:tcPr>
            <w:tcW w:w="2520" w:type="dxa"/>
            <w:tcBorders/>
            <w:vAlign w:val="center"/>
          </w:tcPr>
          <w:p>
            <w:pPr>
              <w:pStyle w:val="TableContents"/>
              <w:bidi w:val="0"/>
              <w:spacing w:before="0" w:after="283"/>
              <w:jc w:val="left"/>
              <w:rPr>
                <w:sz w:val="4"/>
                <w:szCs w:val="4"/>
              </w:rPr>
            </w:pPr>
            <w:r>
              <w:rPr>
                <w:sz w:val="4"/>
                <w:szCs w:val="4"/>
              </w:rPr>
            </w:r>
          </w:p>
        </w:tc>
        <w:tc>
          <w:tcPr>
            <w:tcW w:w="1999" w:type="dxa"/>
            <w:gridSpan w:val="8"/>
            <w:tcBorders/>
            <w:vAlign w:val="center"/>
          </w:tcPr>
          <w:p>
            <w:pPr>
              <w:pStyle w:val="TableContents"/>
              <w:bidi w:val="0"/>
              <w:spacing w:before="0" w:after="283"/>
              <w:jc w:val="left"/>
              <w:rPr>
                <w:sz w:val="4"/>
                <w:szCs w:val="4"/>
              </w:rPr>
            </w:pPr>
            <w:r>
              <w:rPr>
                <w:sz w:val="4"/>
                <w:szCs w:val="4"/>
              </w:rPr>
            </w:r>
          </w:p>
        </w:tc>
        <w:tc>
          <w:tcPr>
            <w:tcW w:w="944" w:type="dxa"/>
            <w:gridSpan w:val="4"/>
            <w:tcBorders>
              <w:left w:val="single" w:sz="2" w:space="0" w:color="000000"/>
            </w:tcBorders>
            <w:tcMar>
              <w:left w:w="28" w:type="dxa"/>
            </w:tcMar>
            <w:vAlign w:val="center"/>
          </w:tcPr>
          <w:p>
            <w:pPr>
              <w:pStyle w:val="TableContents"/>
              <w:bidi w:val="0"/>
              <w:spacing w:before="0" w:after="283"/>
              <w:jc w:val="left"/>
              <w:rPr/>
            </w:pPr>
            <w:r>
              <w:rPr/>
              <w:t> </w:t>
            </w:r>
          </w:p>
        </w:tc>
        <w:tc>
          <w:tcPr>
            <w:tcW w:w="1038" w:type="dxa"/>
            <w:gridSpan w:val="4"/>
            <w:tcBorders/>
            <w:vAlign w:val="center"/>
          </w:tcPr>
          <w:p>
            <w:pPr>
              <w:pStyle w:val="TableContents"/>
              <w:bidi w:val="0"/>
              <w:spacing w:before="0" w:after="283"/>
              <w:jc w:val="left"/>
              <w:rPr>
                <w:sz w:val="4"/>
                <w:szCs w:val="4"/>
              </w:rPr>
            </w:pPr>
            <w:r>
              <w:rPr>
                <w:sz w:val="4"/>
                <w:szCs w:val="4"/>
              </w:rPr>
            </w:r>
          </w:p>
        </w:tc>
        <w:tc>
          <w:tcPr>
            <w:tcW w:w="1156" w:type="dxa"/>
            <w:gridSpan w:val="4"/>
            <w:tcBorders/>
            <w:vAlign w:val="center"/>
          </w:tcPr>
          <w:p>
            <w:pPr>
              <w:pStyle w:val="TableContents"/>
              <w:bidi w:val="0"/>
              <w:spacing w:before="0" w:after="283"/>
              <w:jc w:val="left"/>
              <w:rPr>
                <w:sz w:val="4"/>
                <w:szCs w:val="4"/>
              </w:rPr>
            </w:pPr>
            <w:r>
              <w:rPr>
                <w:sz w:val="4"/>
                <w:szCs w:val="4"/>
              </w:rPr>
            </w:r>
          </w:p>
        </w:tc>
        <w:tc>
          <w:tcPr>
            <w:tcW w:w="1327"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vAlign w:val="bottom"/>
          </w:tcPr>
          <w:p>
            <w:pPr>
              <w:pStyle w:val="TableContents"/>
              <w:bidi w:val="0"/>
              <w:spacing w:before="0" w:after="283"/>
              <w:jc w:val="center"/>
              <w:rPr>
                <w:b/>
              </w:rPr>
            </w:pPr>
            <w:r>
              <w:rPr>
                <w:b/>
              </w:rPr>
              <w:t>Convertible</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8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05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540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Stockholders’ (Deficit) Equity</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981"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 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vMerge w:val="restart"/>
            <w:tcBorders/>
            <w:vAlign w:val="bottom"/>
          </w:tcPr>
          <w:p>
            <w:pPr>
              <w:pStyle w:val="TableContents"/>
              <w:bidi w:val="0"/>
              <w:spacing w:before="0" w:after="283"/>
              <w:jc w:val="left"/>
              <w:rPr/>
            </w:pPr>
            <w:r>
              <w:rPr/>
              <w:t> </w:t>
            </w:r>
          </w:p>
        </w:tc>
        <w:tc>
          <w:tcPr>
            <w:tcW w:w="115" w:type="dxa"/>
            <w:vMerge w:val="restart"/>
            <w:tcBorders/>
            <w:vAlign w:val="bottom"/>
          </w:tcPr>
          <w:p>
            <w:pPr>
              <w:pStyle w:val="TableContents"/>
              <w:bidi w:val="0"/>
              <w:spacing w:before="0" w:after="283"/>
              <w:jc w:val="left"/>
              <w:rPr/>
            </w:pPr>
            <w:r>
              <w:rPr/>
              <w:t> </w:t>
            </w:r>
          </w:p>
        </w:tc>
        <w:tc>
          <w:tcPr>
            <w:tcW w:w="1057" w:type="dxa"/>
            <w:gridSpan w:val="2"/>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20"/>
              <w:jc w:val="center"/>
              <w:rPr>
                <w:rFonts w:ascii="Times New Roman" w:hAnsi="Times New Roman"/>
                <w:b/>
                <w:sz w:val="16"/>
              </w:rPr>
            </w:pPr>
            <w:r>
              <w:rPr>
                <w:rFonts w:ascii="Times New Roman" w:hAnsi="Times New Roman"/>
                <w:b/>
                <w:sz w:val="16"/>
              </w:rPr>
              <w:t>Deficit)</w:t>
            </w:r>
          </w:p>
        </w:tc>
        <w:tc>
          <w:tcPr>
            <w:tcW w:w="155" w:type="dxa"/>
            <w:vMerge w:val="restart"/>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Preferred Stock</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18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743"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13" w:type="dxa"/>
            <w:gridSpan w:val="2"/>
            <w:tcBorders/>
            <w:vAlign w:val="bottom"/>
          </w:tcPr>
          <w:p>
            <w:pPr>
              <w:pStyle w:val="TableContents"/>
              <w:bidi w:val="0"/>
              <w:spacing w:before="0" w:after="283"/>
              <w:jc w:val="center"/>
              <w:rPr>
                <w:b/>
              </w:rPr>
            </w:pPr>
            <w:r>
              <w:rPr>
                <w:b/>
              </w:rPr>
              <w:t>Amount</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769" w:type="dxa"/>
            <w:gridSpan w:val="2"/>
            <w:tcBorders/>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15" w:type="dxa"/>
            <w:vMerge w:val="continue"/>
            <w:tcBorders/>
            <w:vAlign w:val="bottom"/>
          </w:tcPr>
          <w:p>
            <w:pPr>
              <w:pStyle w:val="Normal"/>
              <w:bidi w:val="0"/>
              <w:jc w:val="left"/>
              <w:rPr/>
            </w:pPr>
            <w:r>
              <w:rPr/>
            </w:r>
          </w:p>
        </w:tc>
        <w:tc>
          <w:tcPr>
            <w:tcW w:w="981"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5" w:type="dxa"/>
            <w:vMerge w:val="continue"/>
            <w:tcBorders/>
            <w:vAlign w:val="bottom"/>
          </w:tcPr>
          <w:p>
            <w:pPr>
              <w:pStyle w:val="Normal"/>
              <w:bidi w:val="0"/>
              <w:jc w:val="left"/>
              <w:rPr/>
            </w:pPr>
            <w:r>
              <w:rPr/>
            </w:r>
          </w:p>
        </w:tc>
        <w:tc>
          <w:tcPr>
            <w:tcW w:w="1057"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11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center"/>
              <w:rPr>
                <w:b/>
              </w:rPr>
            </w:pPr>
            <w:r>
              <w:rPr>
                <w:b/>
              </w:rPr>
              <w:t>Total</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BALANCE—December 28, 2024</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31,205</w:t>
            </w:r>
          </w:p>
        </w:tc>
        <w:tc>
          <w:tcPr>
            <w:tcW w:w="84" w:type="dxa"/>
            <w:tcBorders/>
            <w:shd w:fill="CCEEFF" w:val="clear"/>
            <w:vAlign w:val="bottom"/>
          </w:tcPr>
          <w:p>
            <w:pPr>
              <w:pStyle w:val="TableContents"/>
              <w:bidi w:val="0"/>
              <w:spacing w:before="0" w:after="283"/>
              <w:jc w:val="left"/>
              <w:rPr/>
            </w:pPr>
            <w:r>
              <w:rPr/>
              <w:t> </w:t>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right"/>
              <w:rPr/>
            </w:pPr>
            <w:r>
              <w:rPr/>
              <w:t>1,174</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1" w:type="dxa"/>
            <w:tcBorders/>
            <w:shd w:fill="CCEEFF" w:val="clear"/>
            <w:vAlign w:val="bottom"/>
          </w:tcPr>
          <w:p>
            <w:pPr>
              <w:pStyle w:val="TableContents"/>
              <w:bidi w:val="0"/>
              <w:spacing w:before="0" w:after="283"/>
              <w:jc w:val="right"/>
              <w:rPr/>
            </w:pPr>
            <w:r>
              <w:rPr/>
              <w:t>194,120</w:t>
            </w:r>
          </w:p>
        </w:tc>
        <w:tc>
          <w:tcPr>
            <w:tcW w:w="60"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(189,542</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4,588</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Dividends ($3.33 per convertible preferred share)</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84" w:type="dxa"/>
            <w:tcBorders/>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sz w:val="4"/>
                <w:szCs w:val="4"/>
              </w:rPr>
            </w:pPr>
            <w:r>
              <w:rPr>
                <w:sz w:val="4"/>
                <w:szCs w:val="4"/>
              </w:rPr>
            </w:r>
          </w:p>
        </w:tc>
        <w:tc>
          <w:tcPr>
            <w:tcW w:w="5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(243</w:t>
            </w:r>
          </w:p>
        </w:tc>
        <w:tc>
          <w:tcPr>
            <w:tcW w:w="165" w:type="dxa"/>
            <w:tcBorders/>
            <w:vAlign w:val="bottom"/>
          </w:tcPr>
          <w:p>
            <w:pPr>
              <w:pStyle w:val="TableContents"/>
              <w:bidi w:val="0"/>
              <w:spacing w:before="0" w:after="283"/>
              <w:jc w:val="left"/>
              <w:rPr/>
            </w:pPr>
            <w:r>
              <w:rPr/>
              <w:t>) </w:t>
            </w:r>
          </w:p>
        </w:tc>
      </w:tr>
      <w:tr>
        <w:trPr/>
        <w:tc>
          <w:tcPr>
            <w:tcW w:w="2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15"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left w:val="single" w:sz="2" w:space="0" w:color="000000"/>
            </w:tcBorders>
            <w:shd w:fill="CCEEFF" w:val="clear"/>
            <w:tcMar>
              <w:left w:w="28" w:type="dxa"/>
            </w:tcM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(16,237</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(16,237</w:t>
            </w:r>
          </w:p>
        </w:tc>
        <w:tc>
          <w:tcPr>
            <w:tcW w:w="165" w:type="dxa"/>
            <w:tcBorders/>
            <w:shd w:fill="CCEEFF" w:val="clear"/>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2520" w:type="dxa"/>
            <w:tcBorders/>
          </w:tcPr>
          <w:p>
            <w:pPr>
              <w:pStyle w:val="TableContents"/>
              <w:bidi w:val="0"/>
              <w:spacing w:before="0" w:after="0"/>
              <w:jc w:val="left"/>
              <w:rPr>
                <w:rFonts w:ascii="Times New Roman" w:hAnsi="Times New Roman"/>
                <w:sz w:val="20"/>
              </w:rPr>
            </w:pPr>
            <w:r>
              <w:rPr>
                <w:rFonts w:ascii="Times New Roman" w:hAnsi="Times New Roman"/>
                <w:sz w:val="20"/>
              </w:rPr>
              <w:t>BALANCE—March 29, 2025</w:t>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31,205</w:t>
            </w:r>
          </w:p>
        </w:tc>
        <w:tc>
          <w:tcPr>
            <w:tcW w:w="84" w:type="dxa"/>
            <w:tcBorders/>
            <w:vAlign w:val="bottom"/>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283"/>
              <w:jc w:val="right"/>
              <w:rPr/>
            </w:pPr>
            <w:r>
              <w:rPr/>
              <w:t>1,174</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1" w:type="dxa"/>
            <w:tcBorders/>
            <w:vAlign w:val="bottom"/>
          </w:tcPr>
          <w:p>
            <w:pPr>
              <w:pStyle w:val="TableContents"/>
              <w:bidi w:val="0"/>
              <w:spacing w:before="0" w:after="283"/>
              <w:jc w:val="right"/>
              <w:rPr/>
            </w:pPr>
            <w:r>
              <w:rPr/>
              <w:t>194,120</w:t>
            </w:r>
          </w:p>
        </w:tc>
        <w:tc>
          <w:tcPr>
            <w:tcW w:w="60"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(206,022</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(11,892</w:t>
            </w:r>
          </w:p>
        </w:tc>
        <w:tc>
          <w:tcPr>
            <w:tcW w:w="165" w:type="dxa"/>
            <w:tcBorders/>
            <w:vAlign w:val="bottom"/>
          </w:tcPr>
          <w:p>
            <w:pPr>
              <w:pStyle w:val="TableContents"/>
              <w:bidi w:val="0"/>
              <w:spacing w:before="0" w:after="283"/>
              <w:jc w:val="left"/>
              <w:rPr/>
            </w:pPr>
            <w:r>
              <w:rPr/>
              <w:t>) </w:t>
            </w:r>
          </w:p>
        </w:tc>
      </w:tr>
      <w:tr>
        <w:trPr/>
        <w:tc>
          <w:tcPr>
            <w:tcW w:w="2520" w:type="dxa"/>
            <w:tcBorders/>
            <w:vAlign w:val="bottom"/>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pPr>
            <w:r>
              <w:rPr/>
              <w:t> </w:t>
            </w:r>
          </w:p>
        </w:tc>
        <w:tc>
          <w:tcPr>
            <w:tcW w:w="133"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84" w:type="dxa"/>
            <w:tcBorders/>
            <w:vAlign w:val="center"/>
          </w:tcPr>
          <w:p>
            <w:pPr>
              <w:pStyle w:val="TableContents"/>
              <w:bidi w:val="0"/>
              <w:spacing w:before="0" w:after="283"/>
              <w:jc w:val="left"/>
              <w:rPr/>
            </w:pPr>
            <w:r>
              <w:rPr/>
              <w:t> </w:t>
            </w:r>
          </w:p>
        </w:tc>
        <w:tc>
          <w:tcPr>
            <w:tcW w:w="115" w:type="dxa"/>
            <w:tcBorders>
              <w:left w:val="single" w:sz="2" w:space="0" w:color="000000"/>
            </w:tcBorders>
            <w:tcMar>
              <w:left w:w="28" w:type="dxa"/>
            </w:tcMar>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1" w:name="fin76201_102"/>
      <w:bookmarkEnd w:id="101"/>
      <w:r>
        <w:rPr>
          <w:rFonts w:ascii="Times New Roman" w:hAnsi="Times New Roman"/>
          <w:b/>
          <w:sz w:val="20"/>
        </w:rPr>
        <w:t xml:space="preserve">FBB HOLDINGS I, INC.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thirteen weeks ended April 4, 2026 and March 29, 2025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5"/>
        <w:gridCol w:w="229"/>
        <w:gridCol w:w="140"/>
        <w:gridCol w:w="755"/>
        <w:gridCol w:w="155"/>
        <w:gridCol w:w="195"/>
        <w:gridCol w:w="176"/>
        <w:gridCol w:w="921"/>
        <w:gridCol w:w="159"/>
      </w:tblGrid>
      <w:tr>
        <w:trPr/>
        <w:tc>
          <w:tcPr>
            <w:tcW w:w="747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7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5" w:type="dxa"/>
            <w:tcBorders/>
            <w:vAlign w:val="bottom"/>
          </w:tcPr>
          <w:p>
            <w:pPr>
              <w:pStyle w:val="TableContents"/>
              <w:bidi w:val="0"/>
              <w:spacing w:before="0" w:after="283"/>
              <w:jc w:val="right"/>
              <w:rPr/>
            </w:pPr>
            <w:r>
              <w:rPr/>
              <w:t>(26,506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921" w:type="dxa"/>
            <w:tcBorders/>
            <w:vAlign w:val="bottom"/>
          </w:tcPr>
          <w:p>
            <w:pPr>
              <w:pStyle w:val="TableContents"/>
              <w:bidi w:val="0"/>
              <w:spacing w:before="0" w:after="283"/>
              <w:jc w:val="right"/>
              <w:rPr/>
            </w:pPr>
            <w:r>
              <w:rPr/>
              <w:t>(16,237</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operating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3,153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3,372</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operating right-of-use assets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1,970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2,080</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intangible assets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5,857</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 net of valuation allowance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1,264</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(2,215</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debt issue costs (includes $1,090 and $992 to related parties, respectively)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1,375</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1,256</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working capital:</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(1,720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Merchandise inventories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(5,299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(6,081</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(516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4,369</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 (includes $1,509 and ($132) to related parties, respectively)</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2,116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(4,262</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net</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(1,973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(2,081</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(794</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(26,239</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(14,732</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92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(1,571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(1,787</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(1,571</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(1,787</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borrowings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61,846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Repayments of debt (includes $1,450 and $1,450 to related parties, respectively)</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(1,750</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(243</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22,044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(1,993</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CASH AND CASH EQUIVALENTS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(5,766</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(18,512</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 Beginning of period</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11,331</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38,308</w:t>
            </w:r>
          </w:p>
        </w:tc>
        <w:tc>
          <w:tcPr>
            <w:tcW w:w="159"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9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 End of period</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5,565</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19,796</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9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92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5" w:type="dxa"/>
            <w:tcBorders/>
            <w:shd w:fill="CCEEFF" w:val="clear"/>
            <w:vAlign w:val="bottom"/>
          </w:tcPr>
          <w:p>
            <w:pPr>
              <w:pStyle w:val="TableContents"/>
              <w:bidi w:val="0"/>
              <w:spacing w:before="0" w:after="283"/>
              <w:jc w:val="right"/>
              <w:rPr/>
            </w:pPr>
            <w:r>
              <w:rPr/>
              <w:t>7,938</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921" w:type="dxa"/>
            <w:tcBorders/>
            <w:shd w:fill="CCEEFF" w:val="clear"/>
            <w:vAlign w:val="bottom"/>
          </w:tcPr>
          <w:p>
            <w:pPr>
              <w:pStyle w:val="TableContents"/>
              <w:bidi w:val="0"/>
              <w:spacing w:before="0" w:after="283"/>
              <w:jc w:val="right"/>
              <w:rPr/>
            </w:pPr>
            <w:r>
              <w:rPr/>
              <w:t>8,576</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Cash (received) paid for income taxes</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 in accounts payable</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949</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233</w:t>
            </w:r>
          </w:p>
        </w:tc>
        <w:tc>
          <w:tcPr>
            <w:tcW w:w="159"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Times New Roman" w:hAnsi="Times New Roman"/>
                <w:sz w:val="20"/>
              </w:rPr>
            </w:pPr>
            <w:r>
              <w:rPr>
                <w:rFonts w:ascii="Times New Roman" w:hAnsi="Times New Roman"/>
                <w:sz w:val="20"/>
              </w:rPr>
              <w:t>Non-cash dividend payable</w:t>
            </w:r>
          </w:p>
        </w:tc>
        <w:tc>
          <w:tcPr>
            <w:tcW w:w="2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21" w:type="dxa"/>
            <w:tcBorders/>
            <w:vAlign w:val="bottom"/>
          </w:tcPr>
          <w:p>
            <w:pPr>
              <w:pStyle w:val="TableContents"/>
              <w:bidi w:val="0"/>
              <w:spacing w:before="0" w:after="283"/>
              <w:jc w:val="right"/>
              <w:rPr/>
            </w:pPr>
            <w:r>
              <w:rPr/>
              <w:t>1,334</w:t>
            </w:r>
          </w:p>
        </w:tc>
        <w:tc>
          <w:tcPr>
            <w:tcW w:w="159"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dividend forfeitures</w:t>
            </w:r>
          </w:p>
        </w:tc>
        <w:tc>
          <w:tcPr>
            <w:tcW w:w="2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bookmarkStart w:id="102" w:name="fin76201_103"/>
            <w:bookmarkEnd w:id="102"/>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(the “Company”) is a national online, direct-to-consumer company offering apparel, accessories, and home décor for women and men principally in the plus and extended plus-size demographic. Our products are offered under the brands Woman Within, Roaman’s, Catherines, Jessica London, ellos, Avenue, Swimsuits for All, KingSize, ELOQUII, CUUP, Dia &amp; Co., BrylaneHome, OneStopPlus, ShoesforAll, IntimatesforAll, ActiveforAll, June &amp; Vie and FullBeauty Outlet. The Company operates internet sites for each of our brands and sells through third-party marketplaces.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In the opinion of management of the Company, the information reflects all adjustments, consisting of normal recurring adjustments, which are necessary for a fair statement of the interim periods presented. The preparation of condensed consolidated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Company’s business has historically been seasonal in nature, and the results of the interim periods presented are not necessarily indicative of the results to be expected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These condensed consolidated financial statements do not include all disclosures associated with annual financial statements and, accordingly, should be read in conjunction with the notes to the Company’s audited Consolidated Financial Statements for the fiscal year ended January 3, 2026. </w:t>
      </w:r>
    </w:p>
    <w:p>
      <w:pPr>
        <w:pStyle w:val="TextBody"/>
        <w:bidi w:val="0"/>
        <w:spacing w:before="360" w:after="0"/>
        <w:jc w:val="left"/>
        <w:rPr>
          <w:rFonts w:ascii="Times New Roman" w:hAnsi="Times New Roman"/>
          <w:b/>
          <w:sz w:val="20"/>
        </w:rPr>
      </w:pPr>
      <w:r>
        <w:rPr>
          <w:rFonts w:ascii="Times New Roman" w:hAnsi="Times New Roman"/>
          <w:b/>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have been prepared in accordance with accounting principles generally accepted in the United States (“GAAP”) and assume the Company will continue as a going concern, which contemplates the realization of assets and the satisfaction of obligations in the normal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third quarter of fiscal year 2025, the Company was not in compliance with the total leverage ratio covenant under its First Lien Term Loan Credit Facility (“First Lien”). On December 11, 2025, the Company entered into a definitive merger agreement with Destination XL Group, Inc. (“DXL”) (see Footnote 2). The Company received a covenant waiver from its First Lien lenders that remains effective through the earlier of (i) consummation of the merger with DXL or (ii) termination of the merger agreement (but no later than September 11, 2026). Accordingly, during the waiver period the Company is not subject to enforcement remedies related to the leverage covenant. If the merger is not completed and the waiver expires, the Company expects it would not be in compliance with the total leverage ratio covenant, which would constitute an event of default under the First Lien. In such circumstances, the Company does not currently have sufficient liquidity to repay the outstanding balance of the First Lien. These conditions raise substantial doubt about the Company’s ability to continue as a going concern.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and subject to shareholder approval and other customary closing conditions, the transaction will result in (i) a reduction of approximately $92 million of First Lien indebtedness through committed equity contributions and debt-to-equity conversions by certain First Lien debtholders and members of management, and (ii) an extension of the remaining term loan maturity to August 2029. Following the anticipated deleveraging, management expects the combined company to be in compliance with its financial covenants and to have sufficient liquidity to support operations for at least twelve months following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 merger is not completed, the First Lien credit agreement provides for potential covenant cures and includes recapitalization provisions under which lenders may convert outstanding indebtedness into equity; however, such actions are at the discretion of the lenders and are not within the Company’s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Because completion of the merger or any potential lender recapitalization are not entirely within the Company’s control and cannot be considered probable for purposes of GAAP, the Company has concluded that management’s plans do not alleviate substantial doubt about the Company’s ability to continue as a going concern within one year after the date these condensed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do not include any adjustments that might result from the outcome of this uncertainty. </w:t>
      </w:r>
    </w:p>
    <w:p>
      <w:pPr>
        <w:pStyle w:val="TextBody"/>
        <w:bidi w:val="0"/>
        <w:spacing w:before="240" w:after="0"/>
        <w:jc w:val="left"/>
        <w:rPr>
          <w:rFonts w:ascii="Times New Roman" w:hAnsi="Times New Roman"/>
          <w:sz w:val="20"/>
        </w:rPr>
      </w:pPr>
      <w:r>
        <w:rPr>
          <w:rFonts w:ascii="Times New Roman" w:hAnsi="Times New Roman"/>
          <w:b/>
          <w:sz w:val="20"/>
        </w:rPr>
        <w:t>Principles of Consolidation</w:t>
      </w:r>
      <w:r>
        <w:rPr>
          <w:rFonts w:ascii="Times New Roman" w:hAnsi="Times New Roman"/>
          <w:sz w:val="20"/>
        </w:rPr>
        <w:t xml:space="preserve">—The condensed consolidated financial statements include the accounts of the Company and its wholly-owned subsidiaries. All intercompany accounts and transactions have been eliminated. </w:t>
      </w:r>
    </w:p>
    <w:p>
      <w:pPr>
        <w:pStyle w:val="TextBody"/>
        <w:bidi w:val="0"/>
        <w:spacing w:before="240" w:after="0"/>
        <w:jc w:val="left"/>
        <w:rPr>
          <w:rFonts w:ascii="Times New Roman" w:hAnsi="Times New Roman"/>
          <w:sz w:val="20"/>
        </w:rPr>
      </w:pPr>
      <w:r>
        <w:rPr>
          <w:rFonts w:ascii="Times New Roman" w:hAnsi="Times New Roman"/>
          <w:b/>
          <w:sz w:val="20"/>
        </w:rPr>
        <w:t>Fiscal Year</w:t>
      </w:r>
      <w:r>
        <w:rPr>
          <w:rFonts w:ascii="Times New Roman" w:hAnsi="Times New Roman"/>
          <w:sz w:val="20"/>
        </w:rPr>
        <w:t xml:space="preserve">—The Company utilizes a 52-53 week fiscal year end ended on the Saturday closest to December 31. References to the fiscal quarters ended April 4, 2026 and March 29, 2025 refer to the thirteen week periods ended on those dates.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detailed in </w:t>
      </w:r>
      <w:r>
        <w:rPr>
          <w:rFonts w:ascii="Times New Roman" w:hAnsi="Times New Roman"/>
          <w:i/>
          <w:sz w:val="20"/>
        </w:rPr>
        <w:t xml:space="preserve">Note 2. Summary of Significant Accounting Policies </w:t>
      </w:r>
      <w:r>
        <w:rPr>
          <w:rFonts w:ascii="Times New Roman" w:hAnsi="Times New Roman"/>
          <w:sz w:val="20"/>
        </w:rPr>
        <w:t xml:space="preserve">of the Audited Consolidated Financial Statements for the year ended January 3, 2026. There have been no significant changes to these policies that have had a material impact on the Unaudited Condensed Consolidated Financial Statements and the accompanying disclosure notes for the three months ended April 4, 2026.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Recently Issued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and interim reporting periods beginning after December 15, 2027. Public business entities are required to apply the guidance prospectively, however, retrospective application is permitted. The Company is currently evaluating the impact of this standard; however, we do not expect it to have a material impact on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September 2025, the FASB issued Accounting Standards Update (ASU) No. 2025-06, Intangibles—Goodwill and Other-Internal-Use Software (Topic 350-40): Targeted Improvements to the Accounting for Internal-Use Software. This amendment modernizes and makes targeted improvements to the accounting for software costs found under Topic 350-40, effective for fiscal years and interim periods beginning after December 15, 2027, with early adoption permitted. The Company is currently evaluating the impact of adopting this standard on its consolidated financial statements and disclosures.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MERGERS AND ACQUISITIONS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2026 Pending Merger with Destination XL Group, Inc. </w:t>
      </w:r>
    </w:p>
    <w:p>
      <w:pPr>
        <w:pStyle w:val="TextBody"/>
        <w:bidi w:val="0"/>
        <w:spacing w:before="120" w:after="0"/>
        <w:jc w:val="left"/>
        <w:rPr>
          <w:rFonts w:ascii="Times New Roman" w:hAnsi="Times New Roman"/>
          <w:sz w:val="20"/>
        </w:rPr>
      </w:pPr>
      <w:r>
        <w:rPr>
          <w:rFonts w:ascii="Times New Roman" w:hAnsi="Times New Roman"/>
          <w:sz w:val="20"/>
        </w:rPr>
        <w:t>On December 11, 2025, Divine Merger Sub I, Inc., a Delaware corporation and wholly owned direct subsidiary of Destination XL Group, Inc. (“DXL”), and the Company, entered into an Agreement and Plan of Merger (the “Merger Agreement”). The Merger Agreement provides that, on the terms and subject to the conditions set forth therein, Merger Sub will merge with and into the Company, with Company continuing as the surviving corporation as a wholly owned subsidiary of the DXL (the “Merger”).</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of the Merger, each share of common stock, par value $0.01 per share, of the Company (“FBB Common Stock”) will be converted into the right to receive that number of fully paid and nonassessable shares of the common stock, par value $0.01 per share, of DXL (the “DXL Common Stock”) equal to the Exchange Ratio, as defined in the Merger Agreement. A holder of FBB Common Stock who would otherwise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 In conjunction with the Merger, the Company’s First Lien debt will be reduced by approximately $92,000 in exchange for DXL Common Stock. Additionally, all outstanding preferred stock of the Company will be converted to DXL Common Stock. Additionally, all outstanding preferred stock of the Company will be converted to DXL Common Stock. In connection with the Merger, the Company and DXL have entered into a commitment agreement with Bank of America, N.A., providing a $150 million ABL, including a $50 million accordion and $20 million sub-limit for letters of credit (the “New ABL”), bearing an interest rate of SOFR plus 1.25 percent to 1.50 percent.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which is expected to close during the third quarter of fiscal 2026, is subject to customary closing conditions, including approval by DXL stockholders. Costs incurred in connection with this Merger, primarily related to professional service fees, of $1,703, were included in Transaction-related expenses on the Condensed Consolidated Statements of Operations and Comprehensive Loss for the thirteen weeks ended April 4,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REVENUE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details certain contract liabilities representing unearned revenue: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71"/>
        <w:gridCol w:w="380"/>
        <w:gridCol w:w="160"/>
        <w:gridCol w:w="640"/>
        <w:gridCol w:w="60"/>
        <w:gridCol w:w="380"/>
        <w:gridCol w:w="223"/>
        <w:gridCol w:w="902"/>
        <w:gridCol w:w="60"/>
        <w:gridCol w:w="380"/>
        <w:gridCol w:w="214"/>
        <w:gridCol w:w="871"/>
        <w:gridCol w:w="60"/>
        <w:gridCol w:w="380"/>
        <w:gridCol w:w="288"/>
        <w:gridCol w:w="1153"/>
        <w:gridCol w:w="66"/>
      </w:tblGrid>
      <w:tr>
        <w:trPr/>
        <w:tc>
          <w:tcPr>
            <w:tcW w:w="3171"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171"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28,</w:t>
              <w:br/>
              <w:t>2024</w:t>
            </w:r>
          </w:p>
        </w:tc>
        <w:tc>
          <w:tcPr>
            <w:tcW w:w="66" w:type="dxa"/>
            <w:tcBorders/>
            <w:vAlign w:val="bottom"/>
          </w:tcPr>
          <w:p>
            <w:pPr>
              <w:pStyle w:val="TableContents"/>
              <w:bidi w:val="0"/>
              <w:spacing w:before="0" w:after="283"/>
              <w:jc w:val="left"/>
              <w:rPr/>
            </w:pPr>
            <w:r>
              <w:rPr/>
              <w:t> </w:t>
            </w:r>
          </w:p>
        </w:tc>
      </w:tr>
      <w:tr>
        <w:trPr/>
        <w:tc>
          <w:tcPr>
            <w:tcW w:w="31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Gift card liability</w:t>
            </w:r>
          </w:p>
        </w:tc>
        <w:tc>
          <w:tcPr>
            <w:tcW w:w="38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3,354</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3,477</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3,731</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3" w:type="dxa"/>
            <w:tcBorders/>
            <w:shd w:fill="CCEEFF" w:val="clear"/>
            <w:vAlign w:val="bottom"/>
          </w:tcPr>
          <w:p>
            <w:pPr>
              <w:pStyle w:val="TableContents"/>
              <w:bidi w:val="0"/>
              <w:spacing w:before="0" w:after="283"/>
              <w:jc w:val="right"/>
              <w:rPr/>
            </w:pPr>
            <w:r>
              <w:rPr/>
              <w:t>3,944</w:t>
            </w:r>
          </w:p>
        </w:tc>
        <w:tc>
          <w:tcPr>
            <w:tcW w:w="66" w:type="dxa"/>
            <w:tcBorders/>
            <w:shd w:fill="CCEEFF" w:val="clear"/>
            <w:vAlign w:val="bottom"/>
          </w:tcPr>
          <w:p>
            <w:pPr>
              <w:pStyle w:val="TableContents"/>
              <w:bidi w:val="0"/>
              <w:spacing w:before="0" w:after="283"/>
              <w:jc w:val="left"/>
              <w:rPr/>
            </w:pPr>
            <w:r>
              <w:rPr/>
              <w:t> </w:t>
            </w:r>
          </w:p>
        </w:tc>
      </w:tr>
      <w:tr>
        <w:trPr/>
        <w:tc>
          <w:tcPr>
            <w:tcW w:w="3171" w:type="dxa"/>
            <w:tcBorders/>
          </w:tcPr>
          <w:p>
            <w:pPr>
              <w:pStyle w:val="TableContents"/>
              <w:bidi w:val="0"/>
              <w:spacing w:before="0" w:after="0"/>
              <w:jc w:val="left"/>
              <w:rPr>
                <w:rFonts w:ascii="Times New Roman" w:hAnsi="Times New Roman"/>
                <w:sz w:val="20"/>
              </w:rPr>
            </w:pPr>
            <w:r>
              <w:rPr>
                <w:rFonts w:ascii="Times New Roman" w:hAnsi="Times New Roman"/>
                <w:sz w:val="20"/>
              </w:rPr>
              <w:t>Signing bonus liability</w:t>
            </w:r>
          </w:p>
        </w:tc>
        <w:tc>
          <w:tcPr>
            <w:tcW w:w="38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2,583</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2,708</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details recognized revenue associated with gift card breakage and signing bonus: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40"/>
        <w:gridCol w:w="474"/>
        <w:gridCol w:w="160"/>
        <w:gridCol w:w="647"/>
        <w:gridCol w:w="60"/>
        <w:gridCol w:w="474"/>
        <w:gridCol w:w="216"/>
        <w:gridCol w:w="920"/>
        <w:gridCol w:w="64"/>
      </w:tblGrid>
      <w:tr>
        <w:trPr/>
        <w:tc>
          <w:tcPr>
            <w:tcW w:w="4740"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4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29,</w:t>
              <w:br/>
              <w:t>2025</w:t>
            </w:r>
          </w:p>
        </w:tc>
        <w:tc>
          <w:tcPr>
            <w:tcW w:w="64" w:type="dxa"/>
            <w:tcBorders/>
            <w:vAlign w:val="bottom"/>
          </w:tcPr>
          <w:p>
            <w:pPr>
              <w:pStyle w:val="TableContents"/>
              <w:bidi w:val="0"/>
              <w:spacing w:before="0" w:after="283"/>
              <w:jc w:val="left"/>
              <w:rPr/>
            </w:pPr>
            <w:r>
              <w:rPr/>
              <w:t> </w:t>
            </w:r>
          </w:p>
        </w:tc>
      </w:tr>
      <w:tr>
        <w:trPr/>
        <w:tc>
          <w:tcPr>
            <w:tcW w:w="47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associated with gift card breakage</w:t>
            </w:r>
          </w:p>
        </w:tc>
        <w:tc>
          <w:tcPr>
            <w:tcW w:w="474"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2,255</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2,693</w:t>
            </w:r>
          </w:p>
        </w:tc>
        <w:tc>
          <w:tcPr>
            <w:tcW w:w="64" w:type="dxa"/>
            <w:tcBorders/>
            <w:shd w:fill="CCEEFF" w:val="clear"/>
            <w:vAlign w:val="bottom"/>
          </w:tcPr>
          <w:p>
            <w:pPr>
              <w:pStyle w:val="TableContents"/>
              <w:bidi w:val="0"/>
              <w:spacing w:before="0" w:after="283"/>
              <w:jc w:val="left"/>
              <w:rPr/>
            </w:pPr>
            <w:r>
              <w:rPr/>
              <w:t> </w:t>
            </w:r>
          </w:p>
        </w:tc>
      </w:tr>
      <w:tr>
        <w:trPr/>
        <w:tc>
          <w:tcPr>
            <w:tcW w:w="4740" w:type="dxa"/>
            <w:tcBorders/>
          </w:tcPr>
          <w:p>
            <w:pPr>
              <w:pStyle w:val="TableContents"/>
              <w:bidi w:val="0"/>
              <w:spacing w:before="0" w:after="0"/>
              <w:jc w:val="left"/>
              <w:rPr>
                <w:rFonts w:ascii="Times New Roman" w:hAnsi="Times New Roman"/>
                <w:sz w:val="20"/>
              </w:rPr>
            </w:pPr>
            <w:r>
              <w:rPr>
                <w:rFonts w:ascii="Times New Roman" w:hAnsi="Times New Roman"/>
                <w:sz w:val="20"/>
              </w:rPr>
              <w:t>Revenue associated with amortizing the signing bonus</w:t>
            </w:r>
          </w:p>
        </w:tc>
        <w:tc>
          <w:tcPr>
            <w:tcW w:w="47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125</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represents the Company’s net sales disaggregated by product category for the thirteen weeks April 4, 2026 and March 29, 2025, respectively.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066"/>
        <w:gridCol w:w="321"/>
        <w:gridCol w:w="140"/>
        <w:gridCol w:w="919"/>
        <w:gridCol w:w="60"/>
        <w:gridCol w:w="321"/>
        <w:gridCol w:w="60"/>
        <w:gridCol w:w="615"/>
        <w:gridCol w:w="275"/>
        <w:gridCol w:w="216"/>
        <w:gridCol w:w="140"/>
        <w:gridCol w:w="919"/>
        <w:gridCol w:w="60"/>
        <w:gridCol w:w="321"/>
        <w:gridCol w:w="60"/>
        <w:gridCol w:w="615"/>
        <w:gridCol w:w="280"/>
      </w:tblGrid>
      <w:tr>
        <w:trPr/>
        <w:tc>
          <w:tcPr>
            <w:tcW w:w="4066"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April 4, 2026</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1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29, 2025</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Women’s (1)</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125,557</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83.1</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139,906</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82.6</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Men’s (2)</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18,729</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12.4</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22,268</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13.1</w:t>
            </w:r>
          </w:p>
        </w:tc>
        <w:tc>
          <w:tcPr>
            <w:tcW w:w="280" w:type="dxa"/>
            <w:tcBorders/>
            <w:vAlign w:val="bottom"/>
          </w:tcPr>
          <w:p>
            <w:pPr>
              <w:pStyle w:val="TableContents"/>
              <w:bidi w:val="0"/>
              <w:spacing w:before="0" w:after="283"/>
              <w:jc w:val="left"/>
              <w:rPr/>
            </w:pPr>
            <w:r>
              <w:rPr/>
              <w:t>% </w:t>
            </w:r>
          </w:p>
        </w:tc>
      </w:tr>
      <w:tr>
        <w:trPr/>
        <w:tc>
          <w:tcPr>
            <w:tcW w:w="40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Home Décor (3)</w:t>
            </w:r>
          </w:p>
        </w:tc>
        <w:tc>
          <w:tcPr>
            <w:tcW w:w="3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6,888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4.5</w:t>
            </w:r>
          </w:p>
        </w:tc>
        <w:tc>
          <w:tcPr>
            <w:tcW w:w="275"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7,308</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4.3</w:t>
            </w:r>
          </w:p>
        </w:tc>
        <w:tc>
          <w:tcPr>
            <w:tcW w:w="280" w:type="dxa"/>
            <w:tcBorders/>
            <w:shd w:fill="CCEEFF" w:val="clear"/>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4066" w:type="dxa"/>
            <w:tcBorders/>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151,174</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19" w:type="dxa"/>
            <w:tcBorders/>
            <w:vAlign w:val="bottom"/>
          </w:tcPr>
          <w:p>
            <w:pPr>
              <w:pStyle w:val="TableContents"/>
              <w:bidi w:val="0"/>
              <w:spacing w:before="0" w:after="283"/>
              <w:jc w:val="right"/>
              <w:rPr/>
            </w:pPr>
            <w:r>
              <w:rPr/>
              <w:t>169,482</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4066" w:type="dxa"/>
            <w:tcBorders/>
            <w:vAlign w:val="bottom"/>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$2,044 and $2,322 of net sales for the periods ended April 4, 2026 and March 29,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$262 and $278 of net sales for the periods ended April 4, 2026 and March 29, 2025, respectively, relate to sales recognized over time.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 and $93 of net sales for the periods ended April 4, 2026 and March 29, 2025, respectively, relate to sales recognized over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the thirteen weeks ended April 4, 2026, no impairment charges were deemed necessary of the Company’s indefinite-lived intangible assets. In the thirteen weeks ended March 29, 2025 based on a combination of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predominantly driven by the reduction of demand of certain of the Company’s brand products, the Company concluded that the carrying value of its tradenames exceeded their fair values and recorded a non-cash intangible asset impairment charge of $5,857.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is the cost of an acquisition in excess of the fair value of acquired assets and liabilities, and is recorded as an asset on our Consolidated Balance Sheets. Goodwill is not subject to amortization but must be tested for impairment at least annually. The annual process for assessing the carrying value of goodwill begins with a qualitative assessment that is similar to the assessment performed for indefinite-lived intangibles. We may first perform a qualitative assessment to determine whether it is more likely than not that there is an impairment. If we do not perform a qualitative assessment, or if we determine that it is more likely than not that the carrying value exceeds its fair value, we will perform a quantitative assessment to determine the estimated fair value. The quantitative test requires us to assign goodwill to an appropriate reporting unit and to determine if the carrying amount of the reporting unit, including goodwill, exceeds its fair value. We also evaluate goodwill for impairment to the extent events or conditions indicate a risk of possible impairment during the interim periods subsequent to our annual impairment test. </w:t>
      </w:r>
    </w:p>
    <w:p>
      <w:pPr>
        <w:pStyle w:val="TextBody"/>
        <w:bidi w:val="0"/>
        <w:spacing w:before="240" w:after="0"/>
        <w:jc w:val="left"/>
        <w:rPr>
          <w:rFonts w:ascii="Times New Roman" w:hAnsi="Times New Roman"/>
          <w:sz w:val="20"/>
        </w:rPr>
      </w:pPr>
      <w:r>
        <w:rPr>
          <w:rFonts w:ascii="Times New Roman" w:hAnsi="Times New Roman"/>
          <w:sz w:val="20"/>
        </w:rPr>
        <w:t xml:space="preserve">During the thirteen weeks ended March 29, 2025, there were circumstances that indicated an impairment may have occurred, including a decline in the Company’s net sales and declining margins, and the Company performed a quantitative goodwill assessment and determined the fair value of the reporting unit was greater than its carrying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as of April 4, 2026 and January 3, 2026 consists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9"/>
        <w:gridCol w:w="353"/>
        <w:gridCol w:w="148"/>
        <w:gridCol w:w="864"/>
        <w:gridCol w:w="158"/>
        <w:gridCol w:w="353"/>
        <w:gridCol w:w="166"/>
        <w:gridCol w:w="1019"/>
        <w:gridCol w:w="165"/>
      </w:tblGrid>
      <w:tr>
        <w:trPr/>
        <w:tc>
          <w:tcPr>
            <w:tcW w:w="4529"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529"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April 4,</w:t>
              <w:br/>
              <w:t>2026</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January 3,</w:t>
              <w:br/>
              <w:t>2026</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ABL Revolving Credit Facility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23,795</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First Lien Term Loan Credit Facility (includes $215,843 and $217,293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260,500</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262,250</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Debt issuance costs and original issue discount (includes $6,693 and $7,783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(8,078</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(9,393</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276,217</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252,857</w:t>
            </w:r>
          </w:p>
        </w:tc>
        <w:tc>
          <w:tcPr>
            <w:tcW w:w="165" w:type="dxa"/>
            <w:tcBorders/>
            <w:vAlign w:val="bottom"/>
          </w:tcPr>
          <w:p>
            <w:pPr>
              <w:pStyle w:val="TableContents"/>
              <w:bidi w:val="0"/>
              <w:spacing w:before="0" w:after="283"/>
              <w:jc w:val="left"/>
              <w:rPr/>
            </w:pPr>
            <w:r>
              <w:rPr/>
              <w:t> </w:t>
            </w:r>
          </w:p>
        </w:tc>
      </w:tr>
      <w:tr>
        <w:trPr/>
        <w:tc>
          <w:tcPr>
            <w:tcW w:w="4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Current portion (includes $5,800 and $5,800 to related parties, respectively)</w:t>
            </w:r>
          </w:p>
        </w:tc>
        <w:tc>
          <w:tcPr>
            <w:tcW w:w="353"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(7,000</w:t>
            </w:r>
          </w:p>
        </w:tc>
        <w:tc>
          <w:tcPr>
            <w:tcW w:w="158"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(7,000</w:t>
            </w:r>
          </w:p>
        </w:tc>
        <w:tc>
          <w:tcPr>
            <w:tcW w:w="165" w:type="dxa"/>
            <w:tcBorders/>
            <w:shd w:fill="CCEEFF" w:val="clear"/>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4529"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(includes $203,350 and $203,710 to related parties, respectively)</w:t>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269,217</w:t>
            </w:r>
          </w:p>
        </w:tc>
        <w:tc>
          <w:tcPr>
            <w:tcW w:w="158"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245,857</w:t>
            </w:r>
          </w:p>
        </w:tc>
        <w:tc>
          <w:tcPr>
            <w:tcW w:w="165" w:type="dxa"/>
            <w:tcBorders/>
            <w:vAlign w:val="bottom"/>
          </w:tcPr>
          <w:p>
            <w:pPr>
              <w:pStyle w:val="TableContents"/>
              <w:bidi w:val="0"/>
              <w:spacing w:before="0" w:after="283"/>
              <w:jc w:val="left"/>
              <w:rPr/>
            </w:pPr>
            <w:r>
              <w:rPr/>
              <w:t> </w:t>
            </w:r>
          </w:p>
        </w:tc>
      </w:tr>
      <w:tr>
        <w:trPr/>
        <w:tc>
          <w:tcPr>
            <w:tcW w:w="4529"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ABL Revolving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FBB Holdings III, Inc. (the “Borrower”), a wholly owned subsidiary of the Company, entered into a credit agreement and related security and other agreements for a senior secured asset-based revolving credit facility (the “ABL Facility”). The ABL Facility was amended in May 2021 to extend the maturity date to November 2023 from the previous maturity date of November 2021. In December 2022, the ABL Facility was amended to increase the borrowing capacity to $120,000 and extend the maturity to the earliest of December 2027 or 91 days prior to the expiration of the First Lien Term Loan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ABL Facility provides senior secured financing of up to $120,000, subject to a borrowing base. A number of the Borrower’s domestic subsidiaries are co-borrowers under the ABL Facility. Availability under the ABL Facility is subject to the assets of FBB Holdings III, Inc., its co-borrowers and any subsidiary guarantors (as described below) that are available to collateralize the borrowing and is reduced by the level of outstanding letters of credit. The borrowing base for the ABL Facility at any time equals the sum of 90% of the appraised net orderly liquidation value of eligible inventory and eligible in-transit inventory, plus 90% of eligible credit card receivables, plus 90% of eligible marketplace receivables, plus 90% of eligible deferred credit card receivables, minus reserves established and modified from time to time in the permitted discretion of the administrative agent. As of April 4, 2026, the borrowing base for the ABL Facility was $120,000 and availability under the ABL Facility was $52,953, which reflects capacity of $81,659 less $4,911 of outstanding letters of credit and $23,795 outstanding borrowings under the revolving credit 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Term Loan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In August 2022, in connection with the First Lien, the Company raised $350,000 to payoff the existing Exchanged First Lien Debt and Second Lien Term Loan Credit Facility, including accrued interest, of $104,001 and $19,724, respectively. Additionally, the Company paid a dividend of $200,661, paid $27,937 in lender fees and original issue discount, and issued warrants to debt holders.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maturity date is August 2027. </w:t>
      </w:r>
    </w:p>
    <w:p>
      <w:pPr>
        <w:pStyle w:val="TextBody"/>
        <w:bidi w:val="0"/>
        <w:spacing w:before="240" w:after="0"/>
        <w:jc w:val="left"/>
        <w:rPr>
          <w:rFonts w:ascii="Times New Roman" w:hAnsi="Times New Roman"/>
          <w:sz w:val="20"/>
        </w:rPr>
      </w:pPr>
      <w:r>
        <w:rPr>
          <w:rFonts w:ascii="Times New Roman" w:hAnsi="Times New Roman"/>
          <w:i/>
          <w:sz w:val="20"/>
        </w:rPr>
        <w:t xml:space="preserve">Related Parties: </w:t>
      </w:r>
      <w:r>
        <w:rPr>
          <w:rFonts w:ascii="Times New Roman" w:hAnsi="Times New Roman"/>
          <w:sz w:val="20"/>
        </w:rPr>
        <w:t xml:space="preserve">As of April 4, 2026 and January 3, 2026, approximately 82.9% and 82.9%, respectively, of the Company’s institutional First Lien debt holders also hold an equity interest in the Company, have representation on the Board of Directors, or otherwise exert significant influence over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CONVERTIBLE PREFERRED STOCK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authorized the issuance of 170 Convertible Preferred Stock (Preferred Stock”) shares with a par value of $0.01. A total of 49 shares of Preferred Stock have been issued through April 4, 2026. The holders of the Preferred Stock were entitled to the following rights: </w:t>
      </w:r>
    </w:p>
    <w:p>
      <w:pPr>
        <w:pStyle w:val="TextBody"/>
        <w:bidi w:val="0"/>
        <w:spacing w:before="240" w:after="0"/>
        <w:jc w:val="left"/>
        <w:rPr>
          <w:rFonts w:ascii="Times New Roman" w:hAnsi="Times New Roman"/>
          <w:sz w:val="20"/>
        </w:rPr>
      </w:pPr>
      <w:r>
        <w:rPr>
          <w:rFonts w:ascii="Times New Roman" w:hAnsi="Times New Roman"/>
          <w:i/>
          <w:sz w:val="20"/>
        </w:rPr>
        <w:t>Voting</w:t>
      </w:r>
      <w:r>
        <w:rPr>
          <w:rFonts w:ascii="Times New Roman" w:hAnsi="Times New Roman"/>
          <w:sz w:val="20"/>
        </w:rPr>
        <w:t xml:space="preserve"> </w:t>
      </w:r>
      <w:r>
        <w:rPr>
          <w:rFonts w:ascii="Times New Roman" w:hAnsi="Times New Roman"/>
          <w:i/>
          <w:sz w:val="20"/>
        </w:rPr>
        <w:t>Rights</w:t>
      </w:r>
      <w:r>
        <w:rPr>
          <w:rFonts w:ascii="Times New Roman" w:hAnsi="Times New Roman"/>
          <w:sz w:val="20"/>
        </w:rPr>
        <w:t xml:space="preserve">—The holder of each share of Preferred Stock has no voting rights. </w:t>
      </w:r>
    </w:p>
    <w:p>
      <w:pPr>
        <w:pStyle w:val="TextBody"/>
        <w:bidi w:val="0"/>
        <w:spacing w:before="240" w:after="0"/>
        <w:jc w:val="left"/>
        <w:rPr>
          <w:rFonts w:ascii="Times New Roman" w:hAnsi="Times New Roman"/>
          <w:sz w:val="20"/>
        </w:rPr>
      </w:pPr>
      <w:r>
        <w:rPr>
          <w:rFonts w:ascii="Times New Roman" w:hAnsi="Times New Roman"/>
          <w:i/>
          <w:sz w:val="20"/>
        </w:rPr>
        <w:t>Priority</w:t>
      </w:r>
      <w:r>
        <w:rPr>
          <w:rFonts w:ascii="Times New Roman" w:hAnsi="Times New Roman"/>
          <w:sz w:val="20"/>
        </w:rPr>
        <w:t xml:space="preserve">—Preferred Stock shall rank senior to all classes of Common Stock and junior to all existing and future indebtedness of the Company.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w:t>
      </w:r>
      <w:r>
        <w:rPr>
          <w:rFonts w:ascii="Times New Roman" w:hAnsi="Times New Roman"/>
          <w:i/>
          <w:sz w:val="20"/>
        </w:rPr>
        <w:t>Preference</w:t>
      </w:r>
      <w:r>
        <w:rPr>
          <w:rFonts w:ascii="Times New Roman" w:hAnsi="Times New Roman"/>
          <w:sz w:val="20"/>
        </w:rPr>
        <w:t xml:space="preserve">—In the event of any liquidation, dissolution or winding up of the Company, either voluntary or involuntary, the holders of the Preferred Stock are entitled to certain payments in respect of such Preferred Stock before any other distribution or payment on other securities. The initial Aggregate Liquidation Preference was $250.00 per share and totals $20,164. This preference amount is increased over time to the extent any Accruing Dividends are not declared and paid by the Company. The total liquidation preference issued and outstanding as of April 4, 2026 and March 29, 2025 is $13,394 and $19,460, respectively. As of April 4, 2026 and March 29, 2025, 49 and 73 shares of Preferred Stock, respectively, were issued and outstanding. The Preferred Stock is redeemable only upon the occurrence of a liquidation event and, therefore, has not been adjusted to its redemption value. </w:t>
      </w:r>
    </w:p>
    <w:p>
      <w:pPr>
        <w:pStyle w:val="TextBody"/>
        <w:bidi w:val="0"/>
        <w:spacing w:before="240" w:after="0"/>
        <w:jc w:val="left"/>
        <w:rPr>
          <w:rFonts w:ascii="Times New Roman" w:hAnsi="Times New Roman"/>
          <w:sz w:val="20"/>
        </w:rPr>
      </w:pPr>
      <w:r>
        <w:rPr>
          <w:rFonts w:ascii="Times New Roman" w:hAnsi="Times New Roman"/>
          <w:i/>
          <w:sz w:val="20"/>
        </w:rPr>
        <w:t>Redemptions</w:t>
      </w:r>
      <w:r>
        <w:rPr>
          <w:rFonts w:ascii="Times New Roman" w:hAnsi="Times New Roman"/>
          <w:sz w:val="20"/>
        </w:rPr>
        <w:t xml:space="preserve">—Convertible Preferred Stock is redeemable for cash or other assets upon the occurrence of certain events determined to not be within the control of the Company. In accordance with ASC 480, all shares of Convertible Preferred Stock were classified as mezzanine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—The holders of Preferred Stock are entitled to cumulative dividends, which accrued at a rate per annum of 5.0%, compounded quarterly. At the discretion of the Board of Directors, cumulative dividends can be paid in cash, or added to the preference amount. The Preferred Stock is also entitled to participate in all common stock dividends on a 1:1 as converted basis. The Company paid dividends of $0 and $243 for the thirteen weeks ended April 4, 2026 and March 29, 2025, respectively. </w:t>
      </w:r>
    </w:p>
    <w:p>
      <w:pPr>
        <w:pStyle w:val="TextBody"/>
        <w:bidi w:val="0"/>
        <w:spacing w:before="24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—Holders of Preferred Stock may convert their shares to common stock at a pro-rata conversion equal to 15% and 16% as of April 4, 2026 and March 29, 2025, respectively, of the total outstanding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8.</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provision for income taxes for interim periods is based on an estimate of the annual effective tax rate adjusted to reflect the impact of discrete items. Management judgment is required in projecting ordinary income to estimate the Company’s annual effective tax rate. The effective tax rate for the thirteen weeks ended April 4, 2026, was (16.27%), compared to 12.84% for the thirteen weeks ended March 29, 2025. The shift to a negative effective tax rate in the first three months of 2026 reflects the absence of tax benefit on the current period pre-tax loss attributable to disallowed interest carryforwards, as the Company continues to maintain a full valuation allowance against the related deferred tax asset under the Section 163(j) interest limitation, originally established in fiscal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9.</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be subject to litigation claims through the ordinary course of business operations regarding, but not limited to, employment matters, product safety standards, product liability claims, security of customer and employee personal information, advertising and promotional practices, contractual relations with vendors, marketing and infringement of trademarks and other intellectual property rights, and compliance with other regulatory requirements. Although the amount of any liability with respect to these proceedings cannot be determined, it is the opinion of management that, after consultation with legal counsel, any such liability is not expected to have a material adverse effect on the financial position or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April 4, 2026 and January 3, 2026 the Company has outstanding letters of credit of $4,911 and $4,941, respectively, with financial institutions primarily related to a security deposit for an office lease and as security for the purchase of inventory which expire on various dates through December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10.</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April 4, 2026 and January 3, 2026, 82.9% and 82.9%, respectively, of our First Lien was owned by equity shareholders. Cash interest paid on the First Lien attributable to related parties for the thirteen weeks ended was $6,316 and $7,106 for the periods ended April 4, 2026 and March 29, 2025, respectively, representing 82.9% of total cash interest paid. Additionally, at April 4, 2026 and January 3, 2026, 82.9% and 82.9%, respectively, of the Company’s outstanding warrants are owned by equity shareholders, have representation on the Board of Directors, or otherwise exert significant influence over the Company and are classified as Other non-current liabilities on the Condensed Consolidated Balance Sheets.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b/>
          <w:sz w:val="20"/>
        </w:rPr>
        <w:t>Financial Instruments Recognized at Fair Value on a Recurring Basis</w:t>
      </w:r>
      <w:r>
        <w:rPr>
          <w:rFonts w:ascii="Times New Roman" w:hAnsi="Times New Roman"/>
          <w:sz w:val="20"/>
        </w:rPr>
        <w:t xml:space="preserve">— The Company’s financial liabilities consist of warrants that are marked to market each reporting period with fair value based on observable market inputs using standard calculations, such as the Company’s future enterprise value and volatility, and are classified within Level 3 of the fair value hierarchy. In August 2022, the Company issued 50 warrants pursuant to the terms of the Warrant Agreement. Each warrant has a 5-year term expiring in August 2027 and are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one share of Common Stock at an exercise price of $722.70 per share. The Warrant Agreement contains customary anti-dilution adjustments including, but not limited to, cash dividends, reorganizations, and business combination transactions. All warrants remain outstanding as of April 4, 2026 and January 3, 2026. The fair value of the warrants was $0 and $0 as of April 4, 2026 and January 3, 2026, respectively. There was no change in fair value of the warrants for the thirteen weeks ended April 4, 2026 and March 29, 2025, respectively. </w:t>
      </w:r>
    </w:p>
    <w:p>
      <w:pPr>
        <w:pStyle w:val="TextBody"/>
        <w:bidi w:val="0"/>
        <w:spacing w:before="240" w:after="0"/>
        <w:jc w:val="left"/>
        <w:rPr>
          <w:rFonts w:ascii="Times New Roman" w:hAnsi="Times New Roman"/>
          <w:sz w:val="20"/>
        </w:rPr>
      </w:pPr>
      <w:r>
        <w:rPr>
          <w:rFonts w:ascii="Times New Roman" w:hAnsi="Times New Roman"/>
          <w:b/>
          <w:sz w:val="20"/>
        </w:rPr>
        <w:t>Non-Recurring Fair Value Measurements</w:t>
      </w:r>
      <w:r>
        <w:rPr>
          <w:rFonts w:ascii="Times New Roman" w:hAnsi="Times New Roman"/>
          <w:sz w:val="20"/>
        </w:rPr>
        <w:t xml:space="preserve">—Certain assets are measured at fair value on a non-recurring basis such as property and equipment, intangible assets, goodwill and debt. These assets are not measured at fair value on an ongoing basis, but are subject to fair value adjustments when events or circumstances indicate a significant adverse effect on the fair value of the asset. Assets that are written down to fair value when impaired are not subsequently adjusted to fair value unless further impairment occurs. No non-recurring fair value measurements occurred during the thirteen weeks ended April 4, 2026 and March 29, 2025 except in connection with the impairment of Tradenames. The categorization of the framework to price these assets is within Level 3 due to the subjective nature of unobservable inputs. Refer to Note 4 for discussion of the impairment of Tradenames. </w:t>
      </w:r>
    </w:p>
    <w:p>
      <w:pPr>
        <w:pStyle w:val="TextBody"/>
        <w:bidi w:val="0"/>
        <w:spacing w:before="240" w:after="0"/>
        <w:jc w:val="left"/>
        <w:rPr>
          <w:rFonts w:ascii="Times New Roman" w:hAnsi="Times New Roman"/>
          <w:sz w:val="20"/>
        </w:rPr>
      </w:pPr>
      <w:r>
        <w:rPr>
          <w:rFonts w:ascii="Times New Roman" w:hAnsi="Times New Roman"/>
          <w:b/>
          <w:sz w:val="20"/>
        </w:rPr>
        <w:t>Financial Instruments Not Carried at Fair Value</w:t>
      </w:r>
      <w:r>
        <w:rPr>
          <w:rFonts w:ascii="Times New Roman" w:hAnsi="Times New Roman"/>
          <w:sz w:val="20"/>
        </w:rPr>
        <w:t xml:space="preserve">—The carrying value of the short-term financial instruments, including cash deposit accounts, accounts receivable, accounts payable, and accrued expenses approximate fair value due to the relatively short maturity and immaterial non-performance risk of such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financial assets and liabilities measured at fair value in the accompanying consolidated balance sheets as of: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357"/>
        <w:gridCol w:w="275"/>
        <w:gridCol w:w="437"/>
        <w:gridCol w:w="1200"/>
        <w:gridCol w:w="60"/>
        <w:gridCol w:w="275"/>
        <w:gridCol w:w="457"/>
        <w:gridCol w:w="1255"/>
        <w:gridCol w:w="60"/>
        <w:gridCol w:w="275"/>
        <w:gridCol w:w="510"/>
        <w:gridCol w:w="1394"/>
        <w:gridCol w:w="60"/>
        <w:gridCol w:w="275"/>
        <w:gridCol w:w="385"/>
        <w:gridCol w:w="1046"/>
        <w:gridCol w:w="67"/>
      </w:tblGrid>
      <w:tr>
        <w:trPr/>
        <w:tc>
          <w:tcPr>
            <w:tcW w:w="1357"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357"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6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 Value</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7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Unadjusted</w:t>
              <w:br/>
              <w:t>Quoted Prices in</w:t>
              <w:br/>
              <w:t>Active Markets</w:t>
              <w:br/>
              <w:t>for Identical</w:t>
              <w:br/>
              <w:t>Assets and</w:t>
              <w:br/>
              <w:t>Liabilities</w:t>
              <w:br/>
              <w:t>(Level 1)</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9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Observable Inputs</w:t>
              <w:br/>
              <w:t>(Level 2)</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Unobservable</w:t>
              <w:br/>
              <w:t>Inputs</w:t>
              <w:br/>
              <w:t>(Level 3)</w:t>
            </w:r>
          </w:p>
        </w:tc>
        <w:tc>
          <w:tcPr>
            <w:tcW w:w="67" w:type="dxa"/>
            <w:tcBorders/>
            <w:vAlign w:val="bottom"/>
          </w:tcPr>
          <w:p>
            <w:pPr>
              <w:pStyle w:val="TableContents"/>
              <w:bidi w:val="0"/>
              <w:spacing w:before="0" w:after="283"/>
              <w:jc w:val="left"/>
              <w:rPr/>
            </w:pPr>
            <w:r>
              <w:rPr/>
              <w:t> </w:t>
            </w:r>
          </w:p>
        </w:tc>
      </w:tr>
      <w:tr>
        <w:trPr/>
        <w:tc>
          <w:tcPr>
            <w:tcW w:w="1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4, 2026</w:t>
            </w:r>
          </w:p>
        </w:tc>
        <w:tc>
          <w:tcPr>
            <w:tcW w:w="27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7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13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January 3, 2026</w:t>
            </w:r>
          </w:p>
        </w:tc>
        <w:tc>
          <w:tcPr>
            <w:tcW w:w="275"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12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510"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sz w:val="4"/>
                <w:szCs w:val="4"/>
              </w:rPr>
            </w:pPr>
            <w:r>
              <w:rPr>
                <w:sz w:val="4"/>
                <w:szCs w:val="4"/>
              </w:rPr>
            </w:r>
          </w:p>
        </w:tc>
        <w:tc>
          <w:tcPr>
            <w:tcW w:w="1046"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1357" w:type="dxa"/>
            <w:tcBorders/>
          </w:tcPr>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275"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w:t>
            </w:r>
          </w:p>
        </w:tc>
        <w:tc>
          <w:tcPr>
            <w:tcW w:w="12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w:t>
            </w:r>
          </w:p>
        </w:tc>
        <w:tc>
          <w:tcPr>
            <w:tcW w:w="1046"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has experienced several favorable developments related to tariffs. On February 20, 2026, the U.S. Supreme Court ruled that certain tariffs imposed under the International Emergency Economic Powers Act (IEEPA) were unlawful, followed by a March 4, 2026 order from the Court of International Trade directing U.S. Customs and Border Protection (CBP) to issue refunds on affected entries, which was clarified on March 5, 2026. On April 20, 2026, CBP launched the CAPE tool within its ACE Portal to facilitate refund claims, and the Company promptly submitted all eligible entries, which were accepted the same day. Pending potential appeals through early June, the Company has filed a CAPE Declaration seeking approximately $5,300 in IEEPA duty refunds and, subject to the outcome of any pending appeals, anticipates that eligible refunds, together with statutory interest, would be processed within CBP’s typical 90-day window. No amounts related to the anticipated refunds or associated interest have been recorded in the Company’s condensed consolidated financial statements as of April 4, 2026.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May 7, 2026, the Court of International Trade issued a split decision finding the 10% global tariff imposed under Section 122 of the Trade Act of 1974 to be unlawful; however, the scope of the ruling, timing of any refund process, and likelihood of appeal remain uncertain, and the Company is evaluating its exposure and potential recovery. Looking ahead, management continues to monitor potential new tariff actions, including those arising from pending Section 301 investigations, which could be announced as early as this summer, though the ultimate impact on import costs remains difficult to predict.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consolidated financial statements reflect management’s evaluation of the subsequent events through July 9, 2026, the date the condensed consolidated financial statements were available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03" w:name="tx76201_89"/>
      <w:bookmarkEnd w:id="103"/>
      <w:r>
        <w:rPr>
          <w:rFonts w:ascii="Times New Roman" w:hAnsi="Times New Roman"/>
          <w:b/>
          <w:sz w:val="20"/>
        </w:rPr>
        <w:t xml:space="preserve">ANNEX A </w:t>
      </w:r>
    </w:p>
    <w:p>
      <w:pPr>
        <w:pStyle w:val="TextBody"/>
        <w:bidi w:val="0"/>
        <w:spacing w:before="120" w:after="0"/>
        <w:jc w:val="right"/>
        <w:rPr>
          <w:rFonts w:ascii="Times New Roman" w:hAnsi="Times New Roman"/>
          <w:sz w:val="20"/>
        </w:rPr>
      </w:pPr>
      <w:r>
        <w:rPr>
          <w:rFonts w:ascii="Times New Roman" w:hAnsi="Times New Roman"/>
          <w:sz w:val="20"/>
        </w:rPr>
        <w:t xml:space="preserve">Execution Copy </w:t>
      </w:r>
    </w:p>
    <w:p>
      <w:pPr>
        <w:pStyle w:val="TextBody"/>
        <w:bidi w:val="0"/>
        <w:spacing w:before="12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12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FBB HOLDINGS I, INC. </w:t>
      </w:r>
    </w:p>
    <w:p>
      <w:pPr>
        <w:pStyle w:val="TextBody"/>
        <w:bidi w:val="0"/>
        <w:spacing w:before="1200" w:after="0"/>
        <w:jc w:val="center"/>
        <w:rPr>
          <w:rFonts w:ascii="Times New Roman" w:hAnsi="Times New Roman"/>
          <w:sz w:val="20"/>
        </w:rPr>
      </w:pPr>
      <w:r>
        <w:rPr>
          <w:rFonts w:ascii="Times New Roman" w:hAnsi="Times New Roman"/>
          <w:sz w:val="20"/>
        </w:rPr>
        <w:t xml:space="preserve">Dated as of December 11,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
              <w:r>
                <w:rPr>
                  <w:rStyle w:val="InternetLink"/>
                  <w:rFonts w:ascii="Times New Roman" w:hAnsi="Times New Roman"/>
                  <w:b/>
                  <w:sz w:val="20"/>
                </w:rPr>
                <w:t xml:space="preserve">ARTICLE I </w:t>
              </w:r>
            </w:hyperlink>
            <w:hyperlink w:anchor="anxa76201_1">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
              <w:r>
                <w:rPr>
                  <w:rStyle w:val="InternetLink"/>
                  <w:rFonts w:ascii="Times New Roman" w:hAnsi="Times New Roman"/>
                  <w:sz w:val="20"/>
                </w:rPr>
                <w:t>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
              <w:r>
                <w:rPr>
                  <w:rStyle w:val="InternetLink"/>
                  <w:rFonts w:ascii="Times New Roman" w:hAnsi="Times New Roman"/>
                  <w:sz w:val="20"/>
                </w:rPr>
                <w:t>Closing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
              <w:r>
                <w:rPr>
                  <w:rStyle w:val="InternetLink"/>
                  <w:rFonts w:ascii="Times New Roman" w:hAnsi="Times New Roman"/>
                  <w:sz w:val="20"/>
                </w:rPr>
                <w:t>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
              <w:r>
                <w:rPr>
                  <w:rStyle w:val="InternetLink"/>
                  <w:rFonts w:ascii="Times New Roman" w:hAnsi="Times New Roman"/>
                  <w:sz w:val="20"/>
                </w:rPr>
                <w:t>Effects of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
              <w:r>
                <w:rPr>
                  <w:rStyle w:val="InternetLink"/>
                  <w:rFonts w:ascii="Times New Roman" w:hAnsi="Times New Roman"/>
                  <w:sz w:val="20"/>
                </w:rPr>
                <w:t>Organizational Documents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
              <w:r>
                <w:rPr>
                  <w:rStyle w:val="InternetLink"/>
                  <w:rFonts w:ascii="Times New Roman" w:hAnsi="Times New Roman"/>
                  <w:sz w:val="20"/>
                </w:rPr>
                <w:t>Directors and Officers of the Surviving Company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8">
              <w:r>
                <w:rPr>
                  <w:rStyle w:val="InternetLink"/>
                  <w:rFonts w:ascii="Times New Roman" w:hAnsi="Times New Roman"/>
                  <w:b/>
                  <w:sz w:val="20"/>
                </w:rPr>
                <w:t xml:space="preserve">ARTICLE II </w:t>
              </w:r>
            </w:hyperlink>
            <w:hyperlink w:anchor="anxa76201_8">
              <w:r>
                <w:rPr>
                  <w:rStyle w:val="InternetLink"/>
                  <w:rFonts w:ascii="Times New Roman" w:hAnsi="Times New Roman"/>
                  <w:sz w:val="20"/>
                </w:rPr>
                <w:t>EFFECT ON FBB CAPITAL STOCK; 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
              <w:r>
                <w:rPr>
                  <w:rStyle w:val="InternetLink"/>
                  <w:rFonts w:ascii="Times New Roman" w:hAnsi="Times New Roman"/>
                  <w:sz w:val="20"/>
                </w:rPr>
                <w:t>Effect on FBB Capital Stock</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0">
              <w:r>
                <w:rPr>
                  <w:rStyle w:val="InternetLink"/>
                  <w:rFonts w:ascii="Times New Roman" w:hAnsi="Times New Roman"/>
                  <w:sz w:val="20"/>
                </w:rPr>
                <w:t>Exchange of Certificates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1">
              <w:r>
                <w:rPr>
                  <w:rStyle w:val="InternetLink"/>
                  <w:rFonts w:ascii="Times New Roman" w:hAnsi="Times New Roman"/>
                  <w:sz w:val="20"/>
                </w:rPr>
                <w:t>Stock Transfer Books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12">
              <w:r>
                <w:rPr>
                  <w:rStyle w:val="InternetLink"/>
                  <w:rFonts w:ascii="Times New Roman" w:hAnsi="Times New Roman"/>
                  <w:b/>
                  <w:sz w:val="20"/>
                </w:rPr>
                <w:t xml:space="preserve">ARTICLE III </w:t>
              </w:r>
            </w:hyperlink>
            <w:hyperlink w:anchor="anxa76201_12">
              <w:r>
                <w:rPr>
                  <w:rStyle w:val="InternetLink"/>
                  <w:rFonts w:ascii="Times New Roman" w:hAnsi="Times New Roman"/>
                  <w:sz w:val="20"/>
                </w:rPr>
                <w:t>REPRESENTATIONS AND WARRANTIES OF DXL AND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3">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4">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5">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6">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7">
              <w:r>
                <w:rPr>
                  <w:rStyle w:val="InternetLink"/>
                  <w:rFonts w:ascii="Times New Roman" w:hAnsi="Times New Roman"/>
                  <w:sz w:val="20"/>
                </w:rPr>
                <w:t>Reports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8">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19">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0">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1">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2">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3">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4">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5">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6">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7">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8">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A-19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29">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0">
              <w:r>
                <w:rPr>
                  <w:rStyle w:val="InternetLink"/>
                  <w:rFonts w:ascii="Times New Roman" w:hAnsi="Times New Roman"/>
                  <w:sz w:val="20"/>
                </w:rPr>
                <w:t>DXL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1">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2">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3">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4">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5">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6">
              <w:r>
                <w:rPr>
                  <w:rStyle w:val="InternetLink"/>
                  <w:rFonts w:ascii="Times New Roman" w:hAnsi="Times New Roman"/>
                  <w:sz w:val="20"/>
                </w:rPr>
                <w:t>Fairness Opinion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7">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3.26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38">
              <w:r>
                <w:rPr>
                  <w:rStyle w:val="InternetLink"/>
                  <w:rFonts w:ascii="Times New Roman" w:hAnsi="Times New Roman"/>
                  <w:sz w:val="20"/>
                </w:rPr>
                <w:t>No Other Representations or Warranties; Reliance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39">
              <w:r>
                <w:rPr>
                  <w:rStyle w:val="InternetLink"/>
                  <w:rFonts w:ascii="Times New Roman" w:hAnsi="Times New Roman"/>
                  <w:b/>
                  <w:sz w:val="20"/>
                </w:rPr>
                <w:t xml:space="preserve">ARTICLE IV </w:t>
              </w:r>
            </w:hyperlink>
            <w:hyperlink w:anchor="anxa76201_39">
              <w:r>
                <w:rPr>
                  <w:rStyle w:val="InternetLink"/>
                  <w:rFonts w:ascii="Times New Roman" w:hAnsi="Times New Roman"/>
                  <w:sz w:val="20"/>
                </w:rPr>
                <w:t>REPRESENTATIONS AND WARRANTIES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A-24</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0">
              <w:r>
                <w:rPr>
                  <w:rStyle w:val="InternetLink"/>
                  <w:rFonts w:ascii="Times New Roman" w:hAnsi="Times New Roman"/>
                  <w:sz w:val="20"/>
                </w:rPr>
                <w:t>Corporate Organization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1">
              <w:r>
                <w:rPr>
                  <w:rStyle w:val="InternetLink"/>
                  <w:rFonts w:ascii="Times New Roman" w:hAnsi="Times New Roman"/>
                  <w:sz w:val="20"/>
                </w:rPr>
                <w:t>Capitalization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2">
              <w:r>
                <w:rPr>
                  <w:rStyle w:val="InternetLink"/>
                  <w:rFonts w:ascii="Times New Roman" w:hAnsi="Times New Roman"/>
                  <w:sz w:val="20"/>
                </w:rPr>
                <w:t>Authority; No Violation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3">
              <w:r>
                <w:rPr>
                  <w:rStyle w:val="InternetLink"/>
                  <w:rFonts w:ascii="Times New Roman" w:hAnsi="Times New Roman"/>
                  <w:sz w:val="20"/>
                </w:rPr>
                <w:t>Consents and Approvals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4">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5">
              <w:r>
                <w:rPr>
                  <w:rStyle w:val="InternetLink"/>
                  <w:rFonts w:ascii="Times New Roman" w:hAnsi="Times New Roman"/>
                  <w:sz w:val="20"/>
                </w:rPr>
                <w:t>Advisors’ Fees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6">
              <w:r>
                <w:rPr>
                  <w:rStyle w:val="InternetLink"/>
                  <w:rFonts w:ascii="Times New Roman" w:hAnsi="Times New Roman"/>
                  <w:sz w:val="20"/>
                </w:rPr>
                <w:t>Absence of Certain Changes or Events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7">
              <w:r>
                <w:rPr>
                  <w:rStyle w:val="InternetLink"/>
                  <w:rFonts w:ascii="Times New Roman" w:hAnsi="Times New Roman"/>
                  <w:sz w:val="20"/>
                </w:rPr>
                <w:t>Legal Proceedings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6"/>
        <w:gridCol w:w="107"/>
        <w:gridCol w:w="1624"/>
        <w:gridCol w:w="122"/>
        <w:gridCol w:w="7230"/>
        <w:gridCol w:w="122"/>
        <w:gridCol w:w="60"/>
        <w:gridCol w:w="440"/>
        <w:gridCol w:w="64"/>
      </w:tblGrid>
      <w:tr>
        <w:trPr/>
        <w:tc>
          <w:tcPr>
            <w:tcW w:w="43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8">
              <w:r>
                <w:rPr>
                  <w:rStyle w:val="InternetLink"/>
                  <w:rFonts w:ascii="Times New Roman" w:hAnsi="Times New Roman"/>
                  <w:sz w:val="20"/>
                </w:rPr>
                <w:t>Taxes and Tax Returns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49">
              <w:r>
                <w:rPr>
                  <w:rStyle w:val="InternetLink"/>
                  <w:rFonts w:ascii="Times New Roman" w:hAnsi="Times New Roman"/>
                  <w:sz w:val="20"/>
                </w:rPr>
                <w:t>Employee Benefit Plans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A-29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0">
              <w:r>
                <w:rPr>
                  <w:rStyle w:val="InternetLink"/>
                  <w:rFonts w:ascii="Times New Roman" w:hAnsi="Times New Roman"/>
                  <w:sz w:val="20"/>
                </w:rPr>
                <w:t>Labor and Employment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1">
              <w:r>
                <w:rPr>
                  <w:rStyle w:val="InternetLink"/>
                  <w:rFonts w:ascii="Times New Roman" w:hAnsi="Times New Roman"/>
                  <w:sz w:val="20"/>
                </w:rPr>
                <w:t>Internal Control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2">
              <w:r>
                <w:rPr>
                  <w:rStyle w:val="InternetLink"/>
                  <w:rFonts w:ascii="Times New Roman" w:hAnsi="Times New Roman"/>
                  <w:sz w:val="20"/>
                </w:rPr>
                <w:t>Compliance with Laws; Licenses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3">
              <w:r>
                <w:rPr>
                  <w:rStyle w:val="InternetLink"/>
                  <w:rFonts w:ascii="Times New Roman" w:hAnsi="Times New Roman"/>
                  <w:sz w:val="20"/>
                </w:rPr>
                <w:t>Material Contracts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4">
              <w:r>
                <w:rPr>
                  <w:rStyle w:val="InternetLink"/>
                  <w:rFonts w:ascii="Times New Roman" w:hAnsi="Times New Roman"/>
                  <w:sz w:val="20"/>
                </w:rPr>
                <w:t>Environmental Liability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5">
              <w:r>
                <w:rPr>
                  <w:rStyle w:val="InternetLink"/>
                  <w:rFonts w:ascii="Times New Roman" w:hAnsi="Times New Roman"/>
                  <w:sz w:val="20"/>
                </w:rPr>
                <w:t>Takeover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6">
              <w:r>
                <w:rPr>
                  <w:rStyle w:val="InternetLink"/>
                  <w:rFonts w:ascii="Times New Roman" w:hAnsi="Times New Roman"/>
                  <w:sz w:val="20"/>
                </w:rPr>
                <w:t>FBB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7">
              <w:r>
                <w:rPr>
                  <w:rStyle w:val="InternetLink"/>
                  <w:rFonts w:ascii="Times New Roman" w:hAnsi="Times New Roman"/>
                  <w:sz w:val="20"/>
                </w:rPr>
                <w:t>Affiliate Transactions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8">
              <w:r>
                <w:rPr>
                  <w:rStyle w:val="InternetLink"/>
                  <w:rFonts w:ascii="Times New Roman" w:hAnsi="Times New Roman"/>
                  <w:sz w:val="20"/>
                </w:rPr>
                <w:t>Intellectual Property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59">
              <w:r>
                <w:rPr>
                  <w:rStyle w:val="InternetLink"/>
                  <w:rFonts w:ascii="Times New Roman" w:hAnsi="Times New Roman"/>
                  <w:sz w:val="20"/>
                </w:rPr>
                <w:t>Title to Assets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0">
              <w:r>
                <w:rPr>
                  <w:rStyle w:val="InternetLink"/>
                  <w:rFonts w:ascii="Times New Roman" w:hAnsi="Times New Roman"/>
                  <w:sz w:val="20"/>
                </w:rPr>
                <w:t>Real Property; Leasehold</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A-37</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1">
              <w:r>
                <w:rPr>
                  <w:rStyle w:val="InternetLink"/>
                  <w:rFonts w:ascii="Times New Roman" w:hAnsi="Times New Roman"/>
                  <w:sz w:val="20"/>
                </w:rPr>
                <w:t>Anti-Corruption Laws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2">
              <w:r>
                <w:rPr>
                  <w:rStyle w:val="InternetLink"/>
                  <w:rFonts w:ascii="Times New Roman" w:hAnsi="Times New Roman"/>
                  <w:sz w:val="20"/>
                </w:rPr>
                <w:t>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3">
              <w:r>
                <w:rPr>
                  <w:rStyle w:val="InternetLink"/>
                  <w:rFonts w:ascii="Times New Roman" w:hAnsi="Times New Roman"/>
                  <w:sz w:val="20"/>
                </w:rPr>
                <w:t>Pre-Closing Investment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A-39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4">
              <w:r>
                <w:rPr>
                  <w:rStyle w:val="InternetLink"/>
                  <w:rFonts w:ascii="Times New Roman" w:hAnsi="Times New Roman"/>
                  <w:sz w:val="20"/>
                </w:rPr>
                <w:t>FBB Stockholders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5">
              <w:r>
                <w:rPr>
                  <w:rStyle w:val="InternetLink"/>
                  <w:rFonts w:ascii="Times New Roman" w:hAnsi="Times New Roman"/>
                  <w:sz w:val="20"/>
                </w:rPr>
                <w:t>No Other Representations or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66">
              <w:r>
                <w:rPr>
                  <w:rStyle w:val="InternetLink"/>
                  <w:rFonts w:ascii="Times New Roman" w:hAnsi="Times New Roman"/>
                  <w:b/>
                  <w:sz w:val="20"/>
                </w:rPr>
                <w:t xml:space="preserve">ARTICLE V </w:t>
              </w:r>
            </w:hyperlink>
            <w:hyperlink w:anchor="anxa76201_66">
              <w:r>
                <w:rPr>
                  <w:rStyle w:val="InternetLink"/>
                  <w:rFonts w:ascii="Times New Roman" w:hAnsi="Times New Roman"/>
                  <w:sz w:val="20"/>
                </w:rPr>
                <w:t>COVENANTS RELATING TO CONDUCT OF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7">
              <w:r>
                <w:rPr>
                  <w:rStyle w:val="InternetLink"/>
                  <w:rFonts w:ascii="Times New Roman" w:hAnsi="Times New Roman"/>
                  <w:sz w:val="20"/>
                </w:rPr>
                <w:t>Conduct of Businesses Prior to the Effective Time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8">
              <w:r>
                <w:rPr>
                  <w:rStyle w:val="InternetLink"/>
                  <w:rFonts w:ascii="Times New Roman" w:hAnsi="Times New Roman"/>
                  <w:sz w:val="20"/>
                </w:rPr>
                <w:t>DXL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69">
              <w:r>
                <w:rPr>
                  <w:rStyle w:val="InternetLink"/>
                  <w:rFonts w:ascii="Times New Roman" w:hAnsi="Times New Roman"/>
                  <w:sz w:val="20"/>
                </w:rPr>
                <w:t>FBB Forbearances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0">
              <w:r>
                <w:rPr>
                  <w:rStyle w:val="InternetLink"/>
                  <w:rFonts w:ascii="Times New Roman" w:hAnsi="Times New Roman"/>
                  <w:sz w:val="20"/>
                </w:rPr>
                <w:t>Control of Other Party’s Business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1">
              <w:r>
                <w:rPr>
                  <w:rStyle w:val="InternetLink"/>
                  <w:rFonts w:ascii="Times New Roman" w:hAnsi="Times New Roman"/>
                  <w:sz w:val="20"/>
                </w:rPr>
                <w:t>FBB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2">
              <w:r>
                <w:rPr>
                  <w:rStyle w:val="InternetLink"/>
                  <w:rFonts w:ascii="Times New Roman" w:hAnsi="Times New Roman"/>
                  <w:sz w:val="20"/>
                </w:rPr>
                <w:t>DXL No Solicitation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73">
              <w:r>
                <w:rPr>
                  <w:rStyle w:val="InternetLink"/>
                  <w:rFonts w:ascii="Times New Roman" w:hAnsi="Times New Roman"/>
                  <w:b/>
                  <w:sz w:val="20"/>
                </w:rPr>
                <w:t xml:space="preserve">ARTICLE VI </w:t>
              </w:r>
            </w:hyperlink>
            <w:hyperlink w:anchor="anxa76201_73">
              <w:r>
                <w:rPr>
                  <w:rStyle w:val="InternetLink"/>
                  <w:rFonts w:ascii="Times New Roman" w:hAnsi="Times New Roman"/>
                  <w:sz w:val="20"/>
                </w:rPr>
                <w:t>ADDITIONAL AGREEMENTS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4">
              <w:r>
                <w:rPr>
                  <w:rStyle w:val="InternetLink"/>
                  <w:rFonts w:ascii="Times New Roman" w:hAnsi="Times New Roman"/>
                  <w:sz w:val="20"/>
                </w:rPr>
                <w:t>Preparation of the Proxy Statement; Stockholder Approvals; Listing Application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A-48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5">
              <w:r>
                <w:rPr>
                  <w:rStyle w:val="InternetLink"/>
                  <w:rFonts w:ascii="Times New Roman" w:hAnsi="Times New Roman"/>
                  <w:sz w:val="20"/>
                </w:rPr>
                <w:t>Resale Registration Statement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A-51</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6">
              <w:r>
                <w:rPr>
                  <w:rStyle w:val="InternetLink"/>
                  <w:rFonts w:ascii="Times New Roman" w:hAnsi="Times New Roman"/>
                  <w:sz w:val="20"/>
                </w:rPr>
                <w:t>Access to Information; Confidentiality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7">
              <w:r>
                <w:rPr>
                  <w:rStyle w:val="InternetLink"/>
                  <w:rFonts w:ascii="Times New Roman" w:hAnsi="Times New Roman"/>
                  <w:sz w:val="20"/>
                </w:rPr>
                <w:t>Required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8">
              <w:r>
                <w:rPr>
                  <w:rStyle w:val="InternetLink"/>
                  <w:rFonts w:ascii="Times New Roman" w:hAnsi="Times New Roman"/>
                  <w:sz w:val="20"/>
                </w:rPr>
                <w:t>Stockholder Litigation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79">
              <w:r>
                <w:rPr>
                  <w:rStyle w:val="InternetLink"/>
                  <w:rFonts w:ascii="Times New Roman" w:hAnsi="Times New Roman"/>
                  <w:sz w:val="20"/>
                </w:rPr>
                <w:t>DXL Stockholders Meeting</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0">
              <w:r>
                <w:rPr>
                  <w:rStyle w:val="InternetLink"/>
                  <w:rFonts w:ascii="Times New Roman" w:hAnsi="Times New Roman"/>
                  <w:sz w:val="20"/>
                </w:rPr>
                <w:t>Fees and Expenses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1">
              <w:r>
                <w:rPr>
                  <w:rStyle w:val="InternetLink"/>
                  <w:rFonts w:ascii="Times New Roman" w:hAnsi="Times New Roman"/>
                  <w:sz w:val="20"/>
                </w:rPr>
                <w:t>Certain Tax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6.09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2">
              <w:r>
                <w:rPr>
                  <w:rStyle w:val="InternetLink"/>
                  <w:rFonts w:ascii="Times New Roman" w:hAnsi="Times New Roman"/>
                  <w:sz w:val="20"/>
                </w:rPr>
                <w:t>Governance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6.10</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3">
              <w:r>
                <w:rPr>
                  <w:rStyle w:val="InternetLink"/>
                  <w:rFonts w:ascii="Times New Roman" w:hAnsi="Times New Roman"/>
                  <w:sz w:val="20"/>
                </w:rPr>
                <w:t>Employment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A-60</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4">
              <w:r>
                <w:rPr>
                  <w:rStyle w:val="InternetLink"/>
                  <w:rFonts w:ascii="Times New Roman" w:hAnsi="Times New Roman"/>
                  <w:sz w:val="20"/>
                </w:rPr>
                <w:t>Directors’ and Officers’ Indemnification and Insurance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A-62</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5">
              <w:r>
                <w:rPr>
                  <w:rStyle w:val="InternetLink"/>
                  <w:rFonts w:ascii="Times New Roman" w:hAnsi="Times New Roman"/>
                  <w:sz w:val="20"/>
                </w:rPr>
                <w:t>Financial Statements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6">
              <w:r>
                <w:rPr>
                  <w:rStyle w:val="InternetLink"/>
                  <w:rFonts w:ascii="Times New Roman" w:hAnsi="Times New Roman"/>
                  <w:sz w:val="20"/>
                </w:rPr>
                <w:t>Notification of Certain Matters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6.14</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7">
              <w:r>
                <w:rPr>
                  <w:rStyle w:val="InternetLink"/>
                  <w:rFonts w:ascii="Times New Roman" w:hAnsi="Times New Roman"/>
                  <w:sz w:val="20"/>
                </w:rPr>
                <w:t>Obligations of Merger Sub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6.15</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8">
              <w:r>
                <w:rPr>
                  <w:rStyle w:val="InternetLink"/>
                  <w:rFonts w:ascii="Times New Roman" w:hAnsi="Times New Roman"/>
                  <w:sz w:val="20"/>
                </w:rPr>
                <w:t>Payment for Third Party Consents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6.16</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89">
              <w:r>
                <w:rPr>
                  <w:rStyle w:val="InternetLink"/>
                  <w:rFonts w:ascii="Times New Roman" w:hAnsi="Times New Roman"/>
                  <w:sz w:val="20"/>
                </w:rPr>
                <w:t>Financing; Cooperation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A-64</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6.17</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0">
              <w:r>
                <w:rPr>
                  <w:rStyle w:val="InternetLink"/>
                  <w:rFonts w:ascii="Times New Roman" w:hAnsi="Times New Roman"/>
                  <w:sz w:val="20"/>
                </w:rPr>
                <w:t>Updated Capitalization Information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A-65</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6.18</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1">
              <w:r>
                <w:rPr>
                  <w:rStyle w:val="InternetLink"/>
                  <w:rFonts w:ascii="Times New Roman" w:hAnsi="Times New Roman"/>
                  <w:sz w:val="20"/>
                </w:rPr>
                <w:t>Listing of DXL Common Stock on Nasdaq</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6.19</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2">
              <w:r>
                <w:rPr>
                  <w:rStyle w:val="InternetLink"/>
                  <w:rFonts w:ascii="Times New Roman" w:hAnsi="Times New Roman"/>
                  <w:sz w:val="20"/>
                </w:rPr>
                <w:t>FBB Corporate Actions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9519" w:type="dxa"/>
            <w:gridSpan w:val="5"/>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9519" w:type="dxa"/>
            <w:gridSpan w:val="5"/>
            <w:tcBorders/>
          </w:tcPr>
          <w:p>
            <w:pPr>
              <w:pStyle w:val="TableContents"/>
              <w:bidi w:val="0"/>
              <w:spacing w:before="0" w:after="0"/>
              <w:jc w:val="left"/>
              <w:rPr/>
            </w:pPr>
            <w:hyperlink w:anchor="anxa76201_93">
              <w:r>
                <w:rPr>
                  <w:rStyle w:val="InternetLink"/>
                  <w:rFonts w:ascii="Times New Roman" w:hAnsi="Times New Roman"/>
                  <w:b/>
                  <w:sz w:val="20"/>
                </w:rPr>
                <w:t xml:space="preserve">ARTICLE VII </w:t>
              </w:r>
            </w:hyperlink>
            <w:hyperlink w:anchor="anxa76201_93">
              <w:r>
                <w:rPr>
                  <w:rStyle w:val="InternetLink"/>
                  <w:rFonts w:ascii="Times New Roman" w:hAnsi="Times New Roman"/>
                  <w:sz w:val="20"/>
                </w:rPr>
                <w:t>CONDITIONS PRECEDENT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rHeight w:val="120" w:hRule="atLeast"/>
        </w:trPr>
        <w:tc>
          <w:tcPr>
            <w:tcW w:w="436" w:type="dxa"/>
            <w:tcBorders/>
            <w:vAlign w:val="center"/>
          </w:tcPr>
          <w:p>
            <w:pPr>
              <w:pStyle w:val="TableContents"/>
              <w:bidi w:val="0"/>
              <w:spacing w:before="0" w:after="283"/>
              <w:jc w:val="left"/>
              <w:rPr>
                <w:sz w:val="4"/>
                <w:szCs w:val="4"/>
              </w:rPr>
            </w:pPr>
            <w:r>
              <w:rPr>
                <w:sz w:val="4"/>
                <w:szCs w:val="4"/>
              </w:rPr>
            </w:r>
          </w:p>
        </w:tc>
        <w:tc>
          <w:tcPr>
            <w:tcW w:w="1731" w:type="dxa"/>
            <w:gridSpan w:val="2"/>
            <w:tcBorders/>
            <w:vAlign w:val="center"/>
          </w:tcPr>
          <w:p>
            <w:pPr>
              <w:pStyle w:val="TableContents"/>
              <w:bidi w:val="0"/>
              <w:spacing w:before="0" w:after="283"/>
              <w:jc w:val="left"/>
              <w:rPr>
                <w:sz w:val="4"/>
                <w:szCs w:val="4"/>
              </w:rPr>
            </w:pPr>
            <w:r>
              <w:rPr>
                <w:sz w:val="4"/>
                <w:szCs w:val="4"/>
              </w:rPr>
            </w:r>
          </w:p>
        </w:tc>
        <w:tc>
          <w:tcPr>
            <w:tcW w:w="7352" w:type="dxa"/>
            <w:gridSpan w:val="2"/>
            <w:tcBorders/>
            <w:vAlign w:val="center"/>
          </w:tcPr>
          <w:p>
            <w:pPr>
              <w:pStyle w:val="TableContents"/>
              <w:bidi w:val="0"/>
              <w:spacing w:before="0" w:after="283"/>
              <w:jc w:val="left"/>
              <w:rPr>
                <w:sz w:val="4"/>
                <w:szCs w:val="4"/>
              </w:rPr>
            </w:pPr>
            <w:r>
              <w:rPr>
                <w:sz w:val="4"/>
                <w:szCs w:val="4"/>
              </w:rPr>
            </w:r>
          </w:p>
        </w:tc>
        <w:tc>
          <w:tcPr>
            <w:tcW w:w="686" w:type="dxa"/>
            <w:gridSpan w:val="4"/>
            <w:tcBorders/>
            <w:vAlign w:val="center"/>
          </w:tcPr>
          <w:p>
            <w:pPr>
              <w:pStyle w:val="TableContents"/>
              <w:bidi w:val="0"/>
              <w:spacing w:before="0" w:after="283"/>
              <w:jc w:val="left"/>
              <w:rPr>
                <w:sz w:val="4"/>
                <w:szCs w:val="4"/>
              </w:rPr>
            </w:pPr>
            <w:r>
              <w:rPr>
                <w:sz w:val="4"/>
                <w:szCs w:val="4"/>
              </w:rPr>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7.01</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4">
              <w:r>
                <w:rPr>
                  <w:rStyle w:val="InternetLink"/>
                  <w:rFonts w:ascii="Times New Roman" w:hAnsi="Times New Roman"/>
                  <w:sz w:val="20"/>
                </w:rPr>
                <w:t>Conditions to Each Party’s Obligation to Effect the Merger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7.02</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5">
              <w:r>
                <w:rPr>
                  <w:rStyle w:val="InternetLink"/>
                  <w:rFonts w:ascii="Times New Roman" w:hAnsi="Times New Roman"/>
                  <w:sz w:val="20"/>
                </w:rPr>
                <w:t>Conditions to Obligations of DXL</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A-66</w:t>
            </w:r>
          </w:p>
        </w:tc>
        <w:tc>
          <w:tcPr>
            <w:tcW w:w="64" w:type="dxa"/>
            <w:tcBorders/>
            <w:vAlign w:val="bottom"/>
          </w:tcPr>
          <w:p>
            <w:pPr>
              <w:pStyle w:val="TableContents"/>
              <w:bidi w:val="0"/>
              <w:spacing w:before="0" w:after="283"/>
              <w:jc w:val="left"/>
              <w:rPr/>
            </w:pPr>
            <w:r>
              <w:rPr/>
              <w:t> </w:t>
            </w:r>
          </w:p>
        </w:tc>
      </w:tr>
      <w:tr>
        <w:trPr/>
        <w:tc>
          <w:tcPr>
            <w:tcW w:w="43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7.03</w:t>
            </w:r>
          </w:p>
        </w:tc>
        <w:tc>
          <w:tcPr>
            <w:tcW w:w="122" w:type="dxa"/>
            <w:tcBorders/>
            <w:vAlign w:val="bottom"/>
          </w:tcPr>
          <w:p>
            <w:pPr>
              <w:pStyle w:val="TableContents"/>
              <w:bidi w:val="0"/>
              <w:spacing w:before="0" w:after="283"/>
              <w:jc w:val="left"/>
              <w:rPr/>
            </w:pPr>
            <w:r>
              <w:rPr/>
              <w:t>  </w:t>
            </w:r>
          </w:p>
        </w:tc>
        <w:tc>
          <w:tcPr>
            <w:tcW w:w="7230" w:type="dxa"/>
            <w:tcBorders/>
          </w:tcPr>
          <w:p>
            <w:pPr>
              <w:pStyle w:val="TableContents"/>
              <w:bidi w:val="0"/>
              <w:spacing w:before="0" w:after="0"/>
              <w:jc w:val="left"/>
              <w:rPr/>
            </w:pPr>
            <w:hyperlink w:anchor="anxa76201_96">
              <w:r>
                <w:rPr>
                  <w:rStyle w:val="InternetLink"/>
                  <w:rFonts w:ascii="Times New Roman" w:hAnsi="Times New Roman"/>
                  <w:sz w:val="20"/>
                </w:rPr>
                <w:t>Conditions to Obligations of FBB</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35"/>
        <w:gridCol w:w="107"/>
        <w:gridCol w:w="1620"/>
        <w:gridCol w:w="122"/>
        <w:gridCol w:w="7234"/>
        <w:gridCol w:w="122"/>
        <w:gridCol w:w="60"/>
        <w:gridCol w:w="440"/>
        <w:gridCol w:w="65"/>
      </w:tblGrid>
      <w:tr>
        <w:trPr/>
        <w:tc>
          <w:tcPr>
            <w:tcW w:w="4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3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97">
              <w:r>
                <w:rPr>
                  <w:rStyle w:val="InternetLink"/>
                  <w:rFonts w:ascii="Times New Roman" w:hAnsi="Times New Roman"/>
                  <w:b/>
                  <w:sz w:val="20"/>
                </w:rPr>
                <w:t xml:space="preserve">ARTICLE VIII </w:t>
              </w:r>
            </w:hyperlink>
            <w:hyperlink w:anchor="anxa76201_97">
              <w:r>
                <w:rPr>
                  <w:rStyle w:val="InternetLink"/>
                  <w:rFonts w:ascii="Times New Roman" w:hAnsi="Times New Roman"/>
                  <w:sz w:val="20"/>
                </w:rPr>
                <w:t>TERMINATION AND 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0"/>
              <w:jc w:val="left"/>
              <w:rPr/>
            </w:pPr>
            <w:r>
              <w:rPr/>
              <w:t>  </w:t>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8">
              <w:r>
                <w:rPr>
                  <w:rStyle w:val="InternetLink"/>
                  <w:rFonts w:ascii="Times New Roman" w:hAnsi="Times New Roman"/>
                  <w:sz w:val="20"/>
                </w:rPr>
                <w:t>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99">
              <w:r>
                <w:rPr>
                  <w:rStyle w:val="InternetLink"/>
                  <w:rFonts w:ascii="Times New Roman" w:hAnsi="Times New Roman"/>
                  <w:sz w:val="20"/>
                </w:rPr>
                <w:t>Effect of Termination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0">
              <w:r>
                <w:rPr>
                  <w:rStyle w:val="InternetLink"/>
                  <w:rFonts w:ascii="Times New Roman" w:hAnsi="Times New Roman"/>
                  <w:sz w:val="20"/>
                </w:rPr>
                <w:t>Amendment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8.04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1">
              <w:r>
                <w:rPr>
                  <w:rStyle w:val="InternetLink"/>
                  <w:rFonts w:ascii="Times New Roman" w:hAnsi="Times New Roman"/>
                  <w:sz w:val="20"/>
                </w:rPr>
                <w:t>Extension; Waiver</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A-69</w:t>
            </w:r>
          </w:p>
        </w:tc>
        <w:tc>
          <w:tcPr>
            <w:tcW w:w="65" w:type="dxa"/>
            <w:tcBorders/>
            <w:vAlign w:val="bottom"/>
          </w:tcPr>
          <w:p>
            <w:pPr>
              <w:pStyle w:val="TableContents"/>
              <w:bidi w:val="0"/>
              <w:spacing w:before="0" w:after="283"/>
              <w:jc w:val="left"/>
              <w:rPr/>
            </w:pPr>
            <w:r>
              <w:rPr/>
              <w:t> </w:t>
            </w:r>
          </w:p>
        </w:tc>
      </w:tr>
      <w:tr>
        <w:trPr>
          <w:trHeight w:val="120" w:hRule="atLeast"/>
        </w:trPr>
        <w:tc>
          <w:tcPr>
            <w:tcW w:w="9518" w:type="dxa"/>
            <w:gridSpan w:val="5"/>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9518" w:type="dxa"/>
            <w:gridSpan w:val="5"/>
            <w:tcBorders/>
          </w:tcPr>
          <w:p>
            <w:pPr>
              <w:pStyle w:val="TableContents"/>
              <w:bidi w:val="0"/>
              <w:spacing w:before="0" w:after="0"/>
              <w:jc w:val="left"/>
              <w:rPr/>
            </w:pPr>
            <w:hyperlink w:anchor="anxa76201_102">
              <w:r>
                <w:rPr>
                  <w:rStyle w:val="InternetLink"/>
                  <w:rFonts w:ascii="Times New Roman" w:hAnsi="Times New Roman"/>
                  <w:b/>
                  <w:sz w:val="20"/>
                </w:rPr>
                <w:t xml:space="preserve">ARTICLE IX </w:t>
              </w:r>
            </w:hyperlink>
            <w:hyperlink w:anchor="anxa76201_102">
              <w:r>
                <w:rPr>
                  <w:rStyle w:val="InternetLink"/>
                  <w:rFonts w:ascii="Times New Roman" w:hAnsi="Times New Roman"/>
                  <w:sz w:val="20"/>
                </w:rPr>
                <w:t>GENERAL PROVISIONS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1727" w:type="dxa"/>
            <w:gridSpan w:val="2"/>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3">
              <w:r>
                <w:rPr>
                  <w:rStyle w:val="InternetLink"/>
                  <w:rFonts w:ascii="Times New Roman" w:hAnsi="Times New Roman"/>
                  <w:sz w:val="20"/>
                </w:rPr>
                <w:t>Non-survival of Representations and Warranties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4">
              <w:r>
                <w:rPr>
                  <w:rStyle w:val="InternetLink"/>
                  <w:rFonts w:ascii="Times New Roman" w:hAnsi="Times New Roman"/>
                  <w:sz w:val="20"/>
                </w:rPr>
                <w:t>Notices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A-70</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5">
              <w:r>
                <w:rPr>
                  <w:rStyle w:val="InternetLink"/>
                  <w:rFonts w:ascii="Times New Roman" w:hAnsi="Times New Roman"/>
                  <w:sz w:val="20"/>
                </w:rPr>
                <w:t>Definitions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6">
              <w:r>
                <w:rPr>
                  <w:rStyle w:val="InternetLink"/>
                  <w:rFonts w:ascii="Times New Roman" w:hAnsi="Times New Roman"/>
                  <w:sz w:val="20"/>
                </w:rPr>
                <w:t>Other Defined Terms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A-78</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9.05</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7">
              <w:r>
                <w:rPr>
                  <w:rStyle w:val="InternetLink"/>
                  <w:rFonts w:ascii="Times New Roman" w:hAnsi="Times New Roman"/>
                  <w:sz w:val="20"/>
                </w:rPr>
                <w:t>Interpretation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A-81</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9.06</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8">
              <w:r>
                <w:rPr>
                  <w:rStyle w:val="InternetLink"/>
                  <w:rFonts w:ascii="Times New Roman" w:hAnsi="Times New Roman"/>
                  <w:sz w:val="20"/>
                </w:rPr>
                <w:t>Severability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9.07</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09">
              <w:r>
                <w:rPr>
                  <w:rStyle w:val="InternetLink"/>
                  <w:rFonts w:ascii="Times New Roman" w:hAnsi="Times New Roman"/>
                  <w:sz w:val="20"/>
                </w:rPr>
                <w:t>Counterparts; Facsimile Signatures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9.08</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0">
              <w:r>
                <w:rPr>
                  <w:rStyle w:val="InternetLink"/>
                  <w:rFonts w:ascii="Times New Roman" w:hAnsi="Times New Roman"/>
                  <w:sz w:val="20"/>
                </w:rPr>
                <w:t>Entire Agreement; No Third Party Beneficiaries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9.09</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1">
              <w:r>
                <w:rPr>
                  <w:rStyle w:val="InternetLink"/>
                  <w:rFonts w:ascii="Times New Roman" w:hAnsi="Times New Roman"/>
                  <w:sz w:val="20"/>
                </w:rPr>
                <w:t>Governing Law</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9.10</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2">
              <w:r>
                <w:rPr>
                  <w:rStyle w:val="InternetLink"/>
                  <w:rFonts w:ascii="Times New Roman" w:hAnsi="Times New Roman"/>
                  <w:sz w:val="20"/>
                </w:rPr>
                <w:t>Assignment</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9.11</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3">
              <w:r>
                <w:rPr>
                  <w:rStyle w:val="InternetLink"/>
                  <w:rFonts w:ascii="Times New Roman" w:hAnsi="Times New Roman"/>
                  <w:sz w:val="20"/>
                </w:rPr>
                <w:t>Specific Performance</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A-82</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9.12</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4">
              <w:r>
                <w:rPr>
                  <w:rStyle w:val="InternetLink"/>
                  <w:rFonts w:ascii="Times New Roman" w:hAnsi="Times New Roman"/>
                  <w:sz w:val="20"/>
                </w:rPr>
                <w:t>Jurisdiction</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9.13</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5">
              <w:r>
                <w:rPr>
                  <w:rStyle w:val="InternetLink"/>
                  <w:rFonts w:ascii="Times New Roman" w:hAnsi="Times New Roman"/>
                  <w:sz w:val="20"/>
                </w:rPr>
                <w:t>Publicity</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A-83</w:t>
            </w:r>
          </w:p>
        </w:tc>
        <w:tc>
          <w:tcPr>
            <w:tcW w:w="65" w:type="dxa"/>
            <w:tcBorders/>
            <w:vAlign w:val="bottom"/>
          </w:tcPr>
          <w:p>
            <w:pPr>
              <w:pStyle w:val="TableContents"/>
              <w:bidi w:val="0"/>
              <w:spacing w:before="0" w:after="283"/>
              <w:jc w:val="left"/>
              <w:rPr/>
            </w:pPr>
            <w:r>
              <w:rPr/>
              <w:t> </w:t>
            </w:r>
          </w:p>
        </w:tc>
      </w:tr>
      <w:tr>
        <w:trPr/>
        <w:tc>
          <w:tcPr>
            <w:tcW w:w="43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6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9.14</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pPr>
            <w:hyperlink w:anchor="anxa76201_116">
              <w:r>
                <w:rPr>
                  <w:rStyle w:val="InternetLink"/>
                  <w:rFonts w:ascii="Times New Roman" w:hAnsi="Times New Roman"/>
                  <w:sz w:val="20"/>
                </w:rPr>
                <w:t>Financing Related Parties</w:t>
              </w:r>
            </w:hyperlink>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A-84</w:t>
            </w:r>
          </w:p>
        </w:tc>
        <w:tc>
          <w:tcPr>
            <w:tcW w:w="65" w:type="dxa"/>
            <w:tcBorders/>
            <w:vAlign w:val="bottom"/>
          </w:tcPr>
          <w:p>
            <w:pPr>
              <w:pStyle w:val="TableContents"/>
              <w:bidi w:val="0"/>
              <w:spacing w:before="0" w:after="283"/>
              <w:jc w:val="left"/>
              <w:rPr/>
            </w:pPr>
            <w:r>
              <w:rPr/>
              <w:t> </w:t>
            </w:r>
          </w:p>
        </w:tc>
      </w:tr>
      <w:tr>
        <w:trPr>
          <w:trHeight w:val="24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283"/>
              <w:jc w:val="left"/>
              <w:rPr>
                <w:b/>
                <w:u w:val="single"/>
              </w:rPr>
            </w:pPr>
            <w:r>
              <w:rPr>
                <w:b/>
                <w:u w:val="single"/>
              </w:rPr>
              <w:t>Exhibits</w:t>
            </w:r>
          </w:p>
        </w:tc>
        <w:tc>
          <w:tcPr>
            <w:tcW w:w="122" w:type="dxa"/>
            <w:tcBorders/>
            <w:vAlign w:val="bottom"/>
          </w:tcPr>
          <w:p>
            <w:pPr>
              <w:pStyle w:val="TableContents"/>
              <w:bidi w:val="0"/>
              <w:spacing w:before="0" w:after="283"/>
              <w:jc w:val="left"/>
              <w:rPr/>
            </w:pPr>
            <w:r>
              <w:rPr/>
              <w:t>  </w:t>
            </w:r>
          </w:p>
        </w:tc>
        <w:tc>
          <w:tcPr>
            <w:tcW w:w="723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2162" w:type="dxa"/>
            <w:gridSpan w:val="3"/>
            <w:tcBorders/>
            <w:vAlign w:val="center"/>
          </w:tcPr>
          <w:p>
            <w:pPr>
              <w:pStyle w:val="TableContents"/>
              <w:bidi w:val="0"/>
              <w:spacing w:before="0" w:after="283"/>
              <w:jc w:val="left"/>
              <w:rPr>
                <w:sz w:val="4"/>
                <w:szCs w:val="4"/>
              </w:rPr>
            </w:pPr>
            <w:r>
              <w:rPr>
                <w:sz w:val="4"/>
                <w:szCs w:val="4"/>
              </w:rPr>
            </w:r>
          </w:p>
        </w:tc>
        <w:tc>
          <w:tcPr>
            <w:tcW w:w="7356" w:type="dxa"/>
            <w:gridSpan w:val="2"/>
            <w:tcBorders/>
            <w:vAlign w:val="center"/>
          </w:tcPr>
          <w:p>
            <w:pPr>
              <w:pStyle w:val="TableContents"/>
              <w:bidi w:val="0"/>
              <w:spacing w:before="0" w:after="283"/>
              <w:jc w:val="left"/>
              <w:rPr>
                <w:sz w:val="4"/>
                <w:szCs w:val="4"/>
              </w:rPr>
            </w:pPr>
            <w:r>
              <w:rPr>
                <w:sz w:val="4"/>
                <w:szCs w:val="4"/>
              </w:rPr>
            </w:r>
          </w:p>
        </w:tc>
        <w:tc>
          <w:tcPr>
            <w:tcW w:w="687" w:type="dxa"/>
            <w:gridSpan w:val="4"/>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Certificate of Incorporation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Form of Voting Agreement</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16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2" w:type="dxa"/>
            <w:tcBorders/>
            <w:vAlign w:val="bottom"/>
          </w:tcPr>
          <w:p>
            <w:pPr>
              <w:pStyle w:val="TableContents"/>
              <w:bidi w:val="0"/>
              <w:spacing w:before="0" w:after="283"/>
              <w:jc w:val="left"/>
              <w:rPr/>
            </w:pPr>
            <w:r>
              <w:rPr/>
              <w:t>  </w:t>
            </w:r>
          </w:p>
        </w:tc>
        <w:tc>
          <w:tcPr>
            <w:tcW w:w="7234"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Company</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 xml:space="preserve">Execution Copy </w:t>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December 11, 2025 (this “</w:t>
      </w:r>
      <w:r>
        <w:rPr>
          <w:rFonts w:ascii="Times New Roman" w:hAnsi="Times New Roman"/>
          <w:sz w:val="20"/>
          <w:u w:val="single"/>
        </w:rPr>
        <w:t>Agreement</w:t>
      </w:r>
      <w:r>
        <w:rPr>
          <w:rFonts w:ascii="Times New Roman" w:hAnsi="Times New Roman"/>
          <w:sz w:val="20"/>
        </w:rPr>
        <w:t>”), is by and among Destination XL Group, Inc., a Delaware corporation (“</w:t>
      </w:r>
      <w:r>
        <w:rPr>
          <w:rFonts w:ascii="Times New Roman" w:hAnsi="Times New Roman"/>
          <w:sz w:val="20"/>
          <w:u w:val="single"/>
        </w:rPr>
        <w:t>DXL</w:t>
      </w:r>
      <w:r>
        <w:rPr>
          <w:rFonts w:ascii="Times New Roman" w:hAnsi="Times New Roman"/>
          <w:sz w:val="20"/>
        </w:rPr>
        <w:t>”),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DXL (the “</w:t>
      </w:r>
      <w:r>
        <w:rPr>
          <w:rFonts w:ascii="Times New Roman" w:hAnsi="Times New Roman"/>
          <w:sz w:val="20"/>
          <w:u w:val="single"/>
        </w:rPr>
        <w:t>DXL Board</w:t>
      </w:r>
      <w:r>
        <w:rPr>
          <w:rFonts w:ascii="Times New Roman" w:hAnsi="Times New Roman"/>
          <w:sz w:val="20"/>
        </w:rPr>
        <w:t xml:space="preserve">”) has unanimously adopted this Agreement and determined that the terms of this Agreement, including the Merger, are fair to, and in the best interests of, DXL and its stockholders; </w:t>
      </w:r>
    </w:p>
    <w:p>
      <w:pPr>
        <w:pStyle w:val="TextBody"/>
        <w:bidi w:val="0"/>
        <w:spacing w:before="240" w:after="0"/>
        <w:jc w:val="left"/>
        <w:rPr>
          <w:rFonts w:ascii="Times New Roman" w:hAnsi="Times New Roman"/>
          <w:sz w:val="20"/>
        </w:rPr>
      </w:pPr>
      <w:r>
        <w:rPr>
          <w:rFonts w:ascii="Times New Roman" w:hAnsi="Times New Roman"/>
          <w:sz w:val="20"/>
        </w:rPr>
        <w:t>WHEREAS, the respective boards of directors of Merger Sub and FBB (the “</w:t>
      </w:r>
      <w:r>
        <w:rPr>
          <w:rFonts w:ascii="Times New Roman" w:hAnsi="Times New Roman"/>
          <w:sz w:val="20"/>
          <w:u w:val="single"/>
        </w:rPr>
        <w:t>FBB Board</w:t>
      </w:r>
      <w:r>
        <w:rPr>
          <w:rFonts w:ascii="Times New Roman" w:hAnsi="Times New Roman"/>
          <w:sz w:val="20"/>
        </w:rPr>
        <w:t xml:space="preserve">”) have unanimously approved this Agreement and declared it advisable that Merger Sub and FBB, respectively, enter into this Agreement and consummate the Transactions, including the Merger, and have recommended that their respective stockholders, approve and adopt this Agreement, the Merger and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WHEREAS, the DXL Board has recommended that its stockholders approve this Agreement and certain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WHEREAS, for U.S. federal income tax purposes, the parties hereto intend that the Merger qualify as a “reorganization” within the meaning of Section 368(a) of the Code and the Treasury Regulations thereunder, with respect to which each of DXL, Merger Sub, and FBB are a “party to a reorganization” under Section 368(b) of the Code, and by executing this Agreement, the parties hereto intend that this Agreement be adopted as a “plan of reorganization” for purposes of Sections 354, 361 and 368 of the Code and within the meaning of Section 368 of the Code and Treasury Regulations Sections 1.368-2(g) and 1.368-3 (the “</w:t>
      </w:r>
      <w:r>
        <w:rPr>
          <w:rFonts w:ascii="Times New Roman" w:hAnsi="Times New Roman"/>
          <w:sz w:val="20"/>
          <w:u w:val="single"/>
        </w:rPr>
        <w:t>Intended Tax Treatment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DXL to enter into this Agreement, certain stockholders of FBB have entered into Lock-Up Agreements with FBB, substantially in the form attached hereto as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FBB to enter into this Agreement, certain stockholders of DXL, including each of the directors and certain officers of DXL, in their respective capacities as stockholders of DXL, have entered into Voting Agreements with FBB substantially in the form attached hereto as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Transactions and as an inducement to the willingness of each of DXL and Merger Sub to enter into this Agreement, effective following the execution of this Agreement, the FBB Investors and certain other stockholders of FBB are expected to deliver to FBB the FBB Written Consent, representing not less than the FBB Stockholder Approval in accordance with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DXL, Merger Sub and FBB desire to make certain representations, warranties, covenants and agreements in connection with the Merger and also to prescribe various 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parties hereto hereby agree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4" w:name="anxa76201_1"/>
      <w:bookmarkEnd w:id="104"/>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u w:val="single"/>
        </w:rPr>
        <w:t>THE MERGER</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05" w:name="anxa76201_2"/>
      <w:bookmarkEnd w:id="105"/>
      <w:r>
        <w:rPr>
          <w:rFonts w:ascii="Times New Roman" w:hAnsi="Times New Roman"/>
          <w:b/>
          <w:sz w:val="20"/>
        </w:rPr>
        <w:t xml:space="preserve">SECTION 1.01 </w:t>
      </w:r>
      <w:r>
        <w:rPr>
          <w:rFonts w:ascii="Times New Roman" w:hAnsi="Times New Roman"/>
          <w:b/>
          <w:sz w:val="20"/>
          <w:u w:val="single"/>
        </w:rPr>
        <w:t>The Merger</w:t>
      </w:r>
      <w:r>
        <w:rPr>
          <w:rFonts w:ascii="Times New Roman" w:hAnsi="Times New Roman"/>
          <w:sz w:val="20"/>
        </w:rPr>
        <w:t>. On the terms and subject to the conditions set forth in this Agreement, and in accordance with the applicable provisions of the Delaware General Corporation Law (the “</w:t>
      </w:r>
      <w:r>
        <w:rPr>
          <w:rFonts w:ascii="Times New Roman" w:hAnsi="Times New Roman"/>
          <w:sz w:val="20"/>
          <w:u w:val="single"/>
        </w:rPr>
        <w:t>DGCL</w:t>
      </w:r>
      <w:r>
        <w:rPr>
          <w:rFonts w:ascii="Times New Roman" w:hAnsi="Times New Roman"/>
          <w:sz w:val="20"/>
        </w:rPr>
        <w:t>”), at the Effective Time, Merger Sub shall be merged with and into FBB (the “</w:t>
      </w:r>
      <w:r>
        <w:rPr>
          <w:rFonts w:ascii="Times New Roman" w:hAnsi="Times New Roman"/>
          <w:sz w:val="20"/>
          <w:u w:val="single"/>
        </w:rPr>
        <w:t>Merger</w:t>
      </w:r>
      <w:r>
        <w:rPr>
          <w:rFonts w:ascii="Times New Roman" w:hAnsi="Times New Roman"/>
          <w:sz w:val="20"/>
        </w:rPr>
        <w:t>”). At the Effective Time, the separate corporate existence of Merger Sub shall cease, and FBB shall continue as the surviving corporation in the Merger (the “</w:t>
      </w:r>
      <w:r>
        <w:rPr>
          <w:rFonts w:ascii="Times New Roman" w:hAnsi="Times New Roman"/>
          <w:sz w:val="20"/>
          <w:u w:val="single"/>
        </w:rPr>
        <w:t>Surviving Company</w:t>
      </w:r>
      <w:r>
        <w:rPr>
          <w:rFonts w:ascii="Times New Roman" w:hAnsi="Times New Roman"/>
          <w:sz w:val="20"/>
        </w:rPr>
        <w:t xml:space="preserve">”). As a result of the Merger, FBB shall (a) become a wholly owned subsidiary of DXL, (b) continue to be governed by the Laws of the State of Delaware, (c) have a registered office in the State of Delaware, and (d) possess and be subject to all of the rights, properties and obligations of Merger Sub in accordance with the DGCL. </w:t>
      </w:r>
    </w:p>
    <w:p>
      <w:pPr>
        <w:pStyle w:val="TextBody"/>
        <w:bidi w:val="0"/>
        <w:spacing w:before="240" w:after="0"/>
        <w:jc w:val="left"/>
        <w:rPr>
          <w:rFonts w:ascii="Times New Roman" w:hAnsi="Times New Roman"/>
          <w:sz w:val="20"/>
        </w:rPr>
      </w:pPr>
      <w:bookmarkStart w:id="106" w:name="anxa76201_3"/>
      <w:bookmarkEnd w:id="106"/>
      <w:r>
        <w:rPr>
          <w:rFonts w:ascii="Times New Roman" w:hAnsi="Times New Roman"/>
          <w:b/>
          <w:sz w:val="20"/>
        </w:rPr>
        <w:t xml:space="preserve">SECTION 1.02 </w:t>
      </w:r>
      <w:r>
        <w:rPr>
          <w:rFonts w:ascii="Times New Roman" w:hAnsi="Times New Roman"/>
          <w:b/>
          <w:sz w:val="20"/>
          <w:u w:val="single"/>
        </w:rPr>
        <w:t>Closing</w:t>
      </w:r>
      <w:r>
        <w:rPr>
          <w:rFonts w:ascii="Times New Roman" w:hAnsi="Times New Roman"/>
          <w:sz w:val="20"/>
        </w:rPr>
        <w:t xml:space="preserve">. Unless this Agreement shall have been terminated in accordance with </w:t>
      </w:r>
      <w:r>
        <w:rPr>
          <w:rFonts w:ascii="Times New Roman" w:hAnsi="Times New Roman"/>
          <w:sz w:val="20"/>
          <w:u w:val="single"/>
        </w:rPr>
        <w:t>Section 8.01</w:t>
      </w:r>
      <w:r>
        <w:rPr>
          <w:rFonts w:ascii="Times New Roman" w:hAnsi="Times New Roman"/>
          <w:sz w:val="20"/>
        </w:rPr>
        <w:t>, the closing (the “</w:t>
      </w:r>
      <w:r>
        <w:rPr>
          <w:rFonts w:ascii="Times New Roman" w:hAnsi="Times New Roman"/>
          <w:sz w:val="20"/>
          <w:u w:val="single"/>
        </w:rPr>
        <w:t>Closing</w:t>
      </w:r>
      <w:r>
        <w:rPr>
          <w:rFonts w:ascii="Times New Roman" w:hAnsi="Times New Roman"/>
          <w:sz w:val="20"/>
        </w:rPr>
        <w:t xml:space="preserve">”) of the Merger shall take place by electronic exchange of all executed documents and other deliverables required by this Agreement to be delivered at Closing, including pursuant to </w:t>
      </w:r>
      <w:r>
        <w:rPr>
          <w:rFonts w:ascii="Times New Roman" w:hAnsi="Times New Roman"/>
          <w:sz w:val="20"/>
          <w:u w:val="single"/>
        </w:rPr>
        <w:t>Article VII</w:t>
      </w:r>
      <w:r>
        <w:rPr>
          <w:rFonts w:ascii="Times New Roman" w:hAnsi="Times New Roman"/>
          <w:sz w:val="20"/>
        </w:rPr>
        <w:t xml:space="preserve">) at 10:00 a.m., Eastern time, on the third (3rd) Business Day following the satisfaction or (to the extent permitted by Law) waiver by the party or parties entitled to the benefits thereof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nature are to be satisfied at the Closing, but subject to the satisfaction or (to the extent permitted by Law) waiver of those conditions), or at such other place, time and date as shall be agreed in writing between DXL and FBB.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7" w:name="anxa76201_4"/>
      <w:bookmarkEnd w:id="107"/>
      <w:r>
        <w:rPr>
          <w:rFonts w:ascii="Times New Roman" w:hAnsi="Times New Roman"/>
          <w:b/>
          <w:sz w:val="20"/>
        </w:rPr>
        <w:t xml:space="preserve">SECTION 1.03 </w:t>
      </w:r>
      <w:r>
        <w:rPr>
          <w:rFonts w:ascii="Times New Roman" w:hAnsi="Times New Roman"/>
          <w:b/>
          <w:sz w:val="20"/>
          <w:u w:val="single"/>
        </w:rPr>
        <w:t>Effective Time</w:t>
      </w:r>
      <w:r>
        <w:rPr>
          <w:rFonts w:ascii="Times New Roman" w:hAnsi="Times New Roman"/>
          <w:sz w:val="20"/>
        </w:rPr>
        <w:t>. The Merger shall become effective upon the filing of a certificate of merger in respect of the Merger (the “</w:t>
      </w:r>
      <w:r>
        <w:rPr>
          <w:rFonts w:ascii="Times New Roman" w:hAnsi="Times New Roman"/>
          <w:sz w:val="20"/>
          <w:u w:val="single"/>
        </w:rPr>
        <w:t>Certificate of Merger</w:t>
      </w:r>
      <w:r>
        <w:rPr>
          <w:rFonts w:ascii="Times New Roman" w:hAnsi="Times New Roman"/>
          <w:sz w:val="20"/>
        </w:rPr>
        <w:t>“) with the Secretary of State of the State of Delaware, or such later date and time as may be specified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8" w:name="anxa76201_5"/>
      <w:bookmarkEnd w:id="108"/>
      <w:r>
        <w:rPr>
          <w:rFonts w:ascii="Times New Roman" w:hAnsi="Times New Roman"/>
          <w:b/>
          <w:sz w:val="20"/>
        </w:rPr>
        <w:t xml:space="preserve">SECTION 1.04 </w:t>
      </w:r>
      <w:r>
        <w:rPr>
          <w:rFonts w:ascii="Times New Roman" w:hAnsi="Times New Roman"/>
          <w:b/>
          <w:sz w:val="20"/>
          <w:u w:val="single"/>
        </w:rPr>
        <w:t>Effects of the Merger</w:t>
      </w:r>
      <w:r>
        <w:rPr>
          <w:rFonts w:ascii="Times New Roman" w:hAnsi="Times New Roman"/>
          <w:sz w:val="20"/>
        </w:rPr>
        <w:t xml:space="preserve">. The Merger shall have the effects set forth in this Agreement and as specified in the applicable provisions of the DGCL. Without limiting the generality of the foregoing, and subject thereto, from and after the Effective Time, all property, rights, privileges, immunities, powers, franchises, licenses and authority of FBB and Merger Sub shall vest in the Surviving Company, and all debts, liabilities, obligations, restrictions and duties of each of FBB and Merger Sub shall become the debts, liabilities, obligations, restrictions and duties of the Surviving Company. </w:t>
      </w:r>
    </w:p>
    <w:p>
      <w:pPr>
        <w:pStyle w:val="TextBody"/>
        <w:bidi w:val="0"/>
        <w:spacing w:before="240" w:after="0"/>
        <w:jc w:val="left"/>
        <w:rPr>
          <w:rFonts w:ascii="Times New Roman" w:hAnsi="Times New Roman"/>
          <w:sz w:val="20"/>
        </w:rPr>
      </w:pPr>
      <w:bookmarkStart w:id="109" w:name="anxa76201_6"/>
      <w:bookmarkEnd w:id="109"/>
      <w:r>
        <w:rPr>
          <w:rFonts w:ascii="Times New Roman" w:hAnsi="Times New Roman"/>
          <w:b/>
          <w:sz w:val="20"/>
        </w:rPr>
        <w:t xml:space="preserve">SECTION 1.05 </w:t>
      </w:r>
      <w:r>
        <w:rPr>
          <w:rFonts w:ascii="Times New Roman" w:hAnsi="Times New Roman"/>
          <w:b/>
          <w:sz w:val="20"/>
          <w:u w:val="single"/>
        </w:rPr>
        <w:t>Organizational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the Effective Time, the certificate of incorporation of FBB,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hereto, and, as so amended and restated, will be the certificate of incorporation of the Surviving Company (the “</w:t>
      </w:r>
      <w:r>
        <w:rPr>
          <w:rFonts w:ascii="Times New Roman" w:hAnsi="Times New Roman"/>
          <w:sz w:val="20"/>
          <w:u w:val="single"/>
        </w:rPr>
        <w:t>Surviving Company Charter</w:t>
      </w:r>
      <w:r>
        <w:rPr>
          <w:rFonts w:ascii="Times New Roman" w:hAnsi="Times New Roman"/>
          <w:sz w:val="20"/>
        </w:rPr>
        <w:t xml:space="preserve">”), until thereafter amended in accordance with its terms, the terms of this Agreement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the bylaws of the Surviving Company shall be amended and restated to conform to the bylaws of Merger Sub as in effect immediately prior to the Effective Time, which shall conform with the rights and responsibilities of the Surviving Company under this Agreement, including the provisions of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10" w:name="anxa76201_7"/>
      <w:bookmarkEnd w:id="110"/>
      <w:r>
        <w:rPr>
          <w:rFonts w:ascii="Times New Roman" w:hAnsi="Times New Roman"/>
          <w:b/>
          <w:sz w:val="20"/>
        </w:rPr>
        <w:t xml:space="preserve">SECTION 1.06 </w:t>
      </w:r>
      <w:r>
        <w:rPr>
          <w:rFonts w:ascii="Times New Roman" w:hAnsi="Times New Roman"/>
          <w:b/>
          <w:sz w:val="20"/>
          <w:u w:val="single"/>
        </w:rPr>
        <w:t>Directors and Officers of the Surviving Company</w:t>
      </w:r>
      <w:r>
        <w:rPr>
          <w:rFonts w:ascii="Times New Roman" w:hAnsi="Times New Roman"/>
          <w:sz w:val="20"/>
        </w:rPr>
        <w:t xml:space="preserve">. At the Effective Time, the directors and officers of the Surviving Company, each to hold office in accordance with the Surviving Company Charter and until their earlier resignation or removal or until their respective successors are duly elected or appointed and qualified, shall be such individuals as set forth on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480" w:after="0"/>
        <w:jc w:val="center"/>
        <w:rPr>
          <w:rFonts w:ascii="Times New Roman" w:hAnsi="Times New Roman"/>
          <w:b/>
          <w:sz w:val="20"/>
        </w:rPr>
      </w:pPr>
      <w:bookmarkStart w:id="111" w:name="anxa76201_8"/>
      <w:bookmarkEnd w:id="111"/>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u w:val="single"/>
        </w:rPr>
        <w:t>EFFECT ON FBB CAPITAL STOCK; EXCHANGE OF CERTIFICATES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12" w:name="anxa76201_9"/>
      <w:bookmarkEnd w:id="112"/>
      <w:r>
        <w:rPr>
          <w:rFonts w:ascii="Times New Roman" w:hAnsi="Times New Roman"/>
          <w:b/>
          <w:sz w:val="20"/>
        </w:rPr>
        <w:t xml:space="preserve">SECTION 2.01 </w:t>
      </w:r>
      <w:r>
        <w:rPr>
          <w:rFonts w:ascii="Times New Roman" w:hAnsi="Times New Roman"/>
          <w:b/>
          <w:sz w:val="20"/>
          <w:u w:val="single"/>
        </w:rPr>
        <w:t>Effect on FBB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action on the part of DXL, Merger Sub or FBB, or the holders of any FBB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xml:space="preserve">. Each share of FBB Common Stock, other than Excluded Shares, Appraisal Shares and Unaccredited Investor Shares, shall be converted into the right to receive that number of fully paid and nonassessable shares of DXL Common Stock equal to the Exchange Ratio with that number of shares of DXL Common Stock to be received by a holder of FBB Common Stock pursuant to this </w:t>
      </w:r>
      <w:r>
        <w:rPr>
          <w:rFonts w:ascii="Times New Roman" w:hAnsi="Times New Roman"/>
          <w:sz w:val="20"/>
          <w:u w:val="single"/>
        </w:rPr>
        <w:t>Section 2.01(a)</w:t>
      </w:r>
      <w:r>
        <w:rPr>
          <w:rFonts w:ascii="Times New Roman" w:hAnsi="Times New Roman"/>
          <w:sz w:val="20"/>
        </w:rPr>
        <w:t xml:space="preserve"> who would otherwise be entitled to receive a fraction of a share of a DXL Common Stock (after aggregating all fractional DXL Common Stock issuable to such holder in connection with the Merger) to be rounded up to the nearest whole number of shares of DXL Common Stock. All shares of DXL Common Stock to be issued pursuant to this </w:t>
      </w:r>
      <w:r>
        <w:rPr>
          <w:rFonts w:ascii="Times New Roman" w:hAnsi="Times New Roman"/>
          <w:sz w:val="20"/>
          <w:u w:val="single"/>
        </w:rPr>
        <w:t>Section 2.01(a)</w:t>
      </w:r>
      <w:r>
        <w:rPr>
          <w:rFonts w:ascii="Times New Roman" w:hAnsi="Times New Roman"/>
          <w:sz w:val="20"/>
        </w:rPr>
        <w:t>, together with the Unaccredited Investor Cash Consideration, are collectively referred to herein as the “</w:t>
      </w:r>
      <w:r>
        <w:rPr>
          <w:rFonts w:ascii="Times New Roman" w:hAnsi="Times New Roman"/>
          <w:sz w:val="20"/>
          <w:u w:val="single"/>
        </w:rPr>
        <w:t>Merger Consideration</w:t>
      </w:r>
      <w:r>
        <w:rPr>
          <w:rFonts w:ascii="Times New Roman" w:hAnsi="Times New Roman"/>
          <w:sz w:val="20"/>
        </w:rPr>
        <w:t>”. Each holder of a physical certificate (a “</w:t>
      </w:r>
      <w:r>
        <w:rPr>
          <w:rFonts w:ascii="Times New Roman" w:hAnsi="Times New Roman"/>
          <w:sz w:val="20"/>
          <w:u w:val="single"/>
        </w:rPr>
        <w:t>Certificate</w:t>
      </w:r>
      <w:r>
        <w:rPr>
          <w:rFonts w:ascii="Times New Roman" w:hAnsi="Times New Roman"/>
          <w:sz w:val="20"/>
        </w:rPr>
        <w:t>”) that immediately prior to the Effective Time represented any FBB Common Stock or non-certificated shares of FBB Common Stock held in book-entry form (each, a “</w:t>
      </w:r>
      <w:r>
        <w:rPr>
          <w:rFonts w:ascii="Times New Roman" w:hAnsi="Times New Roman"/>
          <w:sz w:val="20"/>
          <w:u w:val="single"/>
        </w:rPr>
        <w:t>Book-Entry Share</w:t>
      </w:r>
      <w:r>
        <w:rPr>
          <w:rFonts w:ascii="Times New Roman" w:hAnsi="Times New Roman"/>
          <w:sz w:val="20"/>
        </w:rPr>
        <w:t xml:space="preserve">”), in each case, converted pursuant to this </w:t>
      </w:r>
      <w:r>
        <w:rPr>
          <w:rFonts w:ascii="Times New Roman" w:hAnsi="Times New Roman"/>
          <w:sz w:val="20"/>
          <w:u w:val="single"/>
        </w:rPr>
        <w:t>Section 2.01(a)</w:t>
      </w:r>
      <w:r>
        <w:rPr>
          <w:rFonts w:ascii="Times New Roman" w:hAnsi="Times New Roman"/>
          <w:sz w:val="20"/>
        </w:rPr>
        <w:t xml:space="preserve"> shall cease to have any rights with respect thereto, except the right to receive the portion of the Merger Consideration to which such shares of FBB Common Stock are entitled pursuant hereto and any dividends or other distributions to which holders become entitled upon the surrender of such Certificates or Book-Entry Shares in accordance with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2.02(d)</w:t>
      </w:r>
      <w:r>
        <w:rPr>
          <w:rFonts w:ascii="Times New Roman" w:hAnsi="Times New Roman"/>
          <w:sz w:val="20"/>
        </w:rPr>
        <w:t xml:space="preserve">, in each case without interest and less, subject to </w:t>
      </w:r>
      <w:r>
        <w:rPr>
          <w:rFonts w:ascii="Times New Roman" w:hAnsi="Times New Roman"/>
          <w:sz w:val="20"/>
          <w:u w:val="single"/>
        </w:rPr>
        <w:t>Section 2.02(h)</w:t>
      </w:r>
      <w:r>
        <w:rPr>
          <w:rFonts w:ascii="Times New Roman" w:hAnsi="Times New Roman"/>
          <w:sz w:val="20"/>
        </w:rPr>
        <w:t xml:space="preserve">, any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Treatment of Excluded Shares</w:t>
      </w:r>
      <w:r>
        <w:rPr>
          <w:rFonts w:ascii="Times New Roman" w:hAnsi="Times New Roman"/>
          <w:sz w:val="20"/>
        </w:rPr>
        <w:t>. Each share of FBB Capital Stock that is directly owned by FBB as treasury stock or otherwise, by DXL or Merger Sub, or by any Subsidiary of any of the foregoing immediately prior to the Effective Time (the “</w:t>
      </w:r>
      <w:r>
        <w:rPr>
          <w:rFonts w:ascii="Times New Roman" w:hAnsi="Times New Roman"/>
          <w:sz w:val="20"/>
          <w:u w:val="single"/>
        </w:rPr>
        <w:t>Excluded Shares</w:t>
      </w:r>
      <w:r>
        <w:rPr>
          <w:rFonts w:ascii="Times New Roman" w:hAnsi="Times New Roman"/>
          <w:sz w:val="20"/>
        </w:rPr>
        <w:t xml:space="preserve">”) shall be cancelled and shall cease to exist, and no consideration shall be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Treatment of Unaccredited Investor Shares</w:t>
      </w:r>
      <w:r>
        <w:rPr>
          <w:rFonts w:ascii="Times New Roman" w:hAnsi="Times New Roman"/>
          <w:sz w:val="20"/>
        </w:rPr>
        <w:t>. Notwithstanding any other provision of this Agreement, each share of FBB Common Stock held immediately prior to the Effective Time by a FBB Stockholder that is an Unaccredited Investor (each, an “</w:t>
      </w:r>
      <w:r>
        <w:rPr>
          <w:rFonts w:ascii="Times New Roman" w:hAnsi="Times New Roman"/>
          <w:sz w:val="20"/>
          <w:u w:val="single"/>
        </w:rPr>
        <w:t>Unaccredited Investor Share</w:t>
      </w:r>
      <w:r>
        <w:rPr>
          <w:rFonts w:ascii="Times New Roman" w:hAnsi="Times New Roman"/>
          <w:sz w:val="20"/>
        </w:rPr>
        <w:t xml:space="preserve">”) shall be converted into the right to receive the Unaccredited Investor Cash Consideration, without any interest thereon. For the avoidance of doubt, no Unaccredited Investor shall receive any stock consideration in the Merger.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Treatment of FBB Warrants</w:t>
      </w:r>
      <w:r>
        <w:rPr>
          <w:rFonts w:ascii="Times New Roman" w:hAnsi="Times New Roman"/>
          <w:sz w:val="20"/>
        </w:rPr>
        <w:t xml:space="preserve">. Contingent on and with effect immediately prior to the Effective Time, all FBB Warrants outstanding immediately prior to the Effective Time shall, without any further action on the part of any holder thereof, be cancelled, terminated, and extinguished in their entirety in accordance with the terms and conditions of those certain warrant termination agreements duly executed and delivered by each holder of FBB Warrants to FBB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Appraisal Rights</w:t>
      </w:r>
      <w:r>
        <w:rPr>
          <w:rFonts w:ascii="Times New Roman" w:hAnsi="Times New Roman"/>
          <w:sz w:val="20"/>
        </w:rPr>
        <w:t xml:space="preserve">. Notwithstanding any provision of this Agreement to the contrary, shares of FBB Capital Stock that are issued and outstanding immediately prior to the Effective Time (other than the Excluded Shares) and that are held by holders of such shares who have not voted in favor of the adoption of this Agreement or consented thereto in writing and who have properly exercised appraisal rights with respect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accordance with, and who have complied with, Section 262 of the DGCL with respect to any such shares held by any such holder (the “</w:t>
      </w:r>
      <w:r>
        <w:rPr>
          <w:rFonts w:ascii="Times New Roman" w:hAnsi="Times New Roman"/>
          <w:sz w:val="20"/>
          <w:u w:val="single"/>
        </w:rPr>
        <w:t>Appraisal Shares</w:t>
      </w:r>
      <w:r>
        <w:rPr>
          <w:rFonts w:ascii="Times New Roman" w:hAnsi="Times New Roman"/>
          <w:sz w:val="20"/>
        </w:rPr>
        <w:t xml:space="preserve">”) shall not be converted into the right to receive the Merger Consideration, and holders of Appraisal Shares shall be entitled to receive payment of the fair value of Appraisal Shares in accordance with the provisions of Section 262 of the DGCL, unless and until any such holder fails to perfect or effectively withdraws or loses its rights to appraisal and payment under the DGCL. If, after the Effective Time, any such holder fails to perfect or effectively withdraws or loses such rights, such Appraisal Shares will thereupon be no longer considered Appraisal Shares under this Agreement and will be treated as if they had been converted into, at the Effective Time, the right to receive the Merger Consideration, without any interest thereon, and the Surviving Company shall remain liable for payment of the Merger Consideration for such shares. At the Effective Time, any holder of Appraisal Shares shall cease to have any rights with respect thereto, except the rights provided in Section 262 of the DGCL and as provided in the previous sentence.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Certain Adjustments</w:t>
      </w:r>
      <w:r>
        <w:rPr>
          <w:rFonts w:ascii="Times New Roman" w:hAnsi="Times New Roman"/>
          <w:sz w:val="20"/>
        </w:rPr>
        <w:t xml:space="preserve">. If, between the date of this Agreement and the Effective Time, the number of outstanding DXL Common Stock or FBB Common Stock shall have been changed into a different number of shares or a different class of shares by reason of any stock dividend, subdivision, reorganization, reclassification, recapitalization, stock split, reverse stock split, combination or exchange of shares, or any similar event shall have occurred, then the Exchange Ratio shall be appropriately and proportionately adjusted to provide to the holders of DXL Common Stock and the holders of FBB Common Stock and FBB Warrants the same economic effect as contemplated by this Agreement prior to such event; provided that this </w:t>
      </w:r>
      <w:r>
        <w:rPr>
          <w:rFonts w:ascii="Times New Roman" w:hAnsi="Times New Roman"/>
          <w:sz w:val="20"/>
          <w:u w:val="single"/>
        </w:rPr>
        <w:t>Section 2.01(c)</w:t>
      </w:r>
      <w:r>
        <w:rPr>
          <w:rFonts w:ascii="Times New Roman" w:hAnsi="Times New Roman"/>
          <w:sz w:val="20"/>
        </w:rPr>
        <w:t xml:space="preserve"> shall not affect or supersede the provisions of </w:t>
      </w:r>
      <w:r>
        <w:rPr>
          <w:rFonts w:ascii="Times New Roman" w:hAnsi="Times New Roman"/>
          <w:sz w:val="20"/>
          <w:u w:val="single"/>
        </w:rPr>
        <w:t>Section 5.01</w:t>
      </w:r>
      <w:r>
        <w:rPr>
          <w:rFonts w:ascii="Times New Roman" w:hAnsi="Times New Roman"/>
          <w:sz w:val="20"/>
        </w:rPr>
        <w:t xml:space="preserve"> or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of Merger Sub Capital Stock</w:t>
      </w:r>
      <w:r>
        <w:rPr>
          <w:rFonts w:ascii="Times New Roman" w:hAnsi="Times New Roman"/>
          <w:sz w:val="20"/>
        </w:rPr>
        <w:t xml:space="preserve">. At the Effective Time, by virtue of and simultaneously with the Merger and without any further action on the part of DXL, Merger Sub or FBB, each share of common stock of Merger Sub issued and outstanding immediately prior to the Effective Time shall be automatically converted into one validly issued, fully paid and non-assessable share of common stock of the Surviving Company and such shares shall constitute the only outstanding shares of capital stock of the Surviving Company. Each certificate evidencing ownership of such shares of Merger Sub immediately prior to the Effective Time shall, as of the Effective Time, evidence ownership of such shares of the Surviving Company. </w:t>
      </w:r>
    </w:p>
    <w:p>
      <w:pPr>
        <w:pStyle w:val="TextBody"/>
        <w:bidi w:val="0"/>
        <w:spacing w:before="240" w:after="0"/>
        <w:jc w:val="left"/>
        <w:rPr>
          <w:rFonts w:ascii="Times New Roman" w:hAnsi="Times New Roman"/>
          <w:sz w:val="20"/>
        </w:rPr>
      </w:pPr>
      <w:bookmarkStart w:id="113" w:name="anxa76201_10"/>
      <w:bookmarkEnd w:id="113"/>
      <w:r>
        <w:rPr>
          <w:rFonts w:ascii="Times New Roman" w:hAnsi="Times New Roman"/>
          <w:b/>
          <w:sz w:val="20"/>
        </w:rPr>
        <w:t xml:space="preserve">SECTION 2.02 </w:t>
      </w:r>
      <w:r>
        <w:rPr>
          <w:rFonts w:ascii="Times New Roman" w:hAnsi="Times New Roman"/>
          <w:b/>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Exchange Agent</w:t>
      </w:r>
      <w:r>
        <w:rPr>
          <w:rFonts w:ascii="Times New Roman" w:hAnsi="Times New Roman"/>
          <w:sz w:val="20"/>
        </w:rPr>
        <w:t>. Prior to the Effective Time, DXL and FBB shall appoint a commercial bank, trust company or stockholder service provider to be mutually agreed upon by them to act as exchange agent (the “</w:t>
      </w:r>
      <w:r>
        <w:rPr>
          <w:rFonts w:ascii="Times New Roman" w:hAnsi="Times New Roman"/>
          <w:sz w:val="20"/>
          <w:u w:val="single"/>
        </w:rPr>
        <w:t>Exchange Agent</w:t>
      </w:r>
      <w:r>
        <w:rPr>
          <w:rFonts w:ascii="Times New Roman" w:hAnsi="Times New Roman"/>
          <w:sz w:val="20"/>
        </w:rPr>
        <w:t xml:space="preserve">”) for the delivery of the Merger Consideration to holders of FBB Common Stock (together with any cash in respect of any other dividends or distributions that such holders have the right to receive pursuant to </w:t>
      </w:r>
      <w:r>
        <w:rPr>
          <w:rFonts w:ascii="Times New Roman" w:hAnsi="Times New Roman"/>
          <w:sz w:val="20"/>
          <w:u w:val="single"/>
        </w:rPr>
        <w:t>Section 2.02(d)</w:t>
      </w:r>
      <w:r>
        <w:rPr>
          <w:rFonts w:ascii="Times New Roman" w:hAnsi="Times New Roman"/>
          <w:sz w:val="20"/>
        </w:rPr>
        <w:t>). Promptly following the Effective Time, FBB shall provide DXL (with a copy to the Exchange Agent) the stockholders registry of FBB updated as of immediately prior to the Effective Time, following the conversion of the FBB Preferred Stock into FBB Common Stock in accordance with their respective terms (the “</w:t>
      </w:r>
      <w:r>
        <w:rPr>
          <w:rFonts w:ascii="Times New Roman" w:hAnsi="Times New Roman"/>
          <w:sz w:val="20"/>
          <w:u w:val="single"/>
        </w:rPr>
        <w:t>Final Stockholders Registry</w:t>
      </w:r>
      <w:r>
        <w:rPr>
          <w:rFonts w:ascii="Times New Roman" w:hAnsi="Times New Roman"/>
          <w:sz w:val="20"/>
        </w:rPr>
        <w:t xml:space="preserve">”), including addresses, tax identification numbers and other information reasonably required by the Exchange Agent. At or prior to the Effective Time, DXL shall deposit with the Exchange Agent, for the benefit of holders of Certificates or Book-Entry Shares appearing in the Final Stockholders Registry, for exchange in accordance with this </w:t>
      </w:r>
      <w:r>
        <w:rPr>
          <w:rFonts w:ascii="Times New Roman" w:hAnsi="Times New Roman"/>
          <w:sz w:val="20"/>
          <w:u w:val="single"/>
        </w:rPr>
        <w:t>Article II</w:t>
      </w:r>
      <w:r>
        <w:rPr>
          <w:rFonts w:ascii="Times New Roman" w:hAnsi="Times New Roman"/>
          <w:sz w:val="20"/>
        </w:rPr>
        <w:t xml:space="preserve"> through the Exchange Agent, the DXL Common Stock (in certificated or book-entry form) to be delivered as the Merger Consideration (the “</w:t>
      </w:r>
      <w:r>
        <w:rPr>
          <w:rFonts w:ascii="Times New Roman" w:hAnsi="Times New Roman"/>
          <w:sz w:val="20"/>
          <w:u w:val="single"/>
        </w:rPr>
        <w:t>Exchange Fund</w:t>
      </w:r>
      <w:r>
        <w:rPr>
          <w:rFonts w:ascii="Times New Roman" w:hAnsi="Times New Roman"/>
          <w:sz w:val="20"/>
        </w:rPr>
        <w:t xml:space="preserve">”). Immediately following the Effective Time, DXL shall instruct the Exchange Agent to timely pay the Merger Consideration (including the Unaccredited Investor Cash Consideration) and such other amounts in accordance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Deposit of Unaccredited Investor Cash Consideration</w:t>
      </w:r>
      <w:r>
        <w:rPr>
          <w:rFonts w:ascii="Times New Roman" w:hAnsi="Times New Roman"/>
          <w:sz w:val="20"/>
        </w:rPr>
        <w:t>. At least two (2) Business Days prior to the Closing Date, FBB shall deliver to DXL a schedule (the “</w:t>
      </w:r>
      <w:r>
        <w:rPr>
          <w:rFonts w:ascii="Times New Roman" w:hAnsi="Times New Roman"/>
          <w:sz w:val="20"/>
          <w:u w:val="single"/>
        </w:rPr>
        <w:t>Unaccredited Investor Schedule</w:t>
      </w:r>
      <w:r>
        <w:rPr>
          <w:rFonts w:ascii="Times New Roman" w:hAnsi="Times New Roman"/>
          <w:sz w:val="20"/>
        </w:rPr>
        <w:t xml:space="preserve">”), setting forth (A) the name and address of each holder of Unaccredited Investor Shares as of immediately prior to the Effective Time, (B) the number of Unaccredited Investor Shares held by each such holder, and (C) the mailing address for each such holder. Promptly following the Effective Time, DXL shall deposit, or cause to be deposited,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Exchange Agent, for the benefit of holders of Unaccredited Investor Shares, cash in immediately available funds in an amount equal to the total amount of Merger Consideration to be paid to the Unaccredited Investors.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As soon as reasonably practicable after the Effective Time, DXL shall cause the Exchange Agent to mail to each holder of record of a Certificate or Book Entry-Share whose shares will be or were transferred pursuant to </w:t>
      </w:r>
      <w:r>
        <w:rPr>
          <w:rFonts w:ascii="Times New Roman" w:hAnsi="Times New Roman"/>
          <w:sz w:val="20"/>
          <w:u w:val="single"/>
        </w:rPr>
        <w:t>Section 2.01(a)</w:t>
      </w:r>
      <w:r>
        <w:rPr>
          <w:rFonts w:ascii="Times New Roman" w:hAnsi="Times New Roman"/>
          <w:sz w:val="20"/>
        </w:rPr>
        <w:t xml:space="preserve"> in consideration for the right to receive the Merger Consideration (i) a letter of transmittal in customary form as reasonably agreed by the parties which (A) shall specify that delivery shall be effected, and risk of loss and title to the Certificates or Book Entry-Share shall pass, only upon delivery of the letter of transmittal and, if applicable, Certificates to the Exchange Agent and (B) shall have such other provisions as DXL and FBB may reasonably specify and (ii) instructions for effecting the surrender of the Certificates or Book Entry-Shares in exchange for the Merger Consideration. Upon proper surrender of a Certificate to the Exchange Agent, if applicable, together with such letter of transmittal, duly completed and validly executed in accordance with the instructions thereto, and such other documents as may reasonably be required by the Exchange Agent, the holder of such Certificate or Book-Entry Share shall be entitled to receive in exchange therefor either the (A) Unaccredited Investor Cash Consideration or (B) a physical certificate or uncertificated book-entry representing that number of whole DXL Common Stock that such holder has the right to receive in respect of the aggregate number of FBB Common Stock previously represented by such Certificate or Book Entry- Share pursuant to </w:t>
      </w:r>
      <w:r>
        <w:rPr>
          <w:rFonts w:ascii="Times New Roman" w:hAnsi="Times New Roman"/>
          <w:sz w:val="20"/>
          <w:u w:val="single"/>
        </w:rPr>
        <w:t>Section 2.01(a)</w:t>
      </w:r>
      <w:r>
        <w:rPr>
          <w:rFonts w:ascii="Times New Roman" w:hAnsi="Times New Roman"/>
          <w:sz w:val="20"/>
        </w:rPr>
        <w:t xml:space="preserve"> and a check representing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and the Certificate so surrendered or the Book-Entry Share shall immediately be canceled. Until surrendered as contemplated by this </w:t>
      </w:r>
      <w:r>
        <w:rPr>
          <w:rFonts w:ascii="Times New Roman" w:hAnsi="Times New Roman"/>
          <w:sz w:val="20"/>
          <w:u w:val="single"/>
        </w:rPr>
        <w:t>Section 2.02</w:t>
      </w:r>
      <w:r>
        <w:rPr>
          <w:rFonts w:ascii="Times New Roman" w:hAnsi="Times New Roman"/>
          <w:sz w:val="20"/>
        </w:rPr>
        <w:t xml:space="preserve">, if applicable, each Certificate or Book Entry-Share shall be deemed at any time after the Effective Time to represent only the right to receive upon such surrender the Merger Consideration that the holder of such Certificate or Book Entry-Share has the right to receive in respect of such Certificate or Book Entry-Share pursuant to </w:t>
      </w:r>
      <w:r>
        <w:rPr>
          <w:rFonts w:ascii="Times New Roman" w:hAnsi="Times New Roman"/>
          <w:sz w:val="20"/>
          <w:u w:val="single"/>
        </w:rPr>
        <w:t>Section 2.01(a)</w:t>
      </w:r>
      <w:r>
        <w:rPr>
          <w:rFonts w:ascii="Times New Roman" w:hAnsi="Times New Roman"/>
          <w:sz w:val="20"/>
        </w:rPr>
        <w:t xml:space="preserve"> (together with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in respect of such Certificate or Book Entry-Share). No interest shall be paid or shall accrue on any cash payable upon surrender of any Certificate or Book Entry-Share pursuant to </w:t>
      </w:r>
      <w:r>
        <w:rPr>
          <w:rFonts w:ascii="Times New Roman" w:hAnsi="Times New Roman"/>
          <w:sz w:val="20"/>
          <w:u w:val="single"/>
        </w:rPr>
        <w:t>Section 2.</w:t>
      </w:r>
      <w:r>
        <w:rPr>
          <w:rFonts w:ascii="Times New Roman" w:hAnsi="Times New Roman"/>
          <w:sz w:val="20"/>
        </w:rPr>
        <w:t xml:space="preserve">01(a).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Unexchanged Shares</w:t>
      </w:r>
      <w:r>
        <w:rPr>
          <w:rFonts w:ascii="Times New Roman" w:hAnsi="Times New Roman"/>
          <w:sz w:val="20"/>
        </w:rPr>
        <w:t xml:space="preserve">. No dividends or other distributions declared or made with respect to DXL Common Stock with a record date after the Effective Time shall be paid to the holder of any unsurrendered Certificate or Book Entry-Share with respect to the DXL Common Stock issuable upon surrender or cancellation thereof, and no cash in respect of any unpaid dividends or distributions with a record date prior to the Effective Time that have been declared with respect to the FBB Common Stock shall be paid to any such holder, until the surrender of such Certificate or Book Entry-Share in accordance with this </w:t>
      </w:r>
      <w:r>
        <w:rPr>
          <w:rFonts w:ascii="Times New Roman" w:hAnsi="Times New Roman"/>
          <w:sz w:val="20"/>
          <w:u w:val="single"/>
        </w:rPr>
        <w:t>Article II</w:t>
      </w:r>
      <w:r>
        <w:rPr>
          <w:rFonts w:ascii="Times New Roman" w:hAnsi="Times New Roman"/>
          <w:sz w:val="20"/>
        </w:rPr>
        <w:t xml:space="preserve">. Subject to escheat or other applicable Law, following surrender of any such Certificate or Book Entry-Share, there shall be paid to the holder of the Certificate or Book Entry-Share, without interest, at the time of surrender, the amount of dividends or other distributions with a record date after the Effective Time previously paid with respect to each share of DXL Common Stock that such holder has the right to receive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Further Ownership Rights in FBB Common Stock</w:t>
      </w:r>
      <w:r>
        <w:rPr>
          <w:rFonts w:ascii="Times New Roman" w:hAnsi="Times New Roman"/>
          <w:sz w:val="20"/>
        </w:rPr>
        <w:t xml:space="preserve">. The DXL Common Stock issued and cash paid in accordance with the terms of this </w:t>
      </w:r>
      <w:r>
        <w:rPr>
          <w:rFonts w:ascii="Times New Roman" w:hAnsi="Times New Roman"/>
          <w:sz w:val="20"/>
          <w:u w:val="single"/>
        </w:rPr>
        <w:t>Article II</w:t>
      </w:r>
      <w:r>
        <w:rPr>
          <w:rFonts w:ascii="Times New Roman" w:hAnsi="Times New Roman"/>
          <w:sz w:val="20"/>
        </w:rPr>
        <w:t xml:space="preserve"> upon conversion of any FBB Common Stock shall be deemed to have been issued and paid in full satisfaction of all rights pertaining to such shares. From and after the Effective Time, (i) all holders of any FBB Common Stock shall cease to have any rights as stockholders of FBB other than the right to receive the Merger Consideration and any dividends or other distributions that holders have the right to receive upon surrender of such Certificates or Book Entry-Shares in accordance with </w:t>
      </w:r>
      <w:r>
        <w:rPr>
          <w:rFonts w:ascii="Times New Roman" w:hAnsi="Times New Roman"/>
          <w:sz w:val="20"/>
          <w:u w:val="single"/>
        </w:rPr>
        <w:t>Section 2.02(d)</w:t>
      </w:r>
      <w:r>
        <w:rPr>
          <w:rFonts w:ascii="Times New Roman" w:hAnsi="Times New Roman"/>
          <w:sz w:val="20"/>
        </w:rPr>
        <w:t xml:space="preserve">, without interest, and (ii) the share registry of FBB shall be closed with respect to all FBB Common Stock outstanding immediately prior to the Effective Time. From and after the Effective Time, there shall be no further registration of transfers on the share registry of the Surviving Company of FBB Common Stock that were outstanding immediately prior to the Effective Time and FBB Common Stock outstanding immediately prior to the Effective Time shall, from and after the Effective Time, be deemed for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purposes to evidence solely the right in accordance with the terms of this Agreement to receive the allocable Merger Consideration. If, after the Effective Time, any Certificates or Book Entry-Shares formerly representing FBB Common Stock are presented to DXL, the Surviving Company or the Exchange Agent for any reason, such Certificates or Book Entry-Shares shall be canceled and exchanged as provided in this </w:t>
      </w:r>
      <w:r>
        <w:rPr>
          <w:rFonts w:ascii="Times New Roman" w:hAnsi="Times New Roman"/>
          <w:sz w:val="20"/>
          <w:u w:val="single"/>
        </w:rPr>
        <w:t>Article</w:t>
      </w:r>
      <w:r>
        <w:rPr>
          <w:rFonts w:ascii="Times New Roman" w:hAnsi="Times New Roman"/>
          <w:sz w:val="20"/>
        </w:rPr>
        <w:t xml:space="preserve"> II.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Exchange Fund</w:t>
      </w:r>
      <w:r>
        <w:rPr>
          <w:rFonts w:ascii="Times New Roman" w:hAnsi="Times New Roman"/>
          <w:sz w:val="20"/>
        </w:rPr>
        <w:t xml:space="preserve">. Any portion of the Exchange Fund (including any interest or other amounts received with respect thereto) that remains unclaimed by, or otherwise undistributed to, the holders of Certificates or Book Entry-Shares by the date that is twelve (12) months after the Effective Time shall be delivered to DXL, upon demand, and any holder of Certificates or Book Entry-Shares who has not theretofore complied with this </w:t>
      </w:r>
      <w:r>
        <w:rPr>
          <w:rFonts w:ascii="Times New Roman" w:hAnsi="Times New Roman"/>
          <w:sz w:val="20"/>
          <w:u w:val="single"/>
        </w:rPr>
        <w:t>Article II</w:t>
      </w:r>
      <w:r>
        <w:rPr>
          <w:rFonts w:ascii="Times New Roman" w:hAnsi="Times New Roman"/>
          <w:sz w:val="20"/>
        </w:rPr>
        <w:t xml:space="preserve"> shall thereafter look only to DXL for satisfaction of its claim for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None of DXL, Merger Sub, FBB or the Exchange Agent shall be liable to any Person in respect of any portion of the Exchange Fund or the Merger Consideration delivered to a public official pursuant to any applicable abandoned property, escheat or similar Law. If any Certificate has not been surrendered prior to the date on which the Merger Consideration to be paid in respect of such Certificate would otherwise escheat to or become the property of any Governmental Entity, any Merger Consideration to be paid in respect of such Certificate or Book Entry- Share shall, to the extent permitted by applicable Law, immediately prior to such time become the property of DXL,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Withholding Rights</w:t>
      </w:r>
      <w:r>
        <w:rPr>
          <w:rFonts w:ascii="Times New Roman" w:hAnsi="Times New Roman"/>
          <w:sz w:val="20"/>
        </w:rPr>
        <w:t>. Each of DXL, the Exchange Agent, or anyone on their behalf (each a “</w:t>
      </w:r>
      <w:r>
        <w:rPr>
          <w:rFonts w:ascii="Times New Roman" w:hAnsi="Times New Roman"/>
          <w:sz w:val="20"/>
          <w:u w:val="single"/>
        </w:rPr>
        <w:t>Payor</w:t>
      </w:r>
      <w:r>
        <w:rPr>
          <w:rFonts w:ascii="Times New Roman" w:hAnsi="Times New Roman"/>
          <w:sz w:val="20"/>
        </w:rPr>
        <w:t xml:space="preserve">”) (without duplication) shall be entitled to deduct and withhold from any consideration otherwise payable or deliverable to any Person pursuant to this Agreement such amounts as may be required to be deducted and withheld with respect to the making of such payment under any applicable Tax Law; provided, however, that a Payor that intends to withhold shall use commercially reasonable efforts to provide FBB with reasonable advance notice of any such withholding (other than where such deduction or withholding is with respect to an amount treated as compensation under the Code or is due to a failure of the payee to provide any applicable Tax forms required under the letter of transmittal described under </w:t>
      </w:r>
      <w:r>
        <w:rPr>
          <w:rFonts w:ascii="Times New Roman" w:hAnsi="Times New Roman"/>
          <w:sz w:val="20"/>
          <w:u w:val="single"/>
        </w:rPr>
        <w:t>Section 2.02(c)</w:t>
      </w:r>
      <w:r>
        <w:rPr>
          <w:rFonts w:ascii="Times New Roman" w:hAnsi="Times New Roman"/>
          <w:sz w:val="20"/>
        </w:rPr>
        <w:t xml:space="preserve"> or the failure of FBB to provide the certificate described in </w:t>
      </w:r>
      <w:r>
        <w:rPr>
          <w:rFonts w:ascii="Times New Roman" w:hAnsi="Times New Roman"/>
          <w:sz w:val="20"/>
          <w:u w:val="single"/>
        </w:rPr>
        <w:t>Section 6.08(b)</w:t>
      </w:r>
      <w:r>
        <w:rPr>
          <w:rFonts w:ascii="Times New Roman" w:hAnsi="Times New Roman"/>
          <w:sz w:val="20"/>
        </w:rPr>
        <w:t xml:space="preserve">) and shall reasonably cooperate with FBB to eliminate or reduce any such required deduction or withholding. Any amounts so deducted, withheld and paid over to the appropriate taxing authority shall be treated for all purposes of this Agreement as having been paid to the Person in respect of which such deduction or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Lost or Unissued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and, if reasonably required by the Exchange Agent, the posting by such Person of a bond, in such reasonable amount as DXL or the Exchange Agent may direct, as indemnity against any claim that may be made against it with respect to such Certificate, the Exchange Agent shall deliver, in exchange for such lost, stolen or destroyed Certificate, the Merger Consideration and any cash in respect of any dividends or distributions that the holder has the right to receive pursuant to </w:t>
      </w:r>
      <w:r>
        <w:rPr>
          <w:rFonts w:ascii="Times New Roman" w:hAnsi="Times New Roman"/>
          <w:sz w:val="20"/>
          <w:u w:val="single"/>
        </w:rPr>
        <w:t>Section 2.02(d)</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14" w:name="anxa76201_11"/>
      <w:bookmarkEnd w:id="114"/>
      <w:r>
        <w:rPr>
          <w:rFonts w:ascii="Times New Roman" w:hAnsi="Times New Roman"/>
          <w:b/>
          <w:sz w:val="20"/>
        </w:rPr>
        <w:t xml:space="preserve">SECTION 2.03 </w:t>
      </w:r>
      <w:r>
        <w:rPr>
          <w:rFonts w:ascii="Times New Roman" w:hAnsi="Times New Roman"/>
          <w:b/>
          <w:sz w:val="20"/>
          <w:u w:val="single"/>
        </w:rPr>
        <w:t>Stock Transfer Books</w:t>
      </w:r>
      <w:r>
        <w:rPr>
          <w:rFonts w:ascii="Times New Roman" w:hAnsi="Times New Roman"/>
          <w:sz w:val="20"/>
        </w:rPr>
        <w:t xml:space="preserve">. At the Effective Time, the stock transfer books of FBB shall be closed and there shall be no further registration of transfers of FBB Common Stock thereafter on the records of FBB. From and after the Effective Time, the holders of Certificates representing FBB Common Stock or Book-Entry Shares outstanding immediately prior to the Effective Time shall cease to have any rights with respect to such FBB Common Stock or Book-Entry Shares, except as otherwise provided in this Agreement or by Law. On or after the Effective Time, any Certificates presented to the Exchange Agent or DXL for any reason shall be cancelled and exchanged as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5" w:name="anxa76201_12"/>
      <w:bookmarkEnd w:id="115"/>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DXL AND MERGER SUB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DXL Disclosure Schedule (it being understood that any disclosure set forth in one section or subsection of the DXL Disclosure Schedule 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or as disclosed or identified in the DXL SEC Reports publicly available on the SEC’s Electronic Data Gathering Analysis and Retrieval System at least two Business Days before the date of this Agreement (excluding (1) any forward-looking disclosures contained in the “Forward-Looking Statements” and “Risk Factors” sections of the DXL SEC Reports, but including any historical or factual matters disclosed in such sections, and (2) any other statement or other disclosure that is similarly predictive or forward-looking), DXL and Merger Sub hereby represent and warrant to FBB as follows: </w:t>
      </w:r>
    </w:p>
    <w:p>
      <w:pPr>
        <w:pStyle w:val="TextBody"/>
        <w:bidi w:val="0"/>
        <w:spacing w:before="240" w:after="0"/>
        <w:jc w:val="left"/>
        <w:rPr>
          <w:rFonts w:ascii="Times New Roman" w:hAnsi="Times New Roman"/>
          <w:sz w:val="20"/>
        </w:rPr>
      </w:pPr>
      <w:bookmarkStart w:id="116" w:name="anxa76201_13"/>
      <w:bookmarkEnd w:id="116"/>
      <w:r>
        <w:rPr>
          <w:rFonts w:ascii="Times New Roman" w:hAnsi="Times New Roman"/>
          <w:b/>
          <w:sz w:val="20"/>
        </w:rPr>
        <w:t xml:space="preserve">SECTION 3.01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DXL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DXL is a company duly incorporated, validly existing and in good standing under the laws of the State of Delaware. DXL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(ii) A true and complete copy of each of the DXL Charter and DXL Bylaws has previously been made available to FBB. DXL is not in violation of any of the provisions of the DXL Charter or DXL Bylaws. </w:t>
      </w:r>
    </w:p>
    <w:p>
      <w:pPr>
        <w:pStyle w:val="TextBody"/>
        <w:bidi w:val="0"/>
        <w:spacing w:before="240" w:after="0"/>
        <w:jc w:val="left"/>
        <w:rPr>
          <w:rFonts w:ascii="Times New Roman" w:hAnsi="Times New Roman"/>
          <w:sz w:val="20"/>
        </w:rPr>
      </w:pPr>
      <w:r>
        <w:rPr>
          <w:rFonts w:ascii="Times New Roman" w:hAnsi="Times New Roman"/>
          <w:sz w:val="20"/>
        </w:rPr>
        <w:t xml:space="preserve">(iii) Each DXL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 (B)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true and complete copy of the certificate of incorporation of Merger Sub, as amended and in effect as of the date of this Agreement, has previously been made available to FBB. </w:t>
      </w:r>
    </w:p>
    <w:p>
      <w:pPr>
        <w:pStyle w:val="TextBody"/>
        <w:bidi w:val="0"/>
        <w:spacing w:before="240" w:after="0"/>
        <w:jc w:val="left"/>
        <w:rPr>
          <w:rFonts w:ascii="Times New Roman" w:hAnsi="Times New Roman"/>
          <w:sz w:val="20"/>
        </w:rPr>
      </w:pPr>
      <w:r>
        <w:rPr>
          <w:rFonts w:ascii="Times New Roman" w:hAnsi="Times New Roman"/>
          <w:sz w:val="20"/>
        </w:rPr>
        <w:t xml:space="preserve">(ii) Merger Sub is a company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 and the other Transactions. </w:t>
      </w:r>
    </w:p>
    <w:p>
      <w:pPr>
        <w:pStyle w:val="TextBody"/>
        <w:bidi w:val="0"/>
        <w:spacing w:before="240" w:after="0"/>
        <w:jc w:val="left"/>
        <w:rPr>
          <w:rFonts w:ascii="Times New Roman" w:hAnsi="Times New Roman"/>
          <w:sz w:val="20"/>
        </w:rPr>
      </w:pPr>
      <w:bookmarkStart w:id="117" w:name="anxa76201_14"/>
      <w:bookmarkEnd w:id="117"/>
      <w:r>
        <w:rPr>
          <w:rFonts w:ascii="Times New Roman" w:hAnsi="Times New Roman"/>
          <w:b/>
          <w:sz w:val="20"/>
        </w:rPr>
        <w:t xml:space="preserve">SECTION 3.02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 The authorized share capital of DXL is 126,000,000 shares of capital stock, consisting of 125,000,000 shares of DXL Common Stock and 1,000,000 shares of DXL Preferred Stock (together, the “</w:t>
      </w:r>
      <w:r>
        <w:rPr>
          <w:rFonts w:ascii="Times New Roman" w:hAnsi="Times New Roman"/>
          <w:sz w:val="20"/>
          <w:u w:val="single"/>
        </w:rPr>
        <w:t>DXL Capital Stock</w:t>
      </w:r>
      <w:r>
        <w:rPr>
          <w:rFonts w:ascii="Times New Roman" w:hAnsi="Times New Roman"/>
          <w:sz w:val="20"/>
        </w:rPr>
        <w:t xml:space="preserve">”). As of the date of this Agreement, there were (1) 54,656,415 shares of DXL Common Stock issued and outstanding (not including shares held in treasury), (2) 25,908,333 shares of DXL Common Stock held in the treasury of DXL or by its Subsidiaries, (3) 2,961,796 shares of DXL Common Stock subject to outstanding DXL Options, all of which are exercisable, (4) 1,257,986 shares of DXL Common Stock subject to outstanding DXL Restricted Stock Unit Awards, (5) 589,357 shares of DXL Common Stock subject to DXL Deferred Stock Awards, (6) 573,000 shares of DXL Common Stock subject to outstanding DXL Performance Share Awards, and (7) no shares of DXL Preferred Stock issued and outstanding. Except as set forth in the second sentence of this </w:t>
      </w:r>
      <w:r>
        <w:rPr>
          <w:rFonts w:ascii="Times New Roman" w:hAnsi="Times New Roman"/>
          <w:sz w:val="20"/>
          <w:u w:val="single"/>
        </w:rPr>
        <w:t>Section 3.02(a)(i)</w:t>
      </w:r>
      <w:r>
        <w:rPr>
          <w:rFonts w:ascii="Times New Roman" w:hAnsi="Times New Roman"/>
          <w:sz w:val="20"/>
        </w:rPr>
        <w:t xml:space="preserve">, (i) there are no outstanding or authorized restricted stock, restricted stock unit, stock appreciation right, phantom stock or other equity-based compensation awards with respect to DXL Common Stock, (ii) no other Equity Interests of DXL were issued, reserved for issuance or outstanding, and (iii) DXL has no other options, warrants, calls, pre-emptive rights, subscriptions or other rights, Contracts, arrangements or commitments of any kind, including any stockholder rights plan, relating to, or the value of which is determined in reference to, the issued or unissued DXL Capital Stock (or any other Equity Interest of DXL) or the Equity Interests of any DXL Subsidiary, obligating DXL or any DXL Subsidiary to issue, transfer or sell, or cause to be issued, transferred or sold, any Equity Interests of DXL or any DXL Subsidiary. All of the issued and outstanding shares of DXL Capital Stock are duly authorized and validly issued and fully paid, nonassessable and not subject to or issued in violation of any purchase option, call option, right of first refusal, preemptive right, subscription right or any similar right under any provision of the DGCL, the DXL Charter or any Contract to which DXL is a party or by which it is otherwise bound.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DXL having the right to vote on any matters on which stockholders may vote (“</w:t>
      </w:r>
      <w:r>
        <w:rPr>
          <w:rFonts w:ascii="Times New Roman" w:hAnsi="Times New Roman"/>
          <w:sz w:val="20"/>
          <w:u w:val="single"/>
        </w:rPr>
        <w:t>DXL Voting Debt</w:t>
      </w:r>
      <w:r>
        <w:rPr>
          <w:rFonts w:ascii="Times New Roman" w:hAnsi="Times New Roman"/>
          <w:sz w:val="20"/>
        </w:rPr>
        <w:t xml:space="preserve">”) are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(c) Except for the Equity Interests of the DXL Subsidiaries, which are identified by name, jurisdiction of incorporation or formation, and ownership thereof (including the percentage of such ownership) on </w:t>
      </w:r>
      <w:r>
        <w:rPr>
          <w:rFonts w:ascii="Times New Roman" w:hAnsi="Times New Roman"/>
          <w:sz w:val="20"/>
          <w:u w:val="single"/>
        </w:rPr>
        <w:t>Section 3.02(c)</w:t>
      </w:r>
      <w:r>
        <w:rPr>
          <w:rFonts w:ascii="Times New Roman" w:hAnsi="Times New Roman"/>
          <w:sz w:val="20"/>
        </w:rPr>
        <w:t xml:space="preserve"> of the DXL Disclosure Schedule, DXL does not own, beneficially or of record, directly or indirectly any Equity Interests in any Person, nor does DXL or any DXL Subsidiary have any Contract or other obligation requiring that DXL or any DXL Subsidiary acquire any Equity Interest in any Person. </w:t>
      </w:r>
    </w:p>
    <w:p>
      <w:pPr>
        <w:pStyle w:val="TextBody"/>
        <w:bidi w:val="0"/>
        <w:spacing w:before="240" w:after="0"/>
        <w:jc w:val="left"/>
        <w:rPr>
          <w:rFonts w:ascii="Times New Roman" w:hAnsi="Times New Roman"/>
          <w:sz w:val="20"/>
        </w:rPr>
      </w:pPr>
      <w:bookmarkStart w:id="118" w:name="anxa76201_15"/>
      <w:bookmarkEnd w:id="118"/>
      <w:r>
        <w:rPr>
          <w:rFonts w:ascii="Times New Roman" w:hAnsi="Times New Roman"/>
          <w:b/>
          <w:sz w:val="20"/>
        </w:rPr>
        <w:t xml:space="preserve">SECTION 3.03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has full corporate power and authority to execute and deliver this Agreement and to perform its obligations hereunder and, subject to receipt of the Required DXL Stockholder Vote, to consummate the Merger and the other Transactions hereunder. The execution and delivery of this Agreement and the consummation of the Merger and the other Transactions have been duly and validly approved and adopted by the DXL Board. The DXL Board (at meetings duly called and held) has: (a) determined that the Transactions are fair to, advisable and in the best interests of DXL and its stockholders; (b) approved and declared advisable this Agreement and the Transactions, including the issuance of the Merger Consideration pursuant to the terms of this Agreement; and (c) determined to recommend, upon the terms and subject to the conditions set forth in this Agreement, that the stockholders of DXL vote to approve the DXL Stockholder Matters. This Agreement has been duly and validly executed and delivered by DXL and (assuming due authorization, execution and delivery by the other parties hereto) constitutes the valid and binding obligation of DXL, enforceable against DXL in accordance with its terms (except as may be limited by bankruptcy, insolvency, moratorium, reorganization or other Laws affecting the rights of creditors generally and the availability of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affirmative vote of a majority of the votes cast at a meeting of the holders of DXL Common Stock to approve the issuance of DXL Common Stock as the Merger Consideration pursuant to the terms of this Agreement (the “</w:t>
      </w:r>
      <w:r>
        <w:rPr>
          <w:rFonts w:ascii="Times New Roman" w:hAnsi="Times New Roman"/>
          <w:sz w:val="20"/>
          <w:u w:val="single"/>
        </w:rPr>
        <w:t>DXL Stockholder Matters</w:t>
      </w:r>
      <w:r>
        <w:rPr>
          <w:rFonts w:ascii="Times New Roman" w:hAnsi="Times New Roman"/>
          <w:sz w:val="20"/>
        </w:rPr>
        <w:t>,” and such meeting, the “</w:t>
      </w:r>
      <w:r>
        <w:rPr>
          <w:rFonts w:ascii="Times New Roman" w:hAnsi="Times New Roman"/>
          <w:sz w:val="20"/>
          <w:u w:val="single"/>
        </w:rPr>
        <w:t>DXL Stockholders</w:t>
      </w:r>
      <w:r>
        <w:rPr>
          <w:rFonts w:ascii="Times New Roman" w:hAnsi="Times New Roman"/>
          <w:sz w:val="20"/>
        </w:rPr>
        <w:t xml:space="preserve"> </w:t>
      </w:r>
      <w:r>
        <w:rPr>
          <w:rFonts w:ascii="Times New Roman" w:hAnsi="Times New Roman"/>
          <w:sz w:val="20"/>
          <w:u w:val="single"/>
        </w:rPr>
        <w:t>Meeting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is the only vote of the holders of any Equity Interests of DXL necessary to approve the Merger and the Transactions, including the issuance of the Merger Consideration pursuant to the terms of this Agreement (the “</w:t>
      </w:r>
      <w:r>
        <w:rPr>
          <w:rFonts w:ascii="Times New Roman" w:hAnsi="Times New Roman"/>
          <w:sz w:val="20"/>
          <w:u w:val="single"/>
        </w:rPr>
        <w:t>Required DXL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Neither the execution and delivery of this Agreement by DXL and Merger Sub nor the consummation by DXL and Merger Sub of the Merger or the other Transactions, nor compliance by DXL and Merger Sub with any of the terms or provisions of this Agreement, will (i) violate any provision of the DXL Charter or DXL Bylaws or the certificate of incorporation or bylaws of Merger Sub or (ii) assuming that the consents, approvals and filings referred to in </w:t>
      </w:r>
      <w:r>
        <w:rPr>
          <w:rFonts w:ascii="Times New Roman" w:hAnsi="Times New Roman"/>
          <w:sz w:val="20"/>
          <w:u w:val="single"/>
        </w:rPr>
        <w:t>Section 3.04</w:t>
      </w:r>
      <w:r>
        <w:rPr>
          <w:rFonts w:ascii="Times New Roman" w:hAnsi="Times New Roman"/>
          <w:sz w:val="20"/>
        </w:rPr>
        <w:t xml:space="preserve"> are duly obtained and/or made, (A) violate any order, injunction or decree issued by any court or agency of competent jurisdiction or other legal restraint or prohibition (an “</w:t>
      </w:r>
      <w:r>
        <w:rPr>
          <w:rFonts w:ascii="Times New Roman" w:hAnsi="Times New Roman"/>
          <w:sz w:val="20"/>
          <w:u w:val="single"/>
        </w:rPr>
        <w:t>Injunction</w:t>
      </w:r>
      <w:r>
        <w:rPr>
          <w:rFonts w:ascii="Times New Roman" w:hAnsi="Times New Roman"/>
          <w:sz w:val="20"/>
        </w:rPr>
        <w:t xml:space="preserve">”) or any statute, code, ordinance, rule, regulation, judgment, order, writ or decree applicable to DXL, any of the DXL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DXL or any of the DXL Subsidiaries under, any of the terms, conditions or provisions of any Contract, note, bond, mortgage, indenture, deed of trust, DXL License, lease, agreement or other instrument or obligation to which DXL or any of the DXL Subsidiaries is a party, or by which they or any of their respective properties or assets may be bound or affected, other than, in the case of clause (ii), that would not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Merger Sub has full corporate power and authority to execute and deliver this Agreement, to consummate the Merger and the other Transactions and to perform its obligations hereunder. The execution and delivery of this Agreement and the consummation of the Merger and the other Transactions have been duly and validly approved by the board of directors of Merger Sub. The board of directors of Merger Sub has determined that this Agreement, the Merger and the other Transactions are in the best interests of Merger Sub and its sole stockholder, and that considering the financial position of Merger Sub and FBB, no reasonable concern exists that the Surviving Company will be unable to fulfill both the obligations of Merger Sub to its creditors, adopted this Agreement, recommended that its sole stockholder vote in favor of the approval of this Agreement and directed that this Agreement be submitted to its sole stockholder for approval in connection with the consummation of the Merger and the other Transactions. Except for the approval of this Agreement by DXL as the sole stockholder of Merger Sub, no other corporate proceeding on the part of Merger Sub or any other vote by the sole stockholder of Merger Sub is necessary to approve or adopt this Agreement or to consummate the Merger and the other Transactions (except for the filing of the appropriate merger documents as required by the DGCL). This Agreement has been duly and validly executed and delivered by Merger Sub and (assuming due authorization, execution and delivery by the other parties hereto) constitutes the valid and binding obligation of Merger Sub enforceable against Merger Sub in accordance with its terms, subject to the Enforceability Exceptions. </w:t>
      </w:r>
    </w:p>
    <w:p>
      <w:pPr>
        <w:pStyle w:val="TextBody"/>
        <w:bidi w:val="0"/>
        <w:spacing w:before="240" w:after="0"/>
        <w:jc w:val="left"/>
        <w:rPr>
          <w:rFonts w:ascii="Times New Roman" w:hAnsi="Times New Roman"/>
          <w:sz w:val="20"/>
        </w:rPr>
      </w:pPr>
      <w:bookmarkStart w:id="119" w:name="anxa76201_16"/>
      <w:bookmarkEnd w:id="119"/>
      <w:r>
        <w:rPr>
          <w:rFonts w:ascii="Times New Roman" w:hAnsi="Times New Roman"/>
          <w:b/>
          <w:sz w:val="20"/>
        </w:rPr>
        <w:t xml:space="preserve">SECTION 3.04 </w:t>
      </w:r>
      <w:r>
        <w:rPr>
          <w:rFonts w:ascii="Times New Roman" w:hAnsi="Times New Roman"/>
          <w:b/>
          <w:sz w:val="20"/>
          <w:u w:val="single"/>
        </w:rPr>
        <w:t>Consents and Approvals</w:t>
      </w:r>
      <w:r>
        <w:rPr>
          <w:rFonts w:ascii="Times New Roman" w:hAnsi="Times New Roman"/>
          <w:sz w:val="20"/>
        </w:rPr>
        <w:t>. Except for (a) the furnishing with the SEC of the Proxy Statement, and the filing with the SEC of such other reports required in connection with the Merger and the other Transactions under, and such other compliance with, the Exchange Act and the Securities Act, (b) the filing of the Certificate of Merger in accordance with the DGCL, (c) compliance with notices and filings, if any, under all applicable antitrust Laws and all other applicable Laws issued by a Governmental Entity that are designed or intended to prohibit, restrict or regulate actions having the purpose or effect of monopolization or restraint of trade or lessening of competition through merger or acquisition (collectively, “</w:t>
      </w:r>
      <w:r>
        <w:rPr>
          <w:rFonts w:ascii="Times New Roman" w:hAnsi="Times New Roman"/>
          <w:sz w:val="20"/>
          <w:u w:val="single"/>
        </w:rPr>
        <w:t>Antitrust Laws</w:t>
      </w:r>
      <w:r>
        <w:rPr>
          <w:rFonts w:ascii="Times New Roman" w:hAnsi="Times New Roman"/>
          <w:sz w:val="20"/>
        </w:rPr>
        <w:t>”), (d) such filings and approvals as are required to be made or obtained under the securities or “Blue Sky” laws of various states in connection with the issuance of DXL Common Stock constituting the Merger Consideration, (e) any filings required under the rules and regulations of The Nasdaq Stock Market, Inc. (“</w:t>
      </w:r>
      <w:r>
        <w:rPr>
          <w:rFonts w:ascii="Times New Roman" w:hAnsi="Times New Roman"/>
          <w:sz w:val="20"/>
          <w:u w:val="single"/>
        </w:rPr>
        <w:t>Nasdaq</w:t>
      </w:r>
      <w:r>
        <w:rPr>
          <w:rFonts w:ascii="Times New Roman" w:hAnsi="Times New Roman"/>
          <w:sz w:val="20"/>
        </w:rPr>
        <w:t xml:space="preserve">”) (including, inter alia, to permit the DXL Common Stock that are to be issued as the Merger Consideration to be listed thereon) and (f) such approvals, consents, authorizations, declarations, filings or registrations the failure of which to be obtained or made would not have, individually or in the aggregate, a Material Adverse Effect on DXL,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consents, approvals of, filings or registrations with, or orders, authorizations or authority of any federal, state, local or foreign government, court of competent jurisdiction, agency, commission, department, bureau, tribunal, board or other governmental authority, regulatory commission or instrumentality (each, a “</w:t>
      </w:r>
      <w:r>
        <w:rPr>
          <w:rFonts w:ascii="Times New Roman" w:hAnsi="Times New Roman"/>
          <w:sz w:val="20"/>
          <w:u w:val="single"/>
        </w:rPr>
        <w:t>Governmental Entity</w:t>
      </w:r>
      <w:r>
        <w:rPr>
          <w:rFonts w:ascii="Times New Roman" w:hAnsi="Times New Roman"/>
          <w:sz w:val="20"/>
        </w:rPr>
        <w:t xml:space="preserve">”) are necessary in connection with (i) the execution and delivery by DXL and Merger Sub of this Agreement and (ii) the consummation by DXL and Merger Sub of the Transactions. </w:t>
      </w:r>
    </w:p>
    <w:p>
      <w:pPr>
        <w:pStyle w:val="TextBody"/>
        <w:bidi w:val="0"/>
        <w:spacing w:before="240" w:after="0"/>
        <w:jc w:val="left"/>
        <w:rPr>
          <w:rFonts w:ascii="Times New Roman" w:hAnsi="Times New Roman"/>
          <w:sz w:val="20"/>
        </w:rPr>
      </w:pPr>
      <w:bookmarkStart w:id="120" w:name="anxa76201_17"/>
      <w:bookmarkEnd w:id="120"/>
      <w:r>
        <w:rPr>
          <w:rFonts w:ascii="Times New Roman" w:hAnsi="Times New Roman"/>
          <w:b/>
          <w:sz w:val="20"/>
        </w:rPr>
        <w:t xml:space="preserve">SECTION 3.05 </w:t>
      </w:r>
      <w:r>
        <w:rPr>
          <w:rFonts w:ascii="Times New Roman" w:hAnsi="Times New Roman"/>
          <w:b/>
          <w:sz w:val="20"/>
          <w:u w:val="single"/>
        </w:rPr>
        <w:t>Reports</w:t>
      </w:r>
      <w:r>
        <w:rPr>
          <w:rFonts w:ascii="Times New Roman" w:hAnsi="Times New Roman"/>
          <w:sz w:val="20"/>
        </w:rPr>
        <w:t>. DXL and each of the DXL Subsidiaries have timely filed all submissions, reports, registrations, schedules, forms, statements and other documents, together with any amendments required to be made with respect thereto and all exhibits and other information incorporated therein, that they were required to file since January 29, 2023, with (a) the SEC (all such documents filed with, or furnished to, the SEC, the “</w:t>
      </w:r>
      <w:r>
        <w:rPr>
          <w:rFonts w:ascii="Times New Roman" w:hAnsi="Times New Roman"/>
          <w:sz w:val="20"/>
          <w:u w:val="single"/>
        </w:rPr>
        <w:t>DXL SEC Reports</w:t>
      </w:r>
      <w:r>
        <w:rPr>
          <w:rFonts w:ascii="Times New Roman" w:hAnsi="Times New Roman"/>
          <w:sz w:val="20"/>
        </w:rPr>
        <w:t xml:space="preserve">”), (b) any state or other federal regulatory authority (other than any Tax Authority, which is covered by </w:t>
      </w:r>
      <w:r>
        <w:rPr>
          <w:rFonts w:ascii="Times New Roman" w:hAnsi="Times New Roman"/>
          <w:sz w:val="20"/>
          <w:u w:val="single"/>
        </w:rPr>
        <w:t>Section 3.10</w:t>
      </w:r>
      <w:r>
        <w:rPr>
          <w:rFonts w:ascii="Times New Roman" w:hAnsi="Times New Roman"/>
          <w:sz w:val="20"/>
        </w:rPr>
        <w:t xml:space="preserve">) and (c) any foreign regulatory authority (other than any Tax Authority, which is covered by </w:t>
      </w:r>
      <w:r>
        <w:rPr>
          <w:rFonts w:ascii="Times New Roman" w:hAnsi="Times New Roman"/>
          <w:sz w:val="20"/>
          <w:u w:val="single"/>
        </w:rPr>
        <w:t>Section 3.10</w:t>
      </w:r>
      <w:r>
        <w:rPr>
          <w:rFonts w:ascii="Times New Roman" w:hAnsi="Times New Roman"/>
          <w:sz w:val="20"/>
        </w:rPr>
        <w:t>) (collectively, “</w:t>
      </w:r>
      <w:r>
        <w:rPr>
          <w:rFonts w:ascii="Times New Roman" w:hAnsi="Times New Roman"/>
          <w:sz w:val="20"/>
          <w:u w:val="single"/>
        </w:rPr>
        <w:t>Regulatory Agencies</w:t>
      </w:r>
      <w:r>
        <w:rPr>
          <w:rFonts w:ascii="Times New Roman" w:hAnsi="Times New Roman"/>
          <w:sz w:val="20"/>
        </w:rPr>
        <w:t>”), and have paid all fees and assessments due and payable in connection therewith, except in each case where the failure to file such report, registration, schedule, form, statement or other document, or to pay such fees or assessments, would not, individually or in the aggregate, reasonably be expected to be material to DXL or any of the DXL Subsidiaries. As of their respective dates, the DXL SEC Reports (i) did not contain any untrue statement of a material fact or omit to state a material fact required to be stated therein or necessary in order to make the statements made therein, in light of the circumstances under which they were made, not misleading and (ii) complied as to form in all material respects with the applicable requirements of the Exchange Act or the Securities Act, as the case may be, the Sarbanes-Oxley Act of 2002 (the “</w:t>
      </w:r>
      <w:r>
        <w:rPr>
          <w:rFonts w:ascii="Times New Roman" w:hAnsi="Times New Roman"/>
          <w:sz w:val="20"/>
          <w:u w:val="single"/>
        </w:rPr>
        <w:t>Sarbanes-</w:t>
      </w:r>
      <w:r>
        <w:rPr>
          <w:rFonts w:ascii="Times New Roman" w:hAnsi="Times New Roman"/>
          <w:sz w:val="20"/>
        </w:rPr>
        <w:t xml:space="preserve"> </w:t>
      </w:r>
      <w:r>
        <w:rPr>
          <w:rFonts w:ascii="Times New Roman" w:hAnsi="Times New Roman"/>
          <w:sz w:val="20"/>
          <w:u w:val="single"/>
        </w:rPr>
        <w:t>Oxley Act</w:t>
      </w:r>
      <w:r>
        <w:rPr>
          <w:rFonts w:ascii="Times New Roman" w:hAnsi="Times New Roman"/>
          <w:sz w:val="20"/>
        </w:rPr>
        <w:t xml:space="preserve">”) and the applicable rules and regulations of the SEC thereunder. None of the DXL Subsidiaries is currently required to file any forms, reports or other documents with the SEC. As of the date hereof, DXL does not have any unresolved comments from the SEC with respect to the DXL SEC Reports. </w:t>
      </w:r>
    </w:p>
    <w:p>
      <w:pPr>
        <w:pStyle w:val="TextBody"/>
        <w:bidi w:val="0"/>
        <w:spacing w:before="240" w:after="0"/>
        <w:jc w:val="left"/>
        <w:rPr>
          <w:rFonts w:ascii="Times New Roman" w:hAnsi="Times New Roman"/>
          <w:sz w:val="20"/>
        </w:rPr>
      </w:pPr>
      <w:bookmarkStart w:id="121" w:name="anxa76201_18"/>
      <w:bookmarkEnd w:id="121"/>
      <w:r>
        <w:rPr>
          <w:rFonts w:ascii="Times New Roman" w:hAnsi="Times New Roman"/>
          <w:b/>
          <w:sz w:val="20"/>
        </w:rPr>
        <w:t xml:space="preserve">SECTION 3.06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consolidated financial statements of DXL filed in, or furnished with, the DXL SEC Reports have been prepared in accordance with generally accepted accounting principles in the United States (“</w:t>
      </w:r>
      <w:r>
        <w:rPr>
          <w:rFonts w:ascii="Times New Roman" w:hAnsi="Times New Roman"/>
          <w:sz w:val="20"/>
          <w:u w:val="single"/>
        </w:rPr>
        <w:t>GAAP</w:t>
      </w:r>
      <w:r>
        <w:rPr>
          <w:rFonts w:ascii="Times New Roman" w:hAnsi="Times New Roman"/>
          <w:sz w:val="20"/>
        </w:rPr>
        <w:t xml:space="preserve">”) consistently applied by DXL for the periods and at and as of the dates presented (except as may be indicated in the notes thereto or, in the case of unaudited statements, as permitted by the rules and regulations of the SEC), and fairly present in all material respects the consolidated financial position of DXL as of the dates thereof and the consolidated results of operations, changes in stockholders’ equity and cash flows for the periods then ended (subject to normal year-end adjustments in the case of any unaudited interim financial statements, none of which are material, individually or in the aggregate). Each of the consolidated financial statements of DXL (including all related notes or schedules) included in the DXL SEC Reports complied at the time it was filed as to form in all material respects with applicable accounting requirements and the published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(i) neither DXL nor any of its Subsidiaries nor, to the Knowledge of DXL, any director, officer, employee, auditor, accountant, consultant or Representative of DXL or any of its Subsidiaries has received or otherwise had or obtained Knowledge of any complaint, allegation, assertion or claim, whether written or oral, that DXL or any of its Subsidiaries has engaged in accounting or auditing practices in violation of applicable Law or applicable requirements of GAAP, and (ii) no current or former attorney representing DXL or any of its Subsidiaries has reported evidence of a material violation of securities Laws, breach of fiduciary duty or similar violation by DXL or any of its officers, directors, employees or agents to the board of directors of DXL or any committee thereof or to any director or executive officer of DXL.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its Subsidiaries (nor, to the Knowledge of DXL, any employee thereof) nor DXL’s independent auditors has identified or been made aware of any (i) significant deficiency or material weakness in the system of internal accounting controls utilized by DXL and its Subsidiaries; (ii) fraud, whether or not material, that involves DXL’s management or other employees who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a role in the preparation of financial statements or the internal accounting controls utilized by DXL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the consolidated balance sheet of DXL as of February 1, 2025, or the notes thereto, (ii) for liabilities and obligations incurred in the ordinary course of business consistent with past practice since the date of such balance sheet and (iii) for liabilities and obligations incurred in connection with this Agreement, DXL and its Subsidiaries do not have any liabilities that, individually or in the aggregate, are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Neither DXL nor any of its Subsidiaries is a party to, or has any commitment to become a party to, any joint venture, partnership agreement or any similar Contract (including any Contract relating to any transaction, arrangement or relationship between or among DXL or any of its Subsidiaries, on the one hand, and any unconsolidated Affiliate, including any structured finance, special purpose or limited purpose entity or Person, on the other hand), or any off-balance sheet arrangement, which, the case of any of the foregoing, would be required to be disclosed pursuant to Item 303(b)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(f) As of the date hereof, (i) to the Knowledge of DXL, no employee of DXL or any of its Subsidiaries has provided information to any law enforcement agency regarding the commission or possible commission of any crime or the violation or possible violation of any applicable Law of the type described in Section 806 of the Sarbanes-Oxley Act by DXL or any of its Subsidiaries and (ii) neither DXL nor any of its Subsidiaries nor, to the Knowledge of DXL, any director, officer, employee, contractor, subcontractor or agent of DXL or any such Subsidiary has discharged, demoted, suspended, threatened, harassed or in any other manner discriminated against an employee of DXL or any of its Subsidiaries in the terms and conditions of employment because of any lawful act of such employee described in Section 806 of the Sarbanes-Oxley Act. </w:t>
      </w:r>
    </w:p>
    <w:p>
      <w:pPr>
        <w:pStyle w:val="TextBody"/>
        <w:bidi w:val="0"/>
        <w:spacing w:before="240" w:after="0"/>
        <w:jc w:val="left"/>
        <w:rPr>
          <w:rFonts w:ascii="Times New Roman" w:hAnsi="Times New Roman"/>
          <w:sz w:val="20"/>
        </w:rPr>
      </w:pPr>
      <w:bookmarkStart w:id="122" w:name="anxa76201_19"/>
      <w:bookmarkEnd w:id="122"/>
      <w:r>
        <w:rPr>
          <w:rFonts w:ascii="Times New Roman" w:hAnsi="Times New Roman"/>
          <w:b/>
          <w:sz w:val="20"/>
        </w:rPr>
        <w:t xml:space="preserve">SECTION 3.07 </w:t>
      </w:r>
      <w:r>
        <w:rPr>
          <w:rFonts w:ascii="Times New Roman" w:hAnsi="Times New Roman"/>
          <w:b/>
          <w:sz w:val="20"/>
          <w:u w:val="single"/>
        </w:rPr>
        <w:t>Advisors’ Fees</w:t>
      </w:r>
      <w:r>
        <w:rPr>
          <w:rFonts w:ascii="Times New Roman" w:hAnsi="Times New Roman"/>
          <w:sz w:val="20"/>
        </w:rPr>
        <w:t>. None of DXL, any DXL Subsidiary or any of their respective officers or directors has employed any broker, finder, investment banker or financial advisor (each, an “</w:t>
      </w:r>
      <w:r>
        <w:rPr>
          <w:rFonts w:ascii="Times New Roman" w:hAnsi="Times New Roman"/>
          <w:sz w:val="20"/>
          <w:u w:val="single"/>
        </w:rPr>
        <w:t>Advisor</w:t>
      </w:r>
      <w:r>
        <w:rPr>
          <w:rFonts w:ascii="Times New Roman" w:hAnsi="Times New Roman"/>
          <w:sz w:val="20"/>
        </w:rPr>
        <w:t>”), or incurred any liability for any broker’s fees, commissions, finder’s fees or other Advisor fees, in connection with the Merger or other Transactions, other than Guggenheim Securities, LLC (“</w:t>
      </w:r>
      <w:r>
        <w:rPr>
          <w:rFonts w:ascii="Times New Roman" w:hAnsi="Times New Roman"/>
          <w:sz w:val="20"/>
          <w:u w:val="single"/>
        </w:rPr>
        <w:t>DXL’s Financial Advisor</w:t>
      </w:r>
      <w:r>
        <w:rPr>
          <w:rFonts w:ascii="Times New Roman" w:hAnsi="Times New Roman"/>
          <w:sz w:val="20"/>
        </w:rPr>
        <w:t xml:space="preserve">“). DXL retained DXL’s Financial Advisor pursuant to an engagement letter and has delivered to FBB a true and complete copy of such engagement letter. </w:t>
      </w:r>
    </w:p>
    <w:p>
      <w:pPr>
        <w:pStyle w:val="TextBody"/>
        <w:bidi w:val="0"/>
        <w:spacing w:before="240" w:after="0"/>
        <w:jc w:val="left"/>
        <w:rPr>
          <w:rFonts w:ascii="Times New Roman" w:hAnsi="Times New Roman"/>
          <w:sz w:val="20"/>
        </w:rPr>
      </w:pPr>
      <w:bookmarkStart w:id="123" w:name="anxa76201_20"/>
      <w:bookmarkEnd w:id="123"/>
      <w:r>
        <w:rPr>
          <w:rFonts w:ascii="Times New Roman" w:hAnsi="Times New Roman"/>
          <w:b/>
          <w:sz w:val="20"/>
        </w:rPr>
        <w:t xml:space="preserve">SECTION 3.08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February 1, 2025, through the date of this Agreement, no event or events or development or developments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February 1, 2025 through the date of this Agreement, DXL and the DXL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24" w:name="anxa76201_21"/>
      <w:bookmarkEnd w:id="124"/>
      <w:r>
        <w:rPr>
          <w:rFonts w:ascii="Times New Roman" w:hAnsi="Times New Roman"/>
          <w:b/>
          <w:sz w:val="20"/>
        </w:rPr>
        <w:t xml:space="preserve">SECTION 3.09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of the date hereof, none of DXL nor any of the DXL Subsidiaries is a party to any, and there are no pending or, to DXL’s Knowledge, threatened, legal, administrative, arbitral or other proceedings, claims, actions or governmental or regulatory investigations or reviews of any nature (collectively, “</w:t>
      </w:r>
      <w:r>
        <w:rPr>
          <w:rFonts w:ascii="Times New Roman" w:hAnsi="Times New Roman"/>
          <w:sz w:val="20"/>
          <w:u w:val="single"/>
        </w:rPr>
        <w:t>Proceedings</w:t>
      </w:r>
      <w:r>
        <w:rPr>
          <w:rFonts w:ascii="Times New Roman" w:hAnsi="Times New Roman"/>
          <w:sz w:val="20"/>
        </w:rPr>
        <w:t xml:space="preserve">”) against DXL or any of the DXL Subsidiaries, or, to DXL’s Knowledge, any of the directors, officers or employees of DXL of any of its Subsidiaries in their respective capacities as such; and, since January 30, 2022, neither DXL nor any of its Subsidiaries has settled or compromised any proceeding or claim, whether filed or threatened, which settlement or compromise is or was material to DXL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Injunction, judgment or regulatory restriction imposed upon DXL, any of the DXL Subsidiaries or the assets of DXL or any of the DXL Subsidiaries. </w:t>
      </w:r>
    </w:p>
    <w:p>
      <w:pPr>
        <w:pStyle w:val="TextBody"/>
        <w:bidi w:val="0"/>
        <w:spacing w:before="240" w:after="0"/>
        <w:jc w:val="left"/>
        <w:rPr>
          <w:rFonts w:ascii="Times New Roman" w:hAnsi="Times New Roman"/>
          <w:sz w:val="20"/>
        </w:rPr>
      </w:pPr>
      <w:bookmarkStart w:id="125" w:name="anxa76201_22"/>
      <w:bookmarkEnd w:id="125"/>
      <w:r>
        <w:rPr>
          <w:rFonts w:ascii="Times New Roman" w:hAnsi="Times New Roman"/>
          <w:b/>
          <w:sz w:val="20"/>
        </w:rPr>
        <w:t xml:space="preserve">SECTION 3.10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(i) All Tax Returns required by Law to be filed by DXL and the DXL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DXL and the DXL Subsidiaries and all other amounts of Taxes owed by DXL and the DXL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DXL and the DXL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DXL nor the DXL Subsidiaries is currently engaged in any audit, administrative or judicial proceeding with a Tax Authority with respect to Taxes. Neither DXL nor the DXL Subsidiaries has received any written notice from a Tax Authority of a proposed deficiency of any amount of Taxes other than any such deficiencies that have since been resolved. No written claim has been made by any Tax Authority in a jurisdiction where DXL or the DXL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DXL or the DXL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DXL nor the DXL Subsidiaries has constituted either a “distributing corporation” or a “controlled corporation” in a distribution of stock qualifying for tax-free treatment under Section 355 of the Code in the prior two (2) years. </w:t>
      </w:r>
    </w:p>
    <w:p>
      <w:pPr>
        <w:pStyle w:val="TextBody"/>
        <w:bidi w:val="0"/>
        <w:spacing w:before="240" w:after="0"/>
        <w:jc w:val="left"/>
        <w:rPr>
          <w:rFonts w:ascii="Times New Roman" w:hAnsi="Times New Roman"/>
          <w:sz w:val="20"/>
        </w:rPr>
      </w:pPr>
      <w:r>
        <w:rPr>
          <w:rFonts w:ascii="Times New Roman" w:hAnsi="Times New Roman"/>
          <w:sz w:val="20"/>
        </w:rPr>
        <w:t xml:space="preserve">(vi) Neither DXL nor the DXL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DXL nor the DXL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DXL nor the DXL Subsidiaries has any liability for the Taxes of any Person (other than the DXL or the DXL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(ix) Neither DXL nor the DXL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DXL and the DXL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 DXL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 Neither DXL nor the DXL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26" w:name="anxa76201_23"/>
      <w:bookmarkEnd w:id="126"/>
      <w:r>
        <w:rPr>
          <w:rFonts w:ascii="Times New Roman" w:hAnsi="Times New Roman"/>
          <w:b/>
          <w:sz w:val="20"/>
        </w:rPr>
        <w:t xml:space="preserve">SECTION 3.11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DXL Benefit Plan</w:t>
      </w:r>
      <w:r>
        <w:rPr>
          <w:rFonts w:ascii="Times New Roman" w:hAnsi="Times New Roman"/>
          <w:sz w:val="20"/>
        </w:rPr>
        <w:t>” shall mean each benefit or compensation plan, arrangement, agreement, policy or program, including any “employee welfare plan” within the meaning of Section 3(1) of the Employee Retirement Income Security Act of 1974 (“</w:t>
      </w:r>
      <w:r>
        <w:rPr>
          <w:rFonts w:ascii="Times New Roman" w:hAnsi="Times New Roman"/>
          <w:sz w:val="20"/>
          <w:u w:val="single"/>
        </w:rPr>
        <w:t>ERISA</w:t>
      </w:r>
      <w:r>
        <w:rPr>
          <w:rFonts w:ascii="Times New Roman" w:hAnsi="Times New Roman"/>
          <w:sz w:val="20"/>
        </w:rPr>
        <w:t>”), whether or not subject to ERISA, any “employee pension benefit plan” within the meaning of Section 3(2) of ERISA, whether or not subject to ERISA, and any bonus, incentive, deferred compensation, vacation, stock purchase, stock option, severance, employment, retention, salary continuation, change of control, retirement, pension, profit sharing or fringe benefit plan, or program, of any kind (whether written or oral, tax- qualified or non-tax qualified, funded or unfunded, foreign or domestic, active, frozen or terminated), that is sponsored, maintained or contributed to by DXL (or required to be maintained or contributed to by DXL) for the benefit of current or former directors, officers or employees of, or consultants to, DXL or with respect to which DXL, directly or indirectly, has any liability, excluding, in each case, any “multiemployer plan” within the meaning of Section 4001(a)(3) of ERISA (a “</w:t>
      </w:r>
      <w:r>
        <w:rPr>
          <w:rFonts w:ascii="Times New Roman" w:hAnsi="Times New Roman"/>
          <w:sz w:val="20"/>
          <w:u w:val="single"/>
        </w:rPr>
        <w:t>Multiemployer Plan</w:t>
      </w:r>
      <w:r>
        <w:rPr>
          <w:rFonts w:ascii="Times New Roman" w:hAnsi="Times New Roman"/>
          <w:sz w:val="20"/>
        </w:rPr>
        <w:t xml:space="preserve">”). </w:t>
      </w:r>
      <w:r>
        <w:rPr>
          <w:rFonts w:ascii="Times New Roman" w:hAnsi="Times New Roman"/>
          <w:sz w:val="20"/>
          <w:u w:val="single"/>
        </w:rPr>
        <w:t>Section 3.11(a)</w:t>
      </w:r>
      <w:r>
        <w:rPr>
          <w:rFonts w:ascii="Times New Roman" w:hAnsi="Times New Roman"/>
          <w:sz w:val="20"/>
        </w:rPr>
        <w:t xml:space="preserve"> of the DXL Disclosure Schedule contains a true and complete list of each material DXL Benefit Plan; provided, for the avoidance of doubt, that the following need not be set forth on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3.11(a)</w:t>
      </w:r>
      <w:r>
        <w:rPr>
          <w:rFonts w:ascii="Times New Roman" w:hAnsi="Times New Roman"/>
          <w:sz w:val="20"/>
        </w:rPr>
        <w:t xml:space="preserve"> of the DXL Disclosure Schedule: (i) any employment agreement, equity plan or award, or other DXL Benefit Plan in each case which is disclosed and filed with the SEC and (ii) any plan or arrangement sponsored or maintained by a Governmental Entity or required to be provided to a service provider pursuant to applicable Law. With respect to each DXL Benefit Plan, DXL has provided or made available to FBB true and complete copies of: (x) such DXL Benefit Plan, if written, or a description of such DXL Benefit Plan, if not written and (y) to the extent applicable to such DXL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non-routine communications to or from any Governmental Entity related to any DXL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DXL, (i) each DXL Benefit Plan is in compliance with all applicable Laws, including ERISA, the Code, and the terms of such DXL Benefit Plan; (ii) each DXL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DXL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DXL is aware of no event occurring after the date of such determination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reasonably be expected to cause the revocation of such letter or result in the loss of such qualification; (iii) no condition exists that is reasonably likely to subject DXL or any DXL ERISA Affiliate to any direct or indirect liability under Title IV of ERISA or to a civil penalty under Section 502(j) of ERISA or liability under Section 4069 of ERISA or Section 4975, 4976, or 4980B of the Code or other liability with respect to the DXL Benefit Plans; (iv) there are no pending or, to DXL’s Knowledge, threatened claims (other than routine claims for benefits) by, on behalf of or against any of the DXL Benefit Plans or any trusts related thereto; (v) no DXL Benefit Plan is, or within the last three (3) years has been, the subject of an examination or audit by a Governmental Entity and to DXL’s Knowledge, no fact or event exists or could reasonably be expected to give rise to any such investigation, audit or other administrative proceeding with respect to a DXL Benefit Plan; and (vi) all contributions, premiums and other similar payments to, and payments from, the DXL Benefit Plans which are required to have been made by DXL or any of its Subsidiaries with respect to any period ending on or before the Closing Date, in accordance with the DXL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DXL nor any DXL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DXL nor any DXL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3.11(d)</w:t>
      </w:r>
      <w:r>
        <w:rPr>
          <w:rFonts w:ascii="Times New Roman" w:hAnsi="Times New Roman"/>
          <w:sz w:val="20"/>
        </w:rPr>
        <w:t xml:space="preserve"> of the DXL Disclosure Schedule, no DXL Benefit Plan provides, nor does DXL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24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3.11(e)</w:t>
      </w:r>
      <w:r>
        <w:rPr>
          <w:rFonts w:ascii="Times New Roman" w:hAnsi="Times New Roman"/>
          <w:sz w:val="20"/>
        </w:rPr>
        <w:t xml:space="preserve"> of the DXL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DXL or any DXL Subsidiary, including any severance pay, change of control benefit or any other payment from DXL or any FBB Subsidiary, (ii) increase any benefits otherwise payable under any DXL Benefit Plan or materially increase compensation, (iii) result in or cause the vesting, exercisability, acceleration of the time of payment, funding or vesting of any such benefits, or forfeiture of or increase the amount or value of, any compensation or benefits due to any employee, officer, director or consultant, (iv) result in the triggering or imposition of any restrictions or limitations on the rights of DXL to amend, merge or terminate any DXL Benefit Plan or (v) trigger any other obligation under, or result in the breach or violation of, any DXL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DXL, each DXL Benefit Plan that is a “nonqualified deferred compensation plan” (within the meaning of Section 409A of the Code) has been established, operated and maintained in compliance with Section 409A of the Code and any proposed and final guidance promulgated under Section 409A of the Code. No additional Tax under Section 409A(a)(1)(B) of the Code has been incurred by a participant in any such DXL Benefit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Neither DXL nor any DXL Subsidiary is a party to, nor does any of them have any obligation under any DXL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DXL would not be deductible by reason of Section 280G of the Code or would be subject to an excise tax under Section 4999 or the Code. Neither DXL nor any DXL Subsidiary has any legally binding plan or commitment to create any additional DXL Benefit Plan or to modify or change any existing DXL Benefit Plan that would be reasonably expected to result in material liabilities to DXL or any DXL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DXL, any DXL Subsidiary or any DXL ERISA Affiliate (a “</w:t>
      </w:r>
      <w:r>
        <w:rPr>
          <w:rFonts w:ascii="Times New Roman" w:hAnsi="Times New Roman"/>
          <w:sz w:val="20"/>
          <w:u w:val="single"/>
        </w:rPr>
        <w:t>DXL Multiemployer Plan</w:t>
      </w:r>
      <w:r>
        <w:rPr>
          <w:rFonts w:ascii="Times New Roman" w:hAnsi="Times New Roman"/>
          <w:sz w:val="20"/>
        </w:rPr>
        <w:t xml:space="preserve">”), as of the date of this Agreement, is listed in </w:t>
      </w:r>
      <w:r>
        <w:rPr>
          <w:rFonts w:ascii="Times New Roman" w:hAnsi="Times New Roman"/>
          <w:sz w:val="20"/>
          <w:u w:val="single"/>
        </w:rPr>
        <w:t>Section 3.11(i)</w:t>
      </w:r>
      <w:r>
        <w:rPr>
          <w:rFonts w:ascii="Times New Roman" w:hAnsi="Times New Roman"/>
          <w:sz w:val="20"/>
        </w:rPr>
        <w:t xml:space="preserve"> of the DXL Disclosure Schedule. With respect to any DXL Multiemployer Plan, neither DXL nor any DXL ERISA Affiliate has incurred any withdrawal liability under Title IV of ERISA which remains unsatisfied, except as, individually or in the aggregate, has not had and would not reasonably be expected to have a Material Adverse Effect on DXL. With respect to each DXL Multiemployer Plan, neither DXL nor any DXL Subsidiary or DXL ERISA Affiliate has been informed of: (i) any prohibited transaction (as defined in Section 4975 of the Code or Section 406 of ERISA); (ii) any fact that would adversely affect the tax qualified status of such DXL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DXL or any DXL Subsidiary under each DXL Multiemployer Plan have been timely made and all obligations in respect of each DXL Multiemployer Plan have been properly accrued and reflected in the most recent consolidated balance sheet filed or incorporated by reference in the DXL SEC Reports,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27" w:name="anxa76201_24"/>
      <w:bookmarkEnd w:id="127"/>
      <w:r>
        <w:rPr>
          <w:rFonts w:ascii="Times New Roman" w:hAnsi="Times New Roman"/>
          <w:b/>
          <w:sz w:val="20"/>
        </w:rPr>
        <w:t xml:space="preserve">SECTION 3.12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DXL Disclosure Schedule sets forth, as of the close of business on November 26, 2025, a complete and correct list of all current employees of DXL and the DXL Subsidiaries (“</w:t>
      </w:r>
      <w:r>
        <w:rPr>
          <w:rFonts w:ascii="Times New Roman" w:hAnsi="Times New Roman"/>
          <w:sz w:val="20"/>
          <w:u w:val="single"/>
        </w:rPr>
        <w:t>DXL Employees</w:t>
      </w:r>
      <w:r>
        <w:rPr>
          <w:rFonts w:ascii="Times New Roman" w:hAnsi="Times New Roman"/>
          <w:sz w:val="20"/>
        </w:rPr>
        <w:t>”), including their respective titles, whether such employee is classified as exempt or non-exempt pursuant to the Fair Labor Standards Act (“</w:t>
      </w:r>
      <w:r>
        <w:rPr>
          <w:rFonts w:ascii="Times New Roman" w:hAnsi="Times New Roman"/>
          <w:sz w:val="20"/>
          <w:u w:val="single"/>
        </w:rPr>
        <w:t>FLSA</w:t>
      </w:r>
      <w:r>
        <w:rPr>
          <w:rFonts w:ascii="Times New Roman" w:hAnsi="Times New Roman"/>
          <w:sz w:val="20"/>
        </w:rPr>
        <w:t xml:space="preserve">”), current compensation (including base salary (if classified as exempt) or hourly wage rate (if classified as non-exempt), current target bonus entitlement and other incentive or contingent compensation), status as full-time or part- time, age, work location, and amount of accrued but unused vacation, and whether such employee is absent from active employment and, if so, the date such employee became inactive, the reason for such inactive status, and, if applicable, the anticipated date of return to active employment. DXL has taken reasonable steps to ensure that all individuals who are or were performing consulting or other services for DXL are or were correctly classified under all applicable Laws by DXL as either “independent contractors” (or comparable status in the case of a non-U.S. entity) or “employees” as the case may be, and, at the Closing Date, with respect to those individuals still performing consulting services for DXL as of the Closing Date, such individuals will qualify for such classification and would not be entitled to the rights of an employee of DXL. DXL has taken reasonable steps to ensure that all individuals who are or were classified as “employees” of DXL are or were correctly classified under all applicable Laws by DXL, as exempt or non-exempt from overtime payments, as the case may be. Except as otherwise required by Law or as expressly contemplated by this Agreement, there is no former director, officer, employee, independent contractor or consultant of DXL who is receiving or is scheduled to receive (or whose spouse or other dependent is receiving or is scheduled to receive) any benefits (from DXL) relating to such former service provider’s relationship with DXL.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Neither DXL nor any DXL Subsidiary is party to a collective bargaining agreement, no collective bargaining agreement is presently being negotiated, and no collective bargaining agreement is applicable to any employees of DXL or any DXL Subsidiary. To the Knowledge of DXL, since January 1, 2023, until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DXL or any DXL Subsidiary. There is no and during the three (3) year period prior to the date hereof there has been no (i) unfair labor practice, labor dispute or labor arbitration proceeding pending or, to DXL’s Knowledge, threatened against or affecting DXL or any DXL Subsidiary or (ii) lockout, strike, slowdown, work stoppage or, to DXL’s Knowledge, threat thereof by or with respect to any employees of DXL or any DXL Subsidiary. </w:t>
      </w:r>
    </w:p>
    <w:p>
      <w:pPr>
        <w:pStyle w:val="TextBody"/>
        <w:bidi w:val="0"/>
        <w:spacing w:before="240" w:after="0"/>
        <w:jc w:val="left"/>
        <w:rPr>
          <w:rFonts w:ascii="Times New Roman" w:hAnsi="Times New Roman"/>
          <w:sz w:val="20"/>
        </w:rPr>
      </w:pPr>
      <w:r>
        <w:rPr>
          <w:rFonts w:ascii="Times New Roman" w:hAnsi="Times New Roman"/>
          <w:sz w:val="20"/>
        </w:rPr>
        <w:t>(c) In the three (3) years prior to the date hereof, neither DXL or any DXL Subsidiary has effectuated (i) a “plant closing” (as defined in the Worker Adjustment and Retraining Notification Act (“</w:t>
      </w:r>
      <w:r>
        <w:rPr>
          <w:rFonts w:ascii="Times New Roman" w:hAnsi="Times New Roman"/>
          <w:sz w:val="20"/>
          <w:u w:val="single"/>
        </w:rPr>
        <w:t>WARN</w:t>
      </w:r>
      <w:r>
        <w:rPr>
          <w:rFonts w:ascii="Times New Roman" w:hAnsi="Times New Roman"/>
          <w:sz w:val="20"/>
        </w:rPr>
        <w:t xml:space="preserve">”)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Neither DXL or any DXL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(d) Except as has not had and would not reasonably be expected to have, individually or in the aggregate, a Material Adverse Effect on DXL, DXL is, and at all relevant times has been, in compliance with all applicable Laws and orders with respect to labor relations, employment and employment practices, including occupational safety and health standards, terms and conditions of employment or services, payment of wages or other compensation, minimum wages, overtime, classification of employees, employment equality, age discrimination, immigration, visa, work status, human rights, pay equity and workers’ compensation, and is not engaged in any unfair labor practice (“</w:t>
      </w:r>
      <w:r>
        <w:rPr>
          <w:rFonts w:ascii="Times New Roman" w:hAnsi="Times New Roman"/>
          <w:sz w:val="20"/>
          <w:u w:val="single"/>
        </w:rPr>
        <w:t>Employment Matters</w:t>
      </w:r>
      <w:r>
        <w:rPr>
          <w:rFonts w:ascii="Times New Roman" w:hAnsi="Times New Roman"/>
          <w:sz w:val="20"/>
        </w:rPr>
        <w:t xml:space="preserve">”). The employment or services of each former employee, consultant or contractor of DXL was terminated in material compliance with all applicable Laws, and DXL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DXL and its Subsidiaries, taken as a whole, there are no, and in the past five years there have been no pending or, to DXL’s Knowledge, threatened lawsuits, arbitrations, administrative charges, controversies, grievances or claims by any employee, independent contractor, former employee, or former independent contractor of DXL or any DXL Subsidiary before the National Labor Relations Board, the Equal Employment Opportunity Commission or any other Governmental Entity or arbitration board or panel relating to any Employment Matters. </w:t>
      </w:r>
    </w:p>
    <w:p>
      <w:pPr>
        <w:pStyle w:val="TextBody"/>
        <w:bidi w:val="0"/>
        <w:spacing w:before="240" w:after="0"/>
        <w:jc w:val="left"/>
        <w:rPr>
          <w:rFonts w:ascii="Times New Roman" w:hAnsi="Times New Roman"/>
          <w:sz w:val="20"/>
        </w:rPr>
      </w:pPr>
      <w:r>
        <w:rPr>
          <w:rFonts w:ascii="Times New Roman" w:hAnsi="Times New Roman"/>
          <w:sz w:val="20"/>
        </w:rPr>
        <w:t xml:space="preserve">(f) To DXL’s Knowledge, no employee at or above the level of Vice President has informed DXL or any DXL Subsidiary, either orally or in writing, of any plans to terminate their employment or relationship with DXL or any DXL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DXL and each DXL Subsidiary is (i) a United States citizen, (ii) a United States national, (iii) a lawful permanent resident of the United States, or (iv) an alien authorized to work in the United States specifically for DXL or any DXL Subsidiary or for any United States employer. DXL and each DXL Subsidiary have completed a Form I-9 (Employment Eligibility Verification) for each employee, and each Form I-9 has since been updated, in each case, as required by applicable Law and is correct and complete. For each employee of DXL and each DXL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28" w:name="anxa76201_25"/>
      <w:bookmarkEnd w:id="128"/>
      <w:r>
        <w:rPr>
          <w:rFonts w:ascii="Times New Roman" w:hAnsi="Times New Roman"/>
          <w:b/>
          <w:sz w:val="20"/>
        </w:rPr>
        <w:t xml:space="preserve">SECTION 3.13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DXL and its Subsidiaries, taken as a whole, DXL has designed and maintains a system of internal control 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 reporting (as defined in Rules 13a-15(f) and 15d-15(f) of the Exchange Act) sufficient to provide reasonable assurances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DXL’s assets; (ii) provide reasonable assurance that transactions are recorded as necessary to permit preparation of financial statements in accordance with GAAP, and that DXL’s receipts and expenditures are being made only in accordance with authorizations of DXL’s management and directors; and (iii) provide reasonable assurance regarding prevention or timely detection of unauthorized acquisition, use or disposition of DXL’s assets that could have a material effect on DXL’s financial statements. Except as would not reasonably be expected to be material to DXL and its Subsidiaries, taken as a whole, DXL (a) has designed and maintains disclosure controls and procedures (as defined in Rules 13a-15(e) and 15d-15(e) of the Exchange Act) to ensure that all information required to be disclosed by DXL in the reports that it will file or submit under the Exchange Act is recorded, processed, summarized and reported within the time periods specified in the SEC’s rules and forms and is accumulated and communicated to DXL’s management as appropriate to allow timely decisions regarding required disclosure and (b) has disclosed, based on its most recent evaluation of its disclosure controls and procedures and internal control over financial reporting prior to the date of this Agreement, to DXL’s auditors and the board of directors of DXL (i) any significant deficiencies and material weaknesses in the design or operation of internal control over financial reporting that are reasonably likely to adversely affect in any material respect DXL’s ability to record, process, summarize and report financial information and (ii) any fraud, whether or not material, that involves management or other employees who have a significant role in DXL’s internal control over financial reporting. Since February 1, 2025, none of DXL, DXL’s auditors, the DXL Board or the audit committee of the DXL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29" w:name="anxa76201_26"/>
      <w:bookmarkEnd w:id="129"/>
      <w:r>
        <w:rPr>
          <w:rFonts w:ascii="Times New Roman" w:hAnsi="Times New Roman"/>
          <w:b/>
          <w:sz w:val="20"/>
        </w:rPr>
        <w:t xml:space="preserve">SECTION 3.14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29, 2023, except as would not reasonably be expected to be material to DXL and its Subsidiaries, taken as a whole, (i) the businesses of each of DXL and the DXL Subsidiaries have been conducted in compliance with all applicable federal, state, local or foreign laws, statutes, ordinances, rules, regulations, judgments, orders, Injunctions, arbitration awards, agency requirements, licenses and permits of all Governmental Entities (each, a “</w:t>
      </w:r>
      <w:r>
        <w:rPr>
          <w:rFonts w:ascii="Times New Roman" w:hAnsi="Times New Roman"/>
          <w:sz w:val="20"/>
          <w:u w:val="single"/>
        </w:rPr>
        <w:t>Law</w:t>
      </w:r>
      <w:r>
        <w:rPr>
          <w:rFonts w:ascii="Times New Roman" w:hAnsi="Times New Roman"/>
          <w:sz w:val="20"/>
        </w:rPr>
        <w:t>” and collectively, “</w:t>
      </w:r>
      <w:r>
        <w:rPr>
          <w:rFonts w:ascii="Times New Roman" w:hAnsi="Times New Roman"/>
          <w:sz w:val="20"/>
          <w:u w:val="single"/>
        </w:rPr>
        <w:t>Laws</w:t>
      </w:r>
      <w:r>
        <w:rPr>
          <w:rFonts w:ascii="Times New Roman" w:hAnsi="Times New Roman"/>
          <w:sz w:val="20"/>
        </w:rPr>
        <w:t>”)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DXL that has not since been resolved without any ongoing material liability for DXL. No investigation or review by any Governmental Entity with respect to DXL or any of the DXL Subsidiaries is pending or, to DXL’s Knowledge, threatened, nor has any Governmental Entity indicated an intention to conduct the same. As of the date hereof, to the Knowledge of DXL and the DXL Subsidiaries, no condition or state of facts exists that is reasonably likely to give rise to a violation of, or a liability or default under any applicable Law. Each of DXL and the DXL Subsidiaries has all material governmental permits, authorizations, registrations, waivers, licenses, franchises, variances, exemptions and orders issued or granted by a Governmental Entity and all other authorizations, consents, certificates of public convenience and/or necessity and approvals issued or granted by a Governmental Entity (collectively, “</w:t>
      </w:r>
      <w:r>
        <w:rPr>
          <w:rFonts w:ascii="Times New Roman" w:hAnsi="Times New Roman"/>
          <w:sz w:val="20"/>
          <w:u w:val="single"/>
        </w:rPr>
        <w:t>Licenses</w:t>
      </w:r>
      <w:r>
        <w:rPr>
          <w:rFonts w:ascii="Times New Roman" w:hAnsi="Times New Roman"/>
          <w:sz w:val="20"/>
        </w:rPr>
        <w:t>” and the terms “</w:t>
      </w:r>
      <w:r>
        <w:rPr>
          <w:rFonts w:ascii="Times New Roman" w:hAnsi="Times New Roman"/>
          <w:sz w:val="20"/>
          <w:u w:val="single"/>
        </w:rPr>
        <w:t>DXL Licenses</w:t>
      </w:r>
      <w:r>
        <w:rPr>
          <w:rFonts w:ascii="Times New Roman" w:hAnsi="Times New Roman"/>
          <w:sz w:val="20"/>
        </w:rPr>
        <w:t>” and “</w:t>
      </w:r>
      <w:r>
        <w:rPr>
          <w:rFonts w:ascii="Times New Roman" w:hAnsi="Times New Roman"/>
          <w:sz w:val="20"/>
          <w:u w:val="single"/>
        </w:rPr>
        <w:t>FBB Licenses</w:t>
      </w:r>
      <w:r>
        <w:rPr>
          <w:rFonts w:ascii="Times New Roman" w:hAnsi="Times New Roman"/>
          <w:sz w:val="20"/>
        </w:rPr>
        <w:t xml:space="preserve">” will mean Licenses of DXL or any of the DXL Subsidiaries or FBB, respectively)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29, 2023, DXL and each of the DXL Subsidiaries are in material compliance with (i) their respective obligations under each of the material DXL Licenses and (ii) the rules and regulations of the Governmental Entity issuing such material DXL Licenses. There is no pending or, to DXL’s Knowledge, threatened by or before any Governmental Entity any material proceeding, notice of violation, order of forfeiture or complaint or investigation against DXL or any of the DXL Subsidiaries relating to any of the material DXL Licenses. To the Knowledge of DXL and the DXL Subsidiaries, no event has occurred which, with notice or the lapse of time or both, would constitute a default or violation, in any material respect, of any term, condition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provision of any DXL License, and to the Knowledge of DXL and the DXL Subsidiaries, there are no facts or circumstances which could form the basis for any such default or violation. The actions of the applicable Governmental Entities granting all material DXL Licenses have not been reversed, stayed, enjoined, annulled or suspended, and there is not pending or, to DXL’s Knowledge, threatened, any material application, petition, objection or other pleading with any Governmental Entity that challenges or questions the validity of or any rights of the holder under any material DXL License. </w:t>
      </w:r>
    </w:p>
    <w:p>
      <w:pPr>
        <w:pStyle w:val="TextBody"/>
        <w:bidi w:val="0"/>
        <w:spacing w:before="240" w:after="0"/>
        <w:jc w:val="left"/>
        <w:rPr>
          <w:rFonts w:ascii="Times New Roman" w:hAnsi="Times New Roman"/>
          <w:sz w:val="20"/>
        </w:rPr>
      </w:pPr>
      <w:bookmarkStart w:id="130" w:name="anxa76201_27"/>
      <w:bookmarkEnd w:id="130"/>
      <w:r>
        <w:rPr>
          <w:rFonts w:ascii="Times New Roman" w:hAnsi="Times New Roman"/>
          <w:b/>
          <w:sz w:val="20"/>
        </w:rPr>
        <w:t xml:space="preserve">SECTION 3.15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3.15(a)</w:t>
      </w:r>
      <w:r>
        <w:rPr>
          <w:rFonts w:ascii="Times New Roman" w:hAnsi="Times New Roman"/>
          <w:sz w:val="20"/>
        </w:rPr>
        <w:t xml:space="preserve"> of the DXL Disclosure Schedule sets forth a complete list of each currently effective Contract to which DXL or any of its Subsidiaries is a party or by which it is bound as of the date of this Agreement (other than any DXL Benefit Plan) (each, a “</w:t>
      </w:r>
      <w:r>
        <w:rPr>
          <w:rFonts w:ascii="Times New Roman" w:hAnsi="Times New Roman"/>
          <w:sz w:val="20"/>
          <w:u w:val="single"/>
        </w:rPr>
        <w:t>DXL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DXL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(a) any pledge, security agreement, deed of trust or other Contracts that impose a Lien on any of DXL’s or any of its Subsidiaries’ assets; (b) loan or credit agreement, indenture, debenture, note or other Contracts that create, incur or guarantee any Indebtedness, or (c) Contracts under which DXL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 which by its terms limits in any material respect (i) the localities, market or business in which all or any significant portion of the business and operations of DXL or DXL’s Subsidiaries or, following the consummation of the Transactions, the business and operations of Surviving Company, DXL or any Affiliate of DXL, is or would be conducted, (ii) the Persons DXL or any of its existing or future Subsidiaries, may hire (other than Contracts with contract research organizations or other contractors or vendors that provide services to DXL in the ordinary course of DXL’s business and that contain provisions that prevent DXL from soliciting or hiring any personnel of such contract research organizations or such other contractors or vendors), (iii) the Persons to whom DXL or any of its existing or future Subsidiaries may sell products or deliver services, or (iv) the scope of the business and operations of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 provides for the grant to DXL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DXL IP Rights other than non-exclusive licenses to a contractor or service provider of DXL or the DXL Subsidiaries entered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containing any royalty, dividend or similar arrangement based on the revenues or profits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with any Governmental Entity or a subcontractor to any Governmental Entity in connection with such DXL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with (a) an executive officer or director of DXL or any of its Subsidiaries or any of such executive officer’s or director’s immediate family members, (b) an owner of more than five percent (5%) of the voting power of the outstanding capital stock of DXL or (c) to the Knowledge of DXL, any “related party” (within the meaning of Item 404 of Regulation S- K promulgated by the SEC) of any such officer, director or owner (other than DXL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(xiii)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(xiv) relating to the acquisition or disposition of any material interest in, or any material amount of, securities, property or assets of DXL or any of its Subsidiaries or any other Person, or for the grant to any Person of any preferential rights to purchase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 other than as set forth elsewhere on </w:t>
      </w:r>
      <w:r>
        <w:rPr>
          <w:rFonts w:ascii="Times New Roman" w:hAnsi="Times New Roman"/>
          <w:sz w:val="20"/>
          <w:u w:val="single"/>
        </w:rPr>
        <w:t>Section 3.15(a)</w:t>
      </w:r>
      <w:r>
        <w:rPr>
          <w:rFonts w:ascii="Times New Roman" w:hAnsi="Times New Roman"/>
          <w:sz w:val="20"/>
        </w:rPr>
        <w:t xml:space="preserve"> of the DXL Disclosure Schedule, and excluding customary confidentiality and non-disclosure agreements, all other Contracts that are material to the business or operations of DXL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DXL has delivered or made available to FBB accurate and complete copies of all DXL Material Contracts, including all amendments thereto. There are no DXL Material Contracts that are not in written form. Neither DXL nor any Subsidiary of DXL has, nor to DXL’s Knowledge, has any other party to a DXL Material Contract breached, violated or defaulted under, or received notice that it has breached, violated or defaulted under, any of the terms or conditions of any DXL Material Contract, except where the breach, violation, default or notice thereof of any the foregoing, thereunder has not had and would not reasonably be expected to have, individually or in the aggregate, a Material Adverse Effect on DXL. As to DXL and DXL’s Subsidiaries, as of the date of this Agreement, each DXL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DXL. The consummation of the Transactions will not (either alone or upon the occurrence of additional acts or events) result in any material payment or payments becoming due from DXL, any Subsidiary of DXL, or the Surviving Company to any Person under any DXL Material Contract or give any Person the right to terminate or alter the provisions of any DXL Material Contract. Except as has not had and would not reasonably be expected to have, individually or in the aggregate, a Material Adverse Effect on DXL, no Person (A) is renegotiating any material amount paid or payable to DXL or any of its Subsidiaries under any DXL Material Contract or any other material term or provision of any DXL Material Contract or (B) has provided notice to DXL or any of its Subsidiaries that it intends to terminate any DXL Material Contract or with respect to any breach or default in any material respect of any DXL Material Contract. </w:t>
      </w:r>
    </w:p>
    <w:p>
      <w:pPr>
        <w:pStyle w:val="TextBody"/>
        <w:bidi w:val="0"/>
        <w:spacing w:before="240" w:after="0"/>
        <w:jc w:val="left"/>
        <w:rPr>
          <w:rFonts w:ascii="Times New Roman" w:hAnsi="Times New Roman"/>
          <w:sz w:val="20"/>
        </w:rPr>
      </w:pPr>
      <w:bookmarkStart w:id="131" w:name="anxa76201_28"/>
      <w:bookmarkEnd w:id="131"/>
      <w:r>
        <w:rPr>
          <w:rFonts w:ascii="Times New Roman" w:hAnsi="Times New Roman"/>
          <w:b/>
          <w:sz w:val="20"/>
        </w:rPr>
        <w:t xml:space="preserve">SECTION 3.16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possesses and is in compliance with all Environmental Permits necessary in all material respects to conduct its businesses and operations as currently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To the Knowledge of DXL, each of DXL and the DXL Subsidiaries is in compliance and has complied in all material respects with all applicable Environmental Laws, and neither DXL nor any DXL Subsidiary has received any communication from any Governmental Entity or other Person that alleges that DXL or any DXL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DXL’s knowledge, threatened against DXL or any of the DXL Subsidiaries and neither DXL nor any of the DXL Subsidiaries has contractually retained or assumed any liabilities or obligations that would reasonably be expected to result in any Environmental Claim against DXL or any of the DXL Subsidiaries nor there is any circumstance involving DXL or any of its Subsidiaries that would reasonably be expected to result in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DXL, there have been no Releases of, or exposure to, any Hazardous Materials that would reasonably be expected result in any material Environmental Claim or liability.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Environmental Claims</w:t>
      </w:r>
      <w:r>
        <w:rPr>
          <w:rFonts w:ascii="Times New Roman" w:hAnsi="Times New Roman"/>
          <w:sz w:val="20"/>
        </w:rPr>
        <w:t xml:space="preserve">” means any and all administrative, regulatory or judicial actions, orders, decrees, suits, demands, demand letters, directives, claims, Liens, investigations, proceedings or notices of noncompliance or violation by any Governmental Entity or other Person alleging responsibility or liability (including responsibility or liability for costs of enforcement, investigation, cleanup, governmental response, removal or remediation, for natural resources damages, property damage, personal injuries or penalties or for contribution, indemnification, cost recovery, compensation or injunctive relief) arising out of, based on or related to (x) the presence, Release of, or exposure to, any Hazardous Materials at any location or (y) any failure to comply with any Environmental Law or Environmental Permit.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Environmental Laws</w:t>
      </w:r>
      <w:r>
        <w:rPr>
          <w:rFonts w:ascii="Times New Roman" w:hAnsi="Times New Roman"/>
          <w:sz w:val="20"/>
        </w:rPr>
        <w:t xml:space="preserve">” means all applicable Laws issued, promulgated or entered into by or with any Governmental Entity relating to pollution or protection of the environment (including ambient air, surface water, groundwater, soils or subsurface strata) or, as it relates to the environment, the Release of or exposure to hazardous or toxic materials or protection of worker health from such exposure. </w:t>
      </w:r>
    </w:p>
    <w:p>
      <w:pPr>
        <w:pStyle w:val="TextBody"/>
        <w:bidi w:val="0"/>
        <w:spacing w:before="36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Environmental Permits</w:t>
      </w:r>
      <w:r>
        <w:rPr>
          <w:rFonts w:ascii="Times New Roman" w:hAnsi="Times New Roman"/>
          <w:sz w:val="20"/>
        </w:rPr>
        <w:t xml:space="preserve">” means all Licenses required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Hazardous Materials</w:t>
      </w:r>
      <w:r>
        <w:rPr>
          <w:rFonts w:ascii="Times New Roman" w:hAnsi="Times New Roman"/>
          <w:sz w:val="20"/>
        </w:rPr>
        <w:t>” means all hazardous, toxic, explosive or radioactive substances, wastes or other pollutants, including petroleum or petroleum distillates, asbestos or asbestos-containing material, polychlorinated biphenyls (“</w:t>
      </w:r>
      <w:r>
        <w:rPr>
          <w:rFonts w:ascii="Times New Roman" w:hAnsi="Times New Roman"/>
          <w:sz w:val="20"/>
          <w:u w:val="single"/>
        </w:rPr>
        <w:t>PCBs</w:t>
      </w:r>
      <w:r>
        <w:rPr>
          <w:rFonts w:ascii="Times New Roman" w:hAnsi="Times New Roman"/>
          <w:sz w:val="20"/>
        </w:rPr>
        <w:t xml:space="preserve">”) or PCB-containing materials or equipment, radon gas, infectious or medical wastes and all other substances or wastes that in relevant form or concentration are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Release</w:t>
      </w:r>
      <w:r>
        <w:rPr>
          <w:rFonts w:ascii="Times New Roman" w:hAnsi="Times New Roman"/>
          <w:sz w:val="20"/>
        </w:rPr>
        <w:t xml:space="preserve">” means any release, spill, emission, leaking, dumping, injection, pouring, deposit, disposal, discharge, dispersal, leaching or migration into the environment (including ambient air, surface water, groundwater, land surface or subsurface strata) or within any building, structure, facility or fixture. </w:t>
      </w:r>
    </w:p>
    <w:p>
      <w:pPr>
        <w:pStyle w:val="TextBody"/>
        <w:bidi w:val="0"/>
        <w:spacing w:before="240" w:after="0"/>
        <w:jc w:val="left"/>
        <w:rPr>
          <w:rFonts w:ascii="Times New Roman" w:hAnsi="Times New Roman"/>
          <w:sz w:val="20"/>
        </w:rPr>
      </w:pPr>
      <w:bookmarkStart w:id="132" w:name="anxa76201_29"/>
      <w:bookmarkEnd w:id="132"/>
      <w:r>
        <w:rPr>
          <w:rFonts w:ascii="Times New Roman" w:hAnsi="Times New Roman"/>
          <w:b/>
          <w:sz w:val="20"/>
        </w:rPr>
        <w:t xml:space="preserve">SECTION 3.17 </w:t>
      </w:r>
      <w:r>
        <w:rPr>
          <w:rFonts w:ascii="Times New Roman" w:hAnsi="Times New Roman"/>
          <w:b/>
          <w:sz w:val="20"/>
          <w:u w:val="single"/>
        </w:rPr>
        <w:t>Takeover Laws</w:t>
      </w:r>
      <w:r>
        <w:rPr>
          <w:rFonts w:ascii="Times New Roman" w:hAnsi="Times New Roman"/>
          <w:sz w:val="20"/>
        </w:rPr>
        <w:t xml:space="preserve">. Assuming the representations and warranties of FBB set forth in </w:t>
      </w:r>
      <w:r>
        <w:rPr>
          <w:rFonts w:ascii="Times New Roman" w:hAnsi="Times New Roman"/>
          <w:sz w:val="20"/>
          <w:u w:val="single"/>
        </w:rPr>
        <w:t>Section 4.02</w:t>
      </w:r>
      <w:r>
        <w:rPr>
          <w:rFonts w:ascii="Times New Roman" w:hAnsi="Times New Roman"/>
          <w:sz w:val="20"/>
        </w:rPr>
        <w:t xml:space="preserve"> are true and correct, as of the date hereof, the DXL Board has taken all actions so that the restrictions applicable to business combinations contained in Section 203 of the DGCL will be inapplicable to the execution, delivery and performance of this Agreement. There are no other “fair price,” “moratorium,” “control share acquisition” or other similar anti-takeover statute or regulations (each, a “</w:t>
      </w:r>
      <w:r>
        <w:rPr>
          <w:rFonts w:ascii="Times New Roman" w:hAnsi="Times New Roman"/>
          <w:sz w:val="20"/>
          <w:u w:val="single"/>
        </w:rPr>
        <w:t>Takeover Statute</w:t>
      </w:r>
      <w:r>
        <w:rPr>
          <w:rFonts w:ascii="Times New Roman" w:hAnsi="Times New Roman"/>
          <w:sz w:val="20"/>
        </w:rPr>
        <w:t xml:space="preserve">”) or any takeover-related provision in the DXL Charter applicable to the Merger or the other Transactions. </w:t>
      </w:r>
    </w:p>
    <w:p>
      <w:pPr>
        <w:pStyle w:val="TextBody"/>
        <w:bidi w:val="0"/>
        <w:spacing w:before="240" w:after="0"/>
        <w:jc w:val="left"/>
        <w:rPr>
          <w:rFonts w:ascii="Times New Roman" w:hAnsi="Times New Roman"/>
          <w:sz w:val="20"/>
        </w:rPr>
      </w:pPr>
      <w:bookmarkStart w:id="133" w:name="anxa76201_30"/>
      <w:bookmarkEnd w:id="133"/>
      <w:r>
        <w:rPr>
          <w:rFonts w:ascii="Times New Roman" w:hAnsi="Times New Roman"/>
          <w:b/>
          <w:sz w:val="20"/>
        </w:rPr>
        <w:t xml:space="preserve">SECTION 3.18 </w:t>
      </w:r>
      <w:r>
        <w:rPr>
          <w:rFonts w:ascii="Times New Roman" w:hAnsi="Times New Roman"/>
          <w:b/>
          <w:sz w:val="20"/>
          <w:u w:val="single"/>
        </w:rPr>
        <w:t>DXL Information</w:t>
      </w:r>
      <w:r>
        <w:rPr>
          <w:rFonts w:ascii="Times New Roman" w:hAnsi="Times New Roman"/>
          <w:sz w:val="20"/>
        </w:rPr>
        <w:t xml:space="preserve">. The information relating to DXL that is provided by DXL or DXL’s Representatives for inclusion in the Proxy Statement, or in any other document filed with any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in connection with the Merger and the other Transactions, will not in the case of the Proxy Statement, at the date it is first furnished by DXL to the DXL stockholders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34" w:name="anxa76201_31"/>
      <w:bookmarkEnd w:id="134"/>
      <w:r>
        <w:rPr>
          <w:rFonts w:ascii="Times New Roman" w:hAnsi="Times New Roman"/>
          <w:b/>
          <w:sz w:val="20"/>
        </w:rPr>
        <w:t xml:space="preserve">SECTION 3.19 </w:t>
      </w:r>
      <w:r>
        <w:rPr>
          <w:rFonts w:ascii="Times New Roman" w:hAnsi="Times New Roman"/>
          <w:b/>
          <w:sz w:val="20"/>
          <w:u w:val="single"/>
        </w:rPr>
        <w:t>Affiliate Transactions</w:t>
      </w:r>
      <w:r>
        <w:rPr>
          <w:rFonts w:ascii="Times New Roman" w:hAnsi="Times New Roman"/>
          <w:sz w:val="20"/>
        </w:rPr>
        <w:t xml:space="preserve">. Except as disclosed in DXL’s most recently filed annual report on Form 10-K, as of the date of this Agreement, there are no material transactions, Contracts or understandings between DXL or any of the DXL Subsidiaries, on the one hand, and either (i) any holder of any Equity Interest in DXL or any of the DXL Subsidiaries, (ii) any officer or director of DXL or any of the DXL Subsidiaries (other than any DXL Benefit Plan) or (iii) any of DXL’s other Affiliates (other than wholly owned DXL Subsidiaries), on the other hand, that would be required to be disclosed by DXL under Item 404 of Regulation S-K promulgated by the SEC. </w:t>
      </w:r>
    </w:p>
    <w:p>
      <w:pPr>
        <w:pStyle w:val="TextBody"/>
        <w:bidi w:val="0"/>
        <w:spacing w:before="240" w:after="0"/>
        <w:jc w:val="left"/>
        <w:rPr>
          <w:rFonts w:ascii="Times New Roman" w:hAnsi="Times New Roman"/>
          <w:sz w:val="20"/>
        </w:rPr>
      </w:pPr>
      <w:bookmarkStart w:id="135" w:name="anxa76201_32"/>
      <w:bookmarkEnd w:id="135"/>
      <w:r>
        <w:rPr>
          <w:rFonts w:ascii="Times New Roman" w:hAnsi="Times New Roman"/>
          <w:b/>
          <w:sz w:val="20"/>
        </w:rPr>
        <w:t xml:space="preserve">SECTION 3.20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DXL and the DXL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3.20(b)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DXL IP Rights is currently subsisting, and, to the Knowledge of DXL,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29, 2023, by DXL and the DXL Subsidiaries does not infringe, misappropriate or otherwise violate the Intellectual Property Rights of any third Person in any material respect; (ii) there are no material Proceedings pending against DXL or any of the DXL Subsidiaries and, to DXL’s Knowledge, there is no material claim, action or proceeding threatened against DXL or any of the DXL Subsidiaries, in each case alleging that DXL or the DXL Subsidiaries is or has been infringing, misappropriating or otherwise violating any Intellectual Property Rights of any third Person; and (iii) since January 29, 2023, neither DXL nor the DXL Subsidiaries have received 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29, 2023, neither DXL nor any of the DXL Subsidiaries have filed or threatened in writing any claim against, or sent an invitation to license, cease-and-desist letter or indemnity claim to, any third Person alleging that such Person is infringing, misappropriating or otherwise violating any DXL IP Rights in any material respect, and to DXL’s knowledge, no third Person is infringing, misappropriating or otherwise violating, or since January 29, 2023 has infringed, misappropriated or otherwise violated, any DXL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DXL and each of the DXL Subsidiaries has taken commercially reasonable precautions, including the use of binding confidentiality and nondisclosure agreements, to protect and maintain the confidentiality of material nonpublic information included in the DXL IP Rights, including material Trade Secrets of DXL and the DXL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3.20(e)</w:t>
      </w:r>
      <w:r>
        <w:rPr>
          <w:rFonts w:ascii="Times New Roman" w:hAnsi="Times New Roman"/>
          <w:sz w:val="20"/>
        </w:rPr>
        <w:t xml:space="preserve"> of the DXL Disclosure Schedule sets forth, as of the date of this Agreement, a complete and accurate list of Registered IP included in the DXL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DXL or any of the DXL Subsidiaries who contributed to the discovery, creation or development of any DXL IP Rights did so (i) within the scope of his or her employment such that it constituted a work made for hire under the U.S. Copyright Act (17 USC 101)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arising therefrom became the exclusive property of DXL or any of DXL Subsidiaries, as applicable, or (ii) pursuant to a written agreement, which assigned all of his or her Intellectual Property Rights arising therein to DXL or any of the DXL Subsidiaries, as applicable. </w:t>
      </w:r>
    </w:p>
    <w:p>
      <w:pPr>
        <w:pStyle w:val="TextBody"/>
        <w:bidi w:val="0"/>
        <w:spacing w:before="240" w:after="0"/>
        <w:jc w:val="left"/>
        <w:rPr>
          <w:rFonts w:ascii="Times New Roman" w:hAnsi="Times New Roman"/>
          <w:sz w:val="20"/>
        </w:rPr>
      </w:pPr>
      <w:bookmarkStart w:id="136" w:name="anxa76201_33"/>
      <w:bookmarkEnd w:id="136"/>
      <w:r>
        <w:rPr>
          <w:rFonts w:ascii="Times New Roman" w:hAnsi="Times New Roman"/>
          <w:b/>
          <w:sz w:val="20"/>
        </w:rPr>
        <w:t xml:space="preserve">SECTION 3.21 </w:t>
      </w:r>
      <w:r>
        <w:rPr>
          <w:rFonts w:ascii="Times New Roman" w:hAnsi="Times New Roman"/>
          <w:b/>
          <w:sz w:val="20"/>
          <w:u w:val="single"/>
        </w:rPr>
        <w:t>Title to Assets</w:t>
      </w:r>
      <w:r>
        <w:rPr>
          <w:rFonts w:ascii="Times New Roman" w:hAnsi="Times New Roman"/>
          <w:sz w:val="20"/>
        </w:rPr>
        <w:t xml:space="preserve">. Each of DXL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DXL SEC Reports; and (b) all other assets reflected in the books and records of DXL or any of its Subsidiaries as being owned by DXL or such Subsidiary, in each case, other than as would not reasonably be expected to be material to DXL and its Subsidiaries, taken as a whole. All of such assets are owned or, in the case of leased assets, leased by DXL or any of its Subsidiaries, free and clear of any Liens other than Permitted Liens. </w:t>
      </w:r>
    </w:p>
    <w:p>
      <w:pPr>
        <w:pStyle w:val="TextBody"/>
        <w:bidi w:val="0"/>
        <w:spacing w:before="240" w:after="0"/>
        <w:jc w:val="left"/>
        <w:rPr>
          <w:rFonts w:ascii="Times New Roman" w:hAnsi="Times New Roman"/>
          <w:sz w:val="20"/>
        </w:rPr>
      </w:pPr>
      <w:bookmarkStart w:id="137" w:name="anxa76201_34"/>
      <w:bookmarkEnd w:id="137"/>
      <w:r>
        <w:rPr>
          <w:rFonts w:ascii="Times New Roman" w:hAnsi="Times New Roman"/>
          <w:b/>
          <w:sz w:val="20"/>
        </w:rPr>
        <w:t xml:space="preserve">SECTION 3.22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3.22(a)</w:t>
      </w:r>
      <w:r>
        <w:rPr>
          <w:rFonts w:ascii="Times New Roman" w:hAnsi="Times New Roman"/>
          <w:sz w:val="20"/>
        </w:rPr>
        <w:t xml:space="preserve"> of the DXL Disclosure Schedule contains, as of the date of this Agreement, a complete and correct list of all real property owned in whole or in part by DXL and its Subsidiaries (such real property, together with all buildings, structures, fixtures and improvements erected or located thereon, the “</w:t>
      </w:r>
      <w:r>
        <w:rPr>
          <w:rFonts w:ascii="Times New Roman" w:hAnsi="Times New Roman"/>
          <w:sz w:val="20"/>
          <w:u w:val="single"/>
        </w:rPr>
        <w:t>DXL Owned Real Property</w:t>
      </w:r>
      <w:r>
        <w:rPr>
          <w:rFonts w:ascii="Times New Roman" w:hAnsi="Times New Roman"/>
          <w:sz w:val="20"/>
        </w:rPr>
        <w:t xml:space="preserve">”). Except as has not had and would not reasonably be expected to have, individually or in the aggregate, a Material Adverse Effect on DXL, (i) DXL or its Subsidiaries have good and valid fee simple title to all of the DXL Owned Real Property, free and clear of Liens, except Permitted Liens, and (ii) to DXL’s Knowledge, there is no pending or threatened condemnation or similar action affecting any of the DXL Owned Real Property by DXL and its Subsidiaries. Neither DXL nor any of its Subsidiaries has leased or otherwise granted to any Person the right to use or occupy any DXL Owned Real Property or any portion thereof. There are no outstanding options, rights of first offer or rights of first refusal to purchase any DXL Owned Real Property or any portion thereof or interest therein. There is no formerly owned real property that was owned by DXL or any of its Subsidiaries in respect of which DXL or any of its Subsidiaries may have any material liability. Neither DXL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3.22(b</w:t>
      </w:r>
      <w:r>
        <w:rPr>
          <w:rFonts w:ascii="Times New Roman" w:hAnsi="Times New Roman"/>
          <w:sz w:val="20"/>
        </w:rPr>
        <w:t>) of the DXL Disclosure Schedule contains, as of the date of this Agreement, a complete and correct list of the DXL Leased Real Property by DXL and its Subsidiaries. Except as has not had and would not reasonably be expected to have, individually or in the aggregate, a Material Adverse Effect on DXL, (i) DXL or its Subsidiaries have valid leasehold interests to all real property leased or subleased by DXL and its Subsidiaries (the “</w:t>
      </w:r>
      <w:r>
        <w:rPr>
          <w:rFonts w:ascii="Times New Roman" w:hAnsi="Times New Roman"/>
          <w:sz w:val="20"/>
          <w:u w:val="single"/>
        </w:rPr>
        <w:t>DXL Leased Real Property</w:t>
      </w:r>
      <w:r>
        <w:rPr>
          <w:rFonts w:ascii="Times New Roman" w:hAnsi="Times New Roman"/>
          <w:sz w:val="20"/>
        </w:rPr>
        <w:t>”), free and clear of all Liens, except for Permitted Liens; (ii) as of the date hereof, each lease or sublease with respect to the DXL Leased Real Property (each, a “</w:t>
      </w:r>
      <w:r>
        <w:rPr>
          <w:rFonts w:ascii="Times New Roman" w:hAnsi="Times New Roman"/>
          <w:sz w:val="20"/>
          <w:u w:val="single"/>
        </w:rPr>
        <w:t>DXL Real Property Lease</w:t>
      </w:r>
      <w:r>
        <w:rPr>
          <w:rFonts w:ascii="Times New Roman" w:hAnsi="Times New Roman"/>
          <w:sz w:val="20"/>
        </w:rPr>
        <w:t xml:space="preserve">”) is in full force and effect and enforceable in accordance with its respective terms against DXL or its Subsidiaries that are party thereto and, to DXL’s Knowledge, to the other parties thereto (in each case subject to the Enforceability Exceptions); and (iii) neither DXL nor any of its Subsidiaries is in material breach or material default under any of the DXL Real Property Leases and no event has occurred or circumstance exists that, with the delivery of notice, passage of time or both, would constitute such a breach or default or permit the termination of, modification of or acceleration of rent under any DXL Real Property Lease or otherwise cause such DXL Real Property Lease to cease to be legal, valid, binding, enforceable and in full force and effect on identical terms following the Closing (subject only to the Enforceability Exceptions). Neither DXL nor any of its </w:t>
      </w:r>
    </w:p>
    <w:p>
      <w:pPr>
        <w:pStyle w:val="TextBody"/>
        <w:bidi w:val="0"/>
        <w:spacing w:before="0" w:after="0"/>
        <w:jc w:val="left"/>
        <w:rPr>
          <w:rFonts w:ascii="Times New Roman" w:hAnsi="Times New Roman"/>
          <w:sz w:val="20"/>
        </w:rPr>
      </w:pPr>
      <w:r>
        <w:rPr>
          <w:rFonts w:ascii="Times New Roman" w:hAnsi="Times New Roman"/>
          <w:sz w:val="20"/>
        </w:rPr>
        <w:t xml:space="preserve">Subsidiaries has subleased, licensed, sublicensed or otherwise granted any Person any beneficial interest in or the right to use or occupy any DXL Leased Real Property or any portion thereof. DXL has made available to FBB true, correct and complete copies of each DXL Real Property Lease. Neither DXL nor any of its Subsidiaries owes, nor, based on existing DXL Real Property Leases or other Contracts as currently in effect, will owe in the future, any brokerage commissions or finder’s fees with respect to any DXL Leased Real Property. No landlord or tenant (as applicable) under any DXL Real Property Lease is an Affiliate of DXL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DXL Owned Real Property set forth on </w:t>
      </w:r>
      <w:r>
        <w:rPr>
          <w:rFonts w:ascii="Times New Roman" w:hAnsi="Times New Roman"/>
          <w:sz w:val="20"/>
          <w:u w:val="single"/>
        </w:rPr>
        <w:t>Section 3.22(a)</w:t>
      </w:r>
      <w:r>
        <w:rPr>
          <w:rFonts w:ascii="Times New Roman" w:hAnsi="Times New Roman"/>
          <w:sz w:val="20"/>
        </w:rPr>
        <w:t xml:space="preserve"> of the DXL Disclosure Schedule and the DXL Leased Real Property set forth on </w:t>
      </w:r>
      <w:r>
        <w:rPr>
          <w:rFonts w:ascii="Times New Roman" w:hAnsi="Times New Roman"/>
          <w:sz w:val="20"/>
          <w:u w:val="single"/>
        </w:rPr>
        <w:t>Section 3.22(b)</w:t>
      </w:r>
      <w:r>
        <w:rPr>
          <w:rFonts w:ascii="Times New Roman" w:hAnsi="Times New Roman"/>
          <w:sz w:val="20"/>
        </w:rPr>
        <w:t xml:space="preserve"> of the DXL Disclosure Schedule comprise all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land, buildings, improvements, fixtures or other real property necessary for, and currently used by, the operation of the business of DXL and the DXL Subsidiaries. None of the DXL Owned Real Property or DXL Leased Real Property is used for any purpose other than the operation of the business of DXL and the DXL Subsidiaries. Neither DXL nor any of its Subsidiaries uses any land, buildings, improvements, fixtures or other real property for which ownership or a lease would ordinarily be required, other than that which is included in the definition of DXL Owned Real Property or DXL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DXL’s Knowledge, each DXL Owned Real Property and DXL Leased Real Property is supplied with utilities and other services reasonably necessary for the operation of the business of DXL and its Subsidiaries as currently conducted at each such DXL Owned Real Property and DXL Leased Real Property, and, to DXL’s Knowledge, no fact or condition exists that would result in the termination or impairment of the furnishing of service to any such DXL Owned Real Property or DXL Leased Real Property of water, sewer, gas, electric, telephone, drainage and other such utility services. To DXL’s Knowledge, the DXL Owned Real Property and DXL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DXL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DXL’s Knowledge, there are no material structural or other physical defects or deficiencies in the condition of the DXL Owned Real Property and DXL Leased Real Property, and there are no facts or conditions that would, individually or in the aggregate, materially interfere in any respect with the use or occupancy of such DXL Owned Real Property and DXL Leased Real Property or any portion thereof in the operation of the business of DXL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DXL nor any of its Subsidiaries has received any written notice from a Governmental Entity of any special Tax, levy or assessment for benefits or betterments that affect the DXL Owned Real Property or DXL Leased Real Property and no such special Taxes, levies or assessments are pending or contemplated. Neither the DXL Owned Real Property, the DXL Leased Real Property nor the use or occupancy thereof violates in any way any applicable permits, licenses, certificates of occupancy, covenants, conditions or restrictions, whether federal, state, local or private, and the DXL Owned Real Property or the DXL Leased Real Property or DXL or its applicable Subsidiary holding the fee, leasehold or other interest therein has received all required permits, certificates of occupancy, licenses, authorizations and approvals in connection with the use and occupancy thereof, whether in connection with the business of DXL, its Subsidiaries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DXL Owned Real Property and DXL Leased Real Property enjoys direct or indirect legal ingress and egress from dedicated public highways or streets, and no action has been instituted or is pending or threatened that would impair or curtail such legal ingress and egress and, to DXL’s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DXL nor any of its Subsidiaries has received any written notice from any insurance company or board of fire underwriters of any defects or inadequacies that could adversely affect the insurability of any DXL Owned Real Property or DXL Leased Real Property or requesting the performance of any material work or alteration with respect to any DXL Owned Real Property or DXL Leased Real Property. </w:t>
      </w:r>
    </w:p>
    <w:p>
      <w:pPr>
        <w:pStyle w:val="TextBody"/>
        <w:bidi w:val="0"/>
        <w:spacing w:before="240" w:after="0"/>
        <w:jc w:val="left"/>
        <w:rPr>
          <w:rFonts w:ascii="Times New Roman" w:hAnsi="Times New Roman"/>
          <w:sz w:val="20"/>
        </w:rPr>
      </w:pPr>
      <w:bookmarkStart w:id="138" w:name="anxa76201_35"/>
      <w:bookmarkEnd w:id="138"/>
      <w:r>
        <w:rPr>
          <w:rFonts w:ascii="Times New Roman" w:hAnsi="Times New Roman"/>
          <w:b/>
          <w:sz w:val="20"/>
        </w:rPr>
        <w:t xml:space="preserve">SECTION 3.23 </w:t>
      </w:r>
      <w:r>
        <w:rPr>
          <w:rFonts w:ascii="Times New Roman" w:hAnsi="Times New Roman"/>
          <w:b/>
          <w:sz w:val="20"/>
          <w:u w:val="single"/>
        </w:rPr>
        <w:t>Anti-Corruption Laws</w:t>
      </w:r>
      <w:r>
        <w:rPr>
          <w:rFonts w:ascii="Times New Roman" w:hAnsi="Times New Roman"/>
          <w:sz w:val="20"/>
        </w:rPr>
        <w:t>. None of DXL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Foreign Corrupt Practices Act of 1977, as amended, or any other applicable anti-bribery or anti-corruption Law (collectively, the “</w:t>
      </w:r>
      <w:r>
        <w:rPr>
          <w:rFonts w:ascii="Times New Roman" w:hAnsi="Times New Roman"/>
          <w:sz w:val="20"/>
          <w:u w:val="single"/>
        </w:rPr>
        <w:t>Anti-Corruption Laws</w:t>
      </w:r>
      <w:r>
        <w:rPr>
          <w:rFonts w:ascii="Times New Roman" w:hAnsi="Times New Roman"/>
          <w:sz w:val="20"/>
        </w:rPr>
        <w:t xml:space="preserve">”). Neither DXL nor any of its Subsidiaries is or has been the subject of any investigation or inquiry by any Governmental Entity with respect to potential violations of Anti-Corruption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39" w:name="anxa76201_36"/>
      <w:bookmarkEnd w:id="139"/>
      <w:r>
        <w:rPr>
          <w:rFonts w:ascii="Times New Roman" w:hAnsi="Times New Roman"/>
          <w:b/>
          <w:sz w:val="20"/>
        </w:rPr>
        <w:t xml:space="preserve">SECTION 3.24 </w:t>
      </w:r>
      <w:r>
        <w:rPr>
          <w:rFonts w:ascii="Times New Roman" w:hAnsi="Times New Roman"/>
          <w:b/>
          <w:sz w:val="20"/>
          <w:u w:val="single"/>
        </w:rPr>
        <w:t>Fairness Opinion</w:t>
      </w:r>
      <w:r>
        <w:rPr>
          <w:rFonts w:ascii="Times New Roman" w:hAnsi="Times New Roman"/>
          <w:sz w:val="20"/>
        </w:rPr>
        <w:t>. Prior to the execution of this Agreement, the DXL Board has received the oral opinion (to be confirmed in writing) of DXL’s Financial Advisor to the effect that, as of the date of such opinion and based upon and subject to the assumptions made, procedures followed, matters considered, and qualifications, restrictions and limitations upon the review undertaken by DXL’s Financial Advisor in preparing its opinion, the Merger Consideration to be paid by DXL in the Merger pursuant to this Agreement is fair, from a financial point of view, to the stockholders of DXL (the “</w:t>
      </w:r>
      <w:r>
        <w:rPr>
          <w:rFonts w:ascii="Times New Roman" w:hAnsi="Times New Roman"/>
          <w:sz w:val="20"/>
          <w:u w:val="single"/>
        </w:rPr>
        <w:t>DXL Fairness Opinion</w:t>
      </w:r>
      <w:r>
        <w:rPr>
          <w:rFonts w:ascii="Times New Roman" w:hAnsi="Times New Roman"/>
          <w:sz w:val="20"/>
        </w:rPr>
        <w:t xml:space="preserve">”). Such DXL Fairness Opinion has not been amended or rescinded as of the date of this Agreement. Copies of the written opinion of DXL’s Financial Advisor will be delivered to FBB for informational purposes only reasonably promptly following receipt thereof by DXL. </w:t>
      </w:r>
    </w:p>
    <w:p>
      <w:pPr>
        <w:pStyle w:val="TextBody"/>
        <w:bidi w:val="0"/>
        <w:spacing w:before="240" w:after="0"/>
        <w:jc w:val="left"/>
        <w:rPr>
          <w:rFonts w:ascii="Times New Roman" w:hAnsi="Times New Roman"/>
          <w:sz w:val="20"/>
        </w:rPr>
      </w:pPr>
      <w:bookmarkStart w:id="140" w:name="anxa76201_37"/>
      <w:bookmarkEnd w:id="140"/>
      <w:r>
        <w:rPr>
          <w:rFonts w:ascii="Times New Roman" w:hAnsi="Times New Roman"/>
          <w:b/>
          <w:sz w:val="20"/>
        </w:rPr>
        <w:t xml:space="preserve">SECTION 3.25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3.25</w:t>
      </w:r>
      <w:r>
        <w:rPr>
          <w:rFonts w:ascii="Times New Roman" w:hAnsi="Times New Roman"/>
          <w:sz w:val="20"/>
        </w:rPr>
        <w:t xml:space="preserve"> of the DXL Disclosure Schedule contains a complete and accurate list of all material policies of fire, liability, workers’ compensation, title and other forms of insurance owned, held by or otherwise applicable, as of the date of this Agreement, to the assets, properties or operations of DXL and the DXL Subsidiaries, and DXL has heretofore made available to FBB and its Representatives a complete and accurate copy of all such policies, including all occurrence based policies applicable to the assets, properties or operations of DXL and the DXL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DXL and the DXL Subsidiaries with (i) all requirements of applicable Law and (ii) all Contracts to which any of DXL or any of the DXL Subsidiaries is a party, and each of DXL and each of the DXL Subsidiaries has complied in all material respects with the provisions of such policy under which DXL or such DXL Subsidiary, as applicable is an insured party. Neither DXL nor any of the DXL Subsidiaries is in default under any of such insurance policies, and there exists no event, occurrence, condition or act which, with the giving of notice, the lapse of time or the happening of any other event or condition, would become a default thereunder. Neither DXL nor any of the DXL Subsidiaries has been refused any insurance or suffered the cancellation of any insurance with respect to the assets, properties or operations of DXL or such DXL Subsidiary, as applicable, by any insurance carrier to which it has applied for any such insurance or with which it has carried insurance during the last five (5) years. There are no pending or, to the Knowledge of DXL, outstanding or reasonably anticipated material claims under any insurance policy. </w:t>
      </w:r>
    </w:p>
    <w:p>
      <w:pPr>
        <w:pStyle w:val="TextBody"/>
        <w:bidi w:val="0"/>
        <w:spacing w:before="240" w:after="0"/>
        <w:jc w:val="left"/>
        <w:rPr>
          <w:rFonts w:ascii="Times New Roman" w:hAnsi="Times New Roman"/>
          <w:sz w:val="20"/>
        </w:rPr>
      </w:pPr>
      <w:bookmarkStart w:id="141" w:name="anxa76201_38"/>
      <w:bookmarkEnd w:id="141"/>
      <w:r>
        <w:rPr>
          <w:rFonts w:ascii="Times New Roman" w:hAnsi="Times New Roman"/>
          <w:b/>
          <w:sz w:val="20"/>
        </w:rPr>
        <w:t xml:space="preserve">SECTION 3.26 </w:t>
      </w:r>
      <w:r>
        <w:rPr>
          <w:rFonts w:ascii="Times New Roman" w:hAnsi="Times New Roman"/>
          <w:b/>
          <w:sz w:val="20"/>
          <w:u w:val="single"/>
        </w:rPr>
        <w:t>No Other Representations or Warranties; Reliance</w:t>
      </w:r>
      <w:r>
        <w:rPr>
          <w:rFonts w:ascii="Times New Roman" w:hAnsi="Times New Roman"/>
          <w:sz w:val="20"/>
        </w:rPr>
        <w:t xml:space="preserve">. Except for the express representations and warranties contained in this Agreement, none of DXL, Merger Sub, any of their Subsidiaries or Affiliates nor any other Person makes any express or implied representation or warranty on behalf of DXL, Merger Sub, their Subsidiaries or Affiliates or any other Person, and each of DXL, Merger Sub and their Subsidiaries and Affiliates hereby disclaims any such representation or warranty whether by DXL, Merger Sub or their Subsidiaries or Affiliates. Each of DXL and Merger Sub has not relied and is not relying on any statement, representation or warranty, oral or written, express or implied, made by FBB or any of its Affiliates or Representatives, except as expressly set forth in </w:t>
      </w:r>
      <w:r>
        <w:rPr>
          <w:rFonts w:ascii="Times New Roman" w:hAnsi="Times New Roman"/>
          <w:sz w:val="20"/>
          <w:u w:val="single"/>
        </w:rPr>
        <w:t>Article IV</w:t>
      </w:r>
      <w:r>
        <w:rPr>
          <w:rFonts w:ascii="Times New Roman" w:hAnsi="Times New Roman"/>
          <w:sz w:val="20"/>
        </w:rPr>
        <w:t xml:space="preserve"> and those certificates delivered by FBB pursuant to this Agreement. DXL has conducted its own independent investigation, review and analysis of, and reached its own independent conclusions regarding, the business, operations, assets, condition (financial or otherwise) and prospects of FBB and its Subsidiaries. DXL acknowledges that it and its Representatives have been provided adequate access to the personnel, properties, premises, records and other documents and information of and relating to FBB and its Subsidiaries for such purpose. </w:t>
      </w:r>
    </w:p>
    <w:p>
      <w:pPr>
        <w:pStyle w:val="TextBody"/>
        <w:bidi w:val="0"/>
        <w:spacing w:before="480" w:after="0"/>
        <w:jc w:val="center"/>
        <w:rPr>
          <w:rFonts w:ascii="Times New Roman" w:hAnsi="Times New Roman"/>
          <w:b/>
          <w:sz w:val="20"/>
        </w:rPr>
      </w:pPr>
      <w:bookmarkStart w:id="142" w:name="anxa76201_39"/>
      <w:bookmarkEnd w:id="142"/>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u w:val="single"/>
        </w:rPr>
        <w:t>REPRESENTATIONS AND WARRANTIES OF FBB</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disclosed in the correspondingly numbered section or subsection of the FBB Disclosure Schedule (it being understood that any disclosure set forth in one section or subsection of the FBB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be deemed disclosure with respect to, and shall be deemed to qualify, (i) the section or subsection of this Agreement to which it corresponds in number and (ii) each other section or subsection of this Agreement to the extent that it is reasonably apparent from the face of such disclosure that such disclosure also qualifies or applies to such other section or subsection), FBB hereby represents and warrants to DXL and Merger Sub as follows: </w:t>
      </w:r>
    </w:p>
    <w:p>
      <w:pPr>
        <w:pStyle w:val="TextBody"/>
        <w:bidi w:val="0"/>
        <w:spacing w:before="120" w:after="0"/>
        <w:jc w:val="left"/>
        <w:rPr>
          <w:rFonts w:ascii="Times New Roman" w:hAnsi="Times New Roman"/>
          <w:sz w:val="20"/>
        </w:rPr>
      </w:pPr>
      <w:bookmarkStart w:id="143" w:name="anxa76201_40"/>
      <w:bookmarkEnd w:id="143"/>
      <w:r>
        <w:rPr>
          <w:rFonts w:ascii="Times New Roman" w:hAnsi="Times New Roman"/>
          <w:b/>
          <w:sz w:val="20"/>
        </w:rPr>
        <w:t xml:space="preserve">SECTION 4.01 </w:t>
      </w:r>
      <w:r>
        <w:rPr>
          <w:rFonts w:ascii="Times New Roman" w:hAnsi="Times New Roman"/>
          <w:b/>
          <w:sz w:val="20"/>
          <w:u w:val="single"/>
        </w:rPr>
        <w:t>Corporate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is a company duly incorporated, validly existing and in good standing under the laws of the State of Delaware. FBB has the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would not, individually or in the aggregate, be material. </w:t>
      </w:r>
    </w:p>
    <w:p>
      <w:pPr>
        <w:pStyle w:val="TextBody"/>
        <w:bidi w:val="0"/>
        <w:spacing w:before="240" w:after="0"/>
        <w:jc w:val="left"/>
        <w:rPr>
          <w:rFonts w:ascii="Times New Roman" w:hAnsi="Times New Roman"/>
          <w:sz w:val="20"/>
        </w:rPr>
      </w:pPr>
      <w:r>
        <w:rPr>
          <w:rFonts w:ascii="Times New Roman" w:hAnsi="Times New Roman"/>
          <w:sz w:val="20"/>
        </w:rPr>
        <w:t xml:space="preserve">(b) A true and complete copy of each of the FBB Charter and FBB Bylaws has previously been made available to DXL. FBB is not in violation of any of the provisions of the FBB Charter or FBB Bylaws. </w:t>
      </w:r>
    </w:p>
    <w:p>
      <w:pPr>
        <w:pStyle w:val="TextBody"/>
        <w:bidi w:val="0"/>
        <w:spacing w:before="240" w:after="0"/>
        <w:jc w:val="left"/>
        <w:rPr>
          <w:rFonts w:ascii="Times New Roman" w:hAnsi="Times New Roman"/>
          <w:sz w:val="20"/>
        </w:rPr>
      </w:pPr>
      <w:r>
        <w:rPr>
          <w:rFonts w:ascii="Times New Roman" w:hAnsi="Times New Roman"/>
          <w:sz w:val="20"/>
        </w:rPr>
        <w:t xml:space="preserve">(c) Each FBB Subsidiary (A) is duly organized, validly existing and, to the extent such concept is applicable, in good standing under the laws of its jurisdiction of organization, (B) is duly licensed or qualified to do business in each jurisdiction in which the nature of the business conducted by it or the character or location of the properties and assets owned or leased by it makes such licensing or qualification necessary and (C) has all requisite corporate power and authority to own or lease its properties and assets and to carry on its business as now conducted, except for such variances from the matters set forth in </w:t>
      </w:r>
      <w:r>
        <w:rPr>
          <w:rFonts w:ascii="Times New Roman" w:hAnsi="Times New Roman"/>
          <w:sz w:val="20"/>
          <w:u w:val="single"/>
        </w:rPr>
        <w:t>clause</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as would not, individually or in the aggregate, be material. </w:t>
      </w:r>
    </w:p>
    <w:p>
      <w:pPr>
        <w:pStyle w:val="TextBody"/>
        <w:bidi w:val="0"/>
        <w:spacing w:before="240" w:after="0"/>
        <w:jc w:val="left"/>
        <w:rPr>
          <w:rFonts w:ascii="Times New Roman" w:hAnsi="Times New Roman"/>
          <w:sz w:val="20"/>
        </w:rPr>
      </w:pPr>
      <w:bookmarkStart w:id="144" w:name="anxa76201_41"/>
      <w:bookmarkEnd w:id="144"/>
      <w:r>
        <w:rPr>
          <w:rFonts w:ascii="Times New Roman" w:hAnsi="Times New Roman"/>
          <w:b/>
          <w:sz w:val="20"/>
        </w:rPr>
        <w:t xml:space="preserve">SECTION 4.02 </w:t>
      </w:r>
      <w:r>
        <w:rPr>
          <w:rFonts w:ascii="Times New Roman" w:hAnsi="Times New Roman"/>
          <w:b/>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Authorized and Issued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authorized share capital of FBB is 1,870,000 shares of capital stock, consisting of 1,700,000 shares of FBB Common Stock and 170,000 shares of FBB Preferred Stock (together, the “</w:t>
      </w:r>
      <w:r>
        <w:rPr>
          <w:rFonts w:ascii="Times New Roman" w:hAnsi="Times New Roman"/>
          <w:sz w:val="20"/>
          <w:u w:val="single"/>
        </w:rPr>
        <w:t>FBB Capital Stock</w:t>
      </w:r>
      <w:r>
        <w:rPr>
          <w:rFonts w:ascii="Times New Roman" w:hAnsi="Times New Roman"/>
          <w:sz w:val="20"/>
        </w:rPr>
        <w:t xml:space="preserve">”). As of the date hereof, there were (1) 1,155,007 shares of FBB Common Stock issued and outstanding, including 14,200 FBB Restricted Stock Awards, (2) 73,156 shares of FBB Preferred Stock issued and outstanding and (3) 50,367 shares of FBB Common Stock issuable upon exercise of the FBB Warrants. As of the Effective Time, there will be no issued or outstanding shares of FBB Preferred Stock or FBB Warrants. Except as set forth in the second sentence of this </w:t>
      </w:r>
      <w:r>
        <w:rPr>
          <w:rFonts w:ascii="Times New Roman" w:hAnsi="Times New Roman"/>
          <w:sz w:val="20"/>
          <w:u w:val="single"/>
        </w:rPr>
        <w:t>Section 4.02(a)(i)</w:t>
      </w:r>
      <w:r>
        <w:rPr>
          <w:rFonts w:ascii="Times New Roman" w:hAnsi="Times New Roman"/>
          <w:sz w:val="20"/>
        </w:rPr>
        <w:t xml:space="preserve">, (i) there are no outstanding or authorized restricted stock, restricted stock unit, stock appreciation right, phantom stock, “Emergence Awards” or other equity-based compensation awards with respect to FBB Common Stock, (ii) no other Equity Interests of FBB were issued, reserved for issuance or outstanding, and (iii) FBB has no other options, warrants, calls, pre-emptive rights, subscriptions or other rights, Contracts, arrangements or commitments of any kind, including any stockholder rights plan, relating to, or the value of which is determined in reference to, the issued or unissued FBB Capital Stock (or any other Equity Interest of FBB) or the Equity Interests of any FBB Subsidiary, obligating FBB or any FBB Subsidiary to issue, transfer or sell, or cause to be issued, transferred or sold, any Equity Interests of FBB or any FBB Subsidiary. All of the issued and outstanding shares of FBB Capital Stock are duly authorized and validly issued and fully paid, nonassessable and not subject to or issued in violation of any purchase option, call option, right of first refusal, preemptive right, subscription right or any similar right under any provision of the DGCL, the FBB Charter or any Contract to which FBB is a party or by which it is otherwise bound. </w:t>
      </w:r>
      <w:r>
        <w:rPr>
          <w:rFonts w:ascii="Times New Roman" w:hAnsi="Times New Roman"/>
          <w:sz w:val="20"/>
          <w:u w:val="single"/>
        </w:rPr>
        <w:t>Section 4.02(a)</w:t>
      </w:r>
      <w:r>
        <w:rPr>
          <w:rFonts w:ascii="Times New Roman" w:hAnsi="Times New Roman"/>
          <w:sz w:val="20"/>
        </w:rPr>
        <w:t xml:space="preserve"> of the FBB Disclosure Schedule contains a true, correct and complete ledger of all holders of the FBB Capital Stock as of the date hereof, including the name and address of each holder, the number and class of shares held by each such holder. </w:t>
      </w:r>
    </w:p>
    <w:p>
      <w:pPr>
        <w:pStyle w:val="TextBody"/>
        <w:bidi w:val="0"/>
        <w:spacing w:before="240" w:after="0"/>
        <w:jc w:val="left"/>
        <w:rPr>
          <w:rFonts w:ascii="Times New Roman" w:hAnsi="Times New Roman"/>
          <w:sz w:val="20"/>
        </w:rPr>
      </w:pPr>
      <w:r>
        <w:rPr>
          <w:rFonts w:ascii="Times New Roman" w:hAnsi="Times New Roman"/>
          <w:sz w:val="20"/>
        </w:rPr>
        <w:t>(b) No bonds, debentures, notes or other Indebtedness, or securities convertible into or exchangeable for, or other rights to acquire, any such bonds, debentures, notes or other Indebtedness, of FBB having the right to vote on any matters on which stockholders may vote (“</w:t>
      </w:r>
      <w:r>
        <w:rPr>
          <w:rFonts w:ascii="Times New Roman" w:hAnsi="Times New Roman"/>
          <w:sz w:val="20"/>
          <w:u w:val="single"/>
        </w:rPr>
        <w:t>FBB Voting Debt</w:t>
      </w:r>
      <w:r>
        <w:rPr>
          <w:rFonts w:ascii="Times New Roman" w:hAnsi="Times New Roman"/>
          <w:sz w:val="20"/>
        </w:rPr>
        <w:t xml:space="preserve">”) are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for the Equity Interests of the FBB Subsidiaries, which are identified by name, jurisdiction of incorporation or formation, and ownership thereof (including the percentage of such ownership) on </w:t>
      </w:r>
      <w:r>
        <w:rPr>
          <w:rFonts w:ascii="Times New Roman" w:hAnsi="Times New Roman"/>
          <w:sz w:val="20"/>
          <w:u w:val="single"/>
        </w:rPr>
        <w:t>Section 4.02(c)</w:t>
      </w:r>
      <w:r>
        <w:rPr>
          <w:rFonts w:ascii="Times New Roman" w:hAnsi="Times New Roman"/>
          <w:sz w:val="20"/>
        </w:rPr>
        <w:t xml:space="preserve"> of the FBB Disclosure Schedule, FBB does not own, beneficially or of record, directly or indirectly any Equity Interests in any Person, nor does FBB or any FBB Subsidiary have any Contract or other obligation requiring that FBB or any FBB Subsidiary acquire any Equity Interest in any Person. </w:t>
      </w:r>
    </w:p>
    <w:p>
      <w:pPr>
        <w:pStyle w:val="TextBody"/>
        <w:bidi w:val="0"/>
        <w:spacing w:before="240" w:after="0"/>
        <w:jc w:val="left"/>
        <w:rPr>
          <w:rFonts w:ascii="Times New Roman" w:hAnsi="Times New Roman"/>
          <w:sz w:val="20"/>
        </w:rPr>
      </w:pPr>
      <w:bookmarkStart w:id="145" w:name="anxa76201_42"/>
      <w:bookmarkEnd w:id="145"/>
      <w:r>
        <w:rPr>
          <w:rFonts w:ascii="Times New Roman" w:hAnsi="Times New Roman"/>
          <w:b/>
          <w:sz w:val="20"/>
        </w:rPr>
        <w:t xml:space="preserve">SECTION 4.03 </w:t>
      </w:r>
      <w:r>
        <w:rPr>
          <w:rFonts w:ascii="Times New Roman" w:hAnsi="Times New Roman"/>
          <w:b/>
          <w:sz w:val="20"/>
          <w:u w:val="single"/>
        </w:rPr>
        <w:t>Authority; No Violation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FBB has full corporate power and authority to execute and deliver this Agreement, and to perform its obligations hereunder and, subject to receipt of the FBB Stockholder Approval, to consummate the Merger and the other Transactions hereunder. The execution and delivery of this Agreement and the consummation of the Merger and the other Transactions have been duly and validly approved and adopted by the FBB Board (at meetings duly called and held or pursuant to a unanimous written consent). The FBB Board has (a) determined that this Agreement and the Merger and the other Transactions are fair to, advisable and in the best interests of FBB and its stockholders; (b) approved and declared advisable this Agreement and the Transactions; and (c) determined to recommend, upon the terms and subject to the conditions set forth in this Agreement, that the stockholders of FBB consent to approve the FBB Stockholder Approval. Except for the approval of this Agreement, the Merger, the FBB Charter Amendment, the COD Amendment and the other Transactions by the FBB Board, including at least one “Oaktree Designee” and at least one “GS Designee” (each as defined in the FBB Stockholders Agreement), which has been obtained, and by the holders of not less than (i) a majority of the voting power of the outstanding FBB Capital Stock, (ii) a majority of the outstanding FBB Preferred Stock, and (iii) a majority of the “Liquidation Preference” (as defined in the Certificate of Designation) of all of the shares of FBB Preferred Stock (clauses (i), (ii) and (iii) collectively, the “</w:t>
      </w:r>
      <w:r>
        <w:rPr>
          <w:rFonts w:ascii="Times New Roman" w:hAnsi="Times New Roman"/>
          <w:sz w:val="20"/>
          <w:u w:val="single"/>
        </w:rPr>
        <w:t>FBB Stockholder Approval</w:t>
      </w:r>
      <w:r>
        <w:rPr>
          <w:rFonts w:ascii="Times New Roman" w:hAnsi="Times New Roman"/>
          <w:sz w:val="20"/>
        </w:rPr>
        <w:t xml:space="preserve">”), no other corporate proceedings on the part of FBB or any other vote by the holders of any class or series of FBB Capital Stock are necessary to approve or adopt this Agreement or to consummate the Merger and the other Transactions. This Agreement has been duly and validly executed and delivered by FBB and (assuming due authorization, execution and delivery by the other parties hereto) constitutes the valid and binding obligation of FBB, enforceable against FBB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execution and delivery of this Agreement by FBB nor the consummation by FBB of the Merger, the FBB Charter Amendment, the COD Amendment or the other Transactions, nor compliance by FBB with any of the terms or provisions of this Agreement, will (i) violate any provision of the FBB Charter or FBB Bylaws or (ii) assuming that the consents, approvals and filings referred to in </w:t>
      </w:r>
      <w:r>
        <w:rPr>
          <w:rFonts w:ascii="Times New Roman" w:hAnsi="Times New Roman"/>
          <w:sz w:val="20"/>
          <w:u w:val="single"/>
        </w:rPr>
        <w:t>Section 4.04</w:t>
      </w:r>
      <w:r>
        <w:rPr>
          <w:rFonts w:ascii="Times New Roman" w:hAnsi="Times New Roman"/>
          <w:sz w:val="20"/>
        </w:rPr>
        <w:t xml:space="preserve"> are duly obtained and/or made, (A) violate any Injunction or any statute, code, ordinance, rule, regulation, judgment, order, writ or decree applicable to FBB, any of the FBB Subsidiaries or any of their respective properties or assets, or (B) violate, conflict with, result in a breach of any provision of or the loss of any benefit under, constitute a default (or an event which, with notice or lapse of time, or both, would constitute a default) under, result in the termination of or a right of termination or cancelation under, accelerate the performance required by, or result in the creation of any Lien upon any of the respective properties or assets of FBB or any of the FBB Subsidiaries under, any of the terms, conditions or provisions of any Contract, note, bond, mortgage, indenture, deed of trust, FBB License, lease, agreement or other instrument or obligation to which FBB or any of the FBB Subsidiaries is a party, or by which they or any of their respective properties or assets may be bound or affected, other than, in the case of clause (ii), that would not have, individually or in the aggregate, a Material Adverse Effect on FBB. </w:t>
      </w:r>
    </w:p>
    <w:p>
      <w:pPr>
        <w:pStyle w:val="TextBody"/>
        <w:bidi w:val="0"/>
        <w:spacing w:before="240" w:after="0"/>
        <w:jc w:val="left"/>
        <w:rPr>
          <w:rFonts w:ascii="Times New Roman" w:hAnsi="Times New Roman"/>
          <w:sz w:val="20"/>
        </w:rPr>
      </w:pPr>
      <w:bookmarkStart w:id="146" w:name="anxa76201_43"/>
      <w:bookmarkEnd w:id="146"/>
      <w:r>
        <w:rPr>
          <w:rFonts w:ascii="Times New Roman" w:hAnsi="Times New Roman"/>
          <w:b/>
          <w:sz w:val="20"/>
        </w:rPr>
        <w:t xml:space="preserve">SECTION 4.04 </w:t>
      </w:r>
      <w:r>
        <w:rPr>
          <w:rFonts w:ascii="Times New Roman" w:hAnsi="Times New Roman"/>
          <w:b/>
          <w:sz w:val="20"/>
          <w:u w:val="single"/>
        </w:rPr>
        <w:t>Consents and Approvals</w:t>
      </w:r>
      <w:r>
        <w:rPr>
          <w:rFonts w:ascii="Times New Roman" w:hAnsi="Times New Roman"/>
          <w:sz w:val="20"/>
        </w:rPr>
        <w:t xml:space="preserve">. Except for (a) the filing of the Certificate of Merger in accordance with the DGCL, (b) compliance with notices and filings, if any, under any Antitrust Laws of any applicable jurisdiction, (c) such filings and approvals as are required to be made or obtained under the securities or “Blue Sky” laws of various states in connection with the issuance of DXL Common Stock constituting the Merger Consideration, (d) any filings required under the rules and regulations of Nasdaq and (e) such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consents, authorizations, declarations, filings or registrations the failure of which to be obtained or made would not have, individually or in the aggregate, a Material Adverse Effect on FBB, no authorizations or authority of any Governmental Entity are necessary in connection with (i) the execution and delivery by FBB of this Agreement, and (ii) the consummation by FBB of the Transactions. </w:t>
      </w:r>
    </w:p>
    <w:p>
      <w:pPr>
        <w:pStyle w:val="TextBody"/>
        <w:bidi w:val="0"/>
        <w:spacing w:before="240" w:after="0"/>
        <w:jc w:val="left"/>
        <w:rPr>
          <w:rFonts w:ascii="Times New Roman" w:hAnsi="Times New Roman"/>
          <w:sz w:val="20"/>
        </w:rPr>
      </w:pPr>
      <w:bookmarkStart w:id="147" w:name="anxa76201_44"/>
      <w:bookmarkEnd w:id="147"/>
      <w:r>
        <w:rPr>
          <w:rFonts w:ascii="Times New Roman" w:hAnsi="Times New Roman"/>
          <w:b/>
          <w:sz w:val="20"/>
        </w:rPr>
        <w:t xml:space="preserve">SECTION 4.05 </w:t>
      </w:r>
      <w:r>
        <w:rPr>
          <w:rFonts w:ascii="Times New Roman" w:hAnsi="Times New Roman"/>
          <w:b/>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w:t>
      </w:r>
      <w:r>
        <w:rPr>
          <w:rFonts w:ascii="Times New Roman" w:hAnsi="Times New Roman"/>
          <w:sz w:val="20"/>
        </w:rPr>
        <w:t xml:space="preserve"> of the FBB Disclosure Schedule includes true and complete copies of FBB’s (i) unaudited balance sheet as of September 27, 2025 and the related unaudited statements of operations, cash flows and changes in stockholders’ equity as of and for the nine months ended September 30, 2025 and (ii) audited balance sheet as of December 28, 2024, December 30, 2023 and December 31, 2022, and the related audited statements of operations, cash flows and changes in stockholders’ equity for the years ended December 28, 2024, December 30, 2023 and December 31, 2022, together with the notes thereto and the reports and opinions of FBB’s independent auditor relating thereto, prepared in accordance with GAAP (such financial statements described in the immediately preceding clauses (i) and (ii), collectively, the “</w:t>
      </w:r>
      <w:r>
        <w:rPr>
          <w:rFonts w:ascii="Times New Roman" w:hAnsi="Times New Roman"/>
          <w:sz w:val="20"/>
          <w:u w:val="single"/>
        </w:rPr>
        <w:t>FBB Financial Statements</w:t>
      </w:r>
      <w:r>
        <w:rPr>
          <w:rFonts w:ascii="Times New Roman" w:hAnsi="Times New Roman"/>
          <w:sz w:val="20"/>
        </w:rPr>
        <w:t xml:space="preserve">”). The FBB Financial Statements (x) were prepared in all material respects in accordance with GAAP applied on a consistent basis (unless otherwise noted therein) throughout the periods indicated and (y) fairly present, in all material respects, the financial condition, the cash flows and operating results of FBB as of the dates and for the periods indicated therein (subject to normal year-end adjustments in the case of any unaudited interim financial statements, none of which are material, individually or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neither FBB nor any of its Subsidiaries nor, to the knowledge of FBB, any director, officer, employee, auditor, accountant, consultant or Representative of FBB or any of its Subsidiaries has received or otherwise had or obtained Knowledge of any complaint, allegation, assertion or claim, whether written or oral, that FBB or any of its Subsidiaries has engaged in accounting or auditing practices in violation of applicable Law or applicable requirements of GAAP.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its Subsidiaries (nor, to the Knowledge of FBB, any employee thereof) nor FBB’s independent auditor has identified or been made aware of any (i) significant deficiency or material weakness in the system of internal accounting controls utilized by FBB and its Subsidiaries; (ii) fraud, whether or not material, that involves FBB’s management or other employees who have a role in the preparation of financial statements or the internal accounting controls utilized by FBB and its Subsidiaries; or (iii)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(d) Except (i) for those liabilities that are reflected or reserved against on FBB’s balance sheet as of December 28, 2024 or the notes thereto, (ii) for liabilities and obligations incurred in the ordinary course of business consistent with past practice since the date of such balance sheet and (iii) for liabilities and obligations incurred in connection with this Agreement, FBB and its Subsidiaries do not have any liabilities that, individually or in the aggregate, are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FBB is not a party to, nor does it have any commitment to become a party to, any joint venture, partnership agreement or any similar Contract (including any Contract relating to any transaction, arrangement or relationship between FBB, on the one hand, and any unconsolidated Affiliate, including any structured finance, special purpose or limited purpose entity or Person, on the other hand), or any off-balance sheet arrangement, which, the case of any of the foregoing, would (if FBB were subject to the reporting requirements of Section 13a of the Exchange Act) be required to be disclosed pursuant to Item 303(b) of Regulation S-K promulgated by the SEC. </w:t>
      </w:r>
    </w:p>
    <w:p>
      <w:pPr>
        <w:pStyle w:val="TextBody"/>
        <w:bidi w:val="0"/>
        <w:spacing w:before="240" w:after="0"/>
        <w:jc w:val="left"/>
        <w:rPr>
          <w:rFonts w:ascii="Times New Roman" w:hAnsi="Times New Roman"/>
          <w:sz w:val="20"/>
        </w:rPr>
      </w:pPr>
      <w:bookmarkStart w:id="148" w:name="anxa76201_45"/>
      <w:bookmarkEnd w:id="148"/>
      <w:r>
        <w:rPr>
          <w:rFonts w:ascii="Times New Roman" w:hAnsi="Times New Roman"/>
          <w:b/>
          <w:sz w:val="20"/>
        </w:rPr>
        <w:t xml:space="preserve">SECTION 4.06 </w:t>
      </w:r>
      <w:r>
        <w:rPr>
          <w:rFonts w:ascii="Times New Roman" w:hAnsi="Times New Roman"/>
          <w:b/>
          <w:sz w:val="20"/>
          <w:u w:val="single"/>
        </w:rPr>
        <w:t>Advisors’ Fees</w:t>
      </w:r>
      <w:r>
        <w:rPr>
          <w:rFonts w:ascii="Times New Roman" w:hAnsi="Times New Roman"/>
          <w:sz w:val="20"/>
        </w:rPr>
        <w:t>. None of FBB, any FBB Subsidiary or any of their respective officers or directors has employed any Advisor, or incurred any liability for any broker’s fees, commissions, finder’s fees or other Advisor fees, in connection with the Merger or other Transactions, other than Rothschild &amp; Co (“</w:t>
      </w:r>
      <w:r>
        <w:rPr>
          <w:rFonts w:ascii="Times New Roman" w:hAnsi="Times New Roman"/>
          <w:sz w:val="20"/>
          <w:u w:val="single"/>
        </w:rPr>
        <w:t>FBB’s Financial Advisor</w:t>
      </w:r>
      <w:r>
        <w:rPr>
          <w:rFonts w:ascii="Times New Roman" w:hAnsi="Times New Roman"/>
          <w:sz w:val="20"/>
        </w:rPr>
        <w:t xml:space="preserve">”). FBB retained FBB’s Financial Advisor pursuant to an engagement letter and has delivered to DXL a true and complete copy of such engagement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49" w:name="anxa76201_46"/>
      <w:bookmarkEnd w:id="149"/>
      <w:r>
        <w:rPr>
          <w:rFonts w:ascii="Times New Roman" w:hAnsi="Times New Roman"/>
          <w:b/>
          <w:sz w:val="20"/>
        </w:rPr>
        <w:t xml:space="preserve">SECTION 4.07 </w:t>
      </w:r>
      <w:r>
        <w:rPr>
          <w:rFonts w:ascii="Times New Roman" w:hAnsi="Times New Roman"/>
          <w:b/>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December 28, 2024, through the date of this Agreement, no event or events or development or developments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(b) Except in connection with the execution and delivery of this Agreement and the Transactions, from December 28, 2024 through the date of this Agreement, FBB and the FBB Subsidiaries have carried on their respective businesses in all material respects in the ordinary course, consistent with past practice. </w:t>
      </w:r>
    </w:p>
    <w:p>
      <w:pPr>
        <w:pStyle w:val="TextBody"/>
        <w:bidi w:val="0"/>
        <w:spacing w:before="240" w:after="0"/>
        <w:jc w:val="left"/>
        <w:rPr>
          <w:rFonts w:ascii="Times New Roman" w:hAnsi="Times New Roman"/>
          <w:sz w:val="20"/>
        </w:rPr>
      </w:pPr>
      <w:bookmarkStart w:id="150" w:name="anxa76201_47"/>
      <w:bookmarkEnd w:id="150"/>
      <w:r>
        <w:rPr>
          <w:rFonts w:ascii="Times New Roman" w:hAnsi="Times New Roman"/>
          <w:b/>
          <w:sz w:val="20"/>
        </w:rPr>
        <w:t xml:space="preserve">SECTION 4.08 </w:t>
      </w:r>
      <w:r>
        <w:rPr>
          <w:rFonts w:ascii="Times New Roman" w:hAnsi="Times New Roman"/>
          <w:b/>
          <w:sz w:val="20"/>
          <w:u w:val="single"/>
        </w:rPr>
        <w:t>Legal Proceedings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of the date hereof, none of FBB nor any of the FBB Subsidiaries is a party to any, and there are no pending or, to FBB’s Knowledge, threatened Proceedings against FBB or any of the FBB Subsidiaries, or, to FBB’s Knowledge, any of the directors, officers or employees of FBB of any of its Subsidiaries in their respective capacities as such; and, since January 1, 2022, neither FBB nor any of its Subsidiaries has settled or compromised any proceeding or claim, whether filed or threatened, which settlement or compromise is or was material to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There is no Injunction, judgment or regulatory restriction imposed upon FBB, any of the FBB Subsidiaries or the assets of FBB or any of the FBB Subsidiaries. </w:t>
      </w:r>
    </w:p>
    <w:p>
      <w:pPr>
        <w:pStyle w:val="TextBody"/>
        <w:bidi w:val="0"/>
        <w:spacing w:before="240" w:after="0"/>
        <w:jc w:val="left"/>
        <w:rPr>
          <w:rFonts w:ascii="Times New Roman" w:hAnsi="Times New Roman"/>
          <w:sz w:val="20"/>
        </w:rPr>
      </w:pPr>
      <w:bookmarkStart w:id="151" w:name="anxa76201_48"/>
      <w:bookmarkEnd w:id="151"/>
      <w:r>
        <w:rPr>
          <w:rFonts w:ascii="Times New Roman" w:hAnsi="Times New Roman"/>
          <w:b/>
          <w:sz w:val="20"/>
        </w:rPr>
        <w:t xml:space="preserve">SECTION 4.09 </w:t>
      </w:r>
      <w:r>
        <w:rPr>
          <w:rFonts w:ascii="Times New Roman" w:hAnsi="Times New Roman"/>
          <w:b/>
          <w:sz w:val="20"/>
          <w:u w:val="single"/>
        </w:rPr>
        <w:t>Taxes and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has not had and would not reasonably be expected to have, individually or in the aggregate, a Material Adverse Effect on FBB: </w:t>
      </w:r>
    </w:p>
    <w:p>
      <w:pPr>
        <w:pStyle w:val="TextBody"/>
        <w:bidi w:val="0"/>
        <w:spacing w:before="120" w:after="0"/>
        <w:jc w:val="left"/>
        <w:rPr>
          <w:rFonts w:ascii="Times New Roman" w:hAnsi="Times New Roman"/>
          <w:sz w:val="20"/>
        </w:rPr>
      </w:pPr>
      <w:r>
        <w:rPr>
          <w:rFonts w:ascii="Times New Roman" w:hAnsi="Times New Roman"/>
          <w:sz w:val="20"/>
        </w:rPr>
        <w:t xml:space="preserve">(i) All Tax Returns required by Law to be filed by FBB and the FBB Subsidiaries have been duly and timely filed (after giving effect to any valid extensions of time in which to make such filings) and all such Tax Returns are true, correct and complete. </w:t>
      </w:r>
    </w:p>
    <w:p>
      <w:pPr>
        <w:pStyle w:val="TextBody"/>
        <w:bidi w:val="0"/>
        <w:spacing w:before="240" w:after="0"/>
        <w:jc w:val="left"/>
        <w:rPr>
          <w:rFonts w:ascii="Times New Roman" w:hAnsi="Times New Roman"/>
          <w:sz w:val="20"/>
        </w:rPr>
      </w:pPr>
      <w:r>
        <w:rPr>
          <w:rFonts w:ascii="Times New Roman" w:hAnsi="Times New Roman"/>
          <w:sz w:val="20"/>
        </w:rPr>
        <w:t xml:space="preserve">(ii) All amounts of Taxes shown due on any Tax Returns of FBB and the FBB Subsidiaries and all other amounts of Taxes owed by FBB and the FBB Subsidiaries have been timely paid. </w:t>
      </w:r>
    </w:p>
    <w:p>
      <w:pPr>
        <w:pStyle w:val="TextBody"/>
        <w:bidi w:val="0"/>
        <w:spacing w:before="240" w:after="0"/>
        <w:jc w:val="left"/>
        <w:rPr>
          <w:rFonts w:ascii="Times New Roman" w:hAnsi="Times New Roman"/>
          <w:sz w:val="20"/>
        </w:rPr>
      </w:pPr>
      <w:r>
        <w:rPr>
          <w:rFonts w:ascii="Times New Roman" w:hAnsi="Times New Roman"/>
          <w:sz w:val="20"/>
        </w:rPr>
        <w:t xml:space="preserve">(iii) FBB and the FBB Subsidiaries have (i) withheld all amounts of Taxes required to have been withheld by it in connection with amounts paid to any employee, independent contractor, creditor, stockholder or any other third party, and (ii) remitted such amounts required to have been remitted to the appropriate Tax Authority. </w:t>
      </w:r>
    </w:p>
    <w:p>
      <w:pPr>
        <w:pStyle w:val="TextBody"/>
        <w:bidi w:val="0"/>
        <w:spacing w:before="240" w:after="0"/>
        <w:jc w:val="left"/>
        <w:rPr>
          <w:rFonts w:ascii="Times New Roman" w:hAnsi="Times New Roman"/>
          <w:sz w:val="20"/>
        </w:rPr>
      </w:pPr>
      <w:r>
        <w:rPr>
          <w:rFonts w:ascii="Times New Roman" w:hAnsi="Times New Roman"/>
          <w:sz w:val="20"/>
        </w:rPr>
        <w:t xml:space="preserve">(iv) Neither FBB nor the FBB Subsidiaries is currently engaged in any audit, administrative or judicial proceeding with a Tax Authority with respect to Taxes. Neither FBB nor the FBB Subsidiaries has received any written notice from a Tax Authority of a proposed deficiency of any amount of Taxes other than any such deficiencies that have since been resolved. No written claim has been made by any Tax Authority in a jurisdiction where FBB or the FBB Subsidiaries does not file a Tax Return that such entity is or may be subject to Taxes by, or required to file Tax Returns in, that jurisdiction which claim has not been resolved. There are no outstanding agreements extending or waiving the statutory period of limitations applicable to any claim for, or the period for the collection or assessment or reassessment of, Taxes of FBB or the FBB Subsidiaries, and no written request for any such waiver or extension is currently pending. </w:t>
      </w:r>
    </w:p>
    <w:p>
      <w:pPr>
        <w:pStyle w:val="TextBody"/>
        <w:bidi w:val="0"/>
        <w:spacing w:before="240" w:after="0"/>
        <w:jc w:val="left"/>
        <w:rPr>
          <w:rFonts w:ascii="Times New Roman" w:hAnsi="Times New Roman"/>
          <w:sz w:val="20"/>
        </w:rPr>
      </w:pPr>
      <w:r>
        <w:rPr>
          <w:rFonts w:ascii="Times New Roman" w:hAnsi="Times New Roman"/>
          <w:sz w:val="20"/>
        </w:rPr>
        <w:t xml:space="preserve">(v) Neither FBB nor the FBB Subsidiaries has constituted either a “distributing corporation” or a “controlled corporation” in a distribution of stock qualifying for tax-free treatment under Section 355 of the Code in the prior two (2)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Neither FBB nor the FBB Subsidiaries has been a party 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 Neither FBB nor the FBB Subsidiaries will be required to include any item of income in, or exclude any item of deduction from, taxable income for any taxable period (or portion thereof) ending after the Closing Date as a result of any: (A) change in method of accounting for a taxable period (or portion thereof) ending on or prior to the Closing Date and made prior to the Closing; (B) ruling by, or written agreement with, a Tax Authority (including any closing agreement pursuant to Section 7121 of the Code or any similar provision of Tax Law) issue or executed prior to the Closing; (C) installment sale or open transaction disposition made prior to the Closing; (D) prepaid amount received prior to the Closing outside of the ordinary course of business; (E) intercompany transaction or excess loss accounts described in the Treasury Regulations promulgated under Section 1502 of the Code (or any corresponding or similar provision of state, local or foreign income Tax Law) that existed prior to the Closing; (F) any transactions effected or investments made prior to the Closing that results in taxable income pursuant to Section 951(a) or 951A of the Code (or any similar provision of Law), or (G) any election under Section 965 of the Code. </w:t>
      </w:r>
    </w:p>
    <w:p>
      <w:pPr>
        <w:pStyle w:val="TextBody"/>
        <w:bidi w:val="0"/>
        <w:spacing w:before="240" w:after="0"/>
        <w:jc w:val="left"/>
        <w:rPr>
          <w:rFonts w:ascii="Times New Roman" w:hAnsi="Times New Roman"/>
          <w:sz w:val="20"/>
        </w:rPr>
      </w:pPr>
      <w:r>
        <w:rPr>
          <w:rFonts w:ascii="Times New Roman" w:hAnsi="Times New Roman"/>
          <w:sz w:val="20"/>
        </w:rPr>
        <w:t xml:space="preserve">(viii) Neither FBB nor the FBB Subsidiaries has any liability for the Taxes of any Person (other than the FBB or the FBB Subsidiaries) (i) under Treasury Regulation Section 1.1502-6 (or any similar provision of state, local or foreign Law), (ii) as a transferee or successor or (iii) by Contract (except, in each case, for any such agreements that are commercial contracts not primarily relating to Taxes). </w:t>
      </w:r>
    </w:p>
    <w:p>
      <w:pPr>
        <w:pStyle w:val="TextBody"/>
        <w:bidi w:val="0"/>
        <w:spacing w:before="360" w:after="0"/>
        <w:jc w:val="left"/>
        <w:rPr>
          <w:rFonts w:ascii="Times New Roman" w:hAnsi="Times New Roman"/>
          <w:sz w:val="20"/>
        </w:rPr>
      </w:pPr>
      <w:r>
        <w:rPr>
          <w:rFonts w:ascii="Times New Roman" w:hAnsi="Times New Roman"/>
          <w:sz w:val="20"/>
        </w:rPr>
        <w:t xml:space="preserve">(ix) Neither FBB nor the FBB Subsidiaries is party to, or bound by, or has any obligation to, any Tax Authority or other Person under any Tax allocation, Tax sharing or Tax indemnification agreements (except, in each case, for any such agreements that are commercial contracts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(x) A valid and timely Section 83(b) election was filed with respect to each outstanding award granted under the FBB Equity Plan or other equity or equity-related right or interest of FBB or any of its Subsidiaries to the extent such award, right or interest was subject to a substantial risk of forfeiture (including, for the avoidance of doubt, with respect to any FBB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(xi) FBB and the FBB Subsidiaries have complied in all material respects with respect to all applicable Laws relating to the reporting and payment of amounts relating to escheat or abandoned or unclaimed property obligations or similar Laws and have no liability pursuant to any such Laws. </w:t>
      </w:r>
    </w:p>
    <w:p>
      <w:pPr>
        <w:pStyle w:val="TextBody"/>
        <w:bidi w:val="0"/>
        <w:spacing w:before="240" w:after="0"/>
        <w:jc w:val="left"/>
        <w:rPr>
          <w:rFonts w:ascii="Times New Roman" w:hAnsi="Times New Roman"/>
          <w:sz w:val="20"/>
        </w:rPr>
      </w:pPr>
      <w:r>
        <w:rPr>
          <w:rFonts w:ascii="Times New Roman" w:hAnsi="Times New Roman"/>
          <w:sz w:val="20"/>
        </w:rPr>
        <w:t xml:space="preserve">(xii) FBB is classified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(xiii) Neither FBB nor the FBB Subsidiaries has taken or agreed to take any action or believes or has any reason to believe that any conditions exist that could prevent or impede the Merger from qualifying for the Intended Tax Treatment. </w:t>
      </w:r>
    </w:p>
    <w:p>
      <w:pPr>
        <w:pStyle w:val="TextBody"/>
        <w:bidi w:val="0"/>
        <w:spacing w:before="240" w:after="0"/>
        <w:jc w:val="left"/>
        <w:rPr>
          <w:rFonts w:ascii="Times New Roman" w:hAnsi="Times New Roman"/>
          <w:sz w:val="20"/>
        </w:rPr>
      </w:pPr>
      <w:bookmarkStart w:id="152" w:name="anxa76201_49"/>
      <w:bookmarkEnd w:id="152"/>
      <w:r>
        <w:rPr>
          <w:rFonts w:ascii="Times New Roman" w:hAnsi="Times New Roman"/>
          <w:b/>
          <w:sz w:val="20"/>
        </w:rPr>
        <w:t xml:space="preserve">SECTION 4.10 </w:t>
      </w:r>
      <w:r>
        <w:rPr>
          <w:rFonts w:ascii="Times New Roman" w:hAnsi="Times New Roman"/>
          <w:b/>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w:t>
      </w:r>
      <w:r>
        <w:rPr>
          <w:rFonts w:ascii="Times New Roman" w:hAnsi="Times New Roman"/>
          <w:sz w:val="20"/>
          <w:u w:val="single"/>
        </w:rPr>
        <w:t>FBB Benefit Plan</w:t>
      </w:r>
      <w:r>
        <w:rPr>
          <w:rFonts w:ascii="Times New Roman" w:hAnsi="Times New Roman"/>
          <w:sz w:val="20"/>
        </w:rPr>
        <w:t xml:space="preserve">” shall mean each benefit or compensation plan, arrangement, agreement, policy or program, including any “employee welfare plan” within the meaning of Section 3(a) of ERISA, whether or not subject to ERISA, any “employee pension benefit plan” within the meaning of Section 3(2) of ERISA, whether or not subject to ERISA, and any bonus, incentive, deferred compensation, vacation, stock option, severance, employment, retention, salary continuation, change of control, retirement, pension, profit sharing or fringe benefit plan, or program, of any kind (whether written or oral, tax-qualified or non-tax qualified, funded or unfunded, foreign or domestic, active, frozen or terminated), that is sponsored, maintained or contributed to by FBB (or required to be maintained or contributed to by FBB) for the benefit of current or former directors, officers or employees of, or consultants to, FBB or with respect to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FBB, directly or indirectly, has any liability, excluding, in each case, any Multiemployer Plan. </w:t>
      </w:r>
      <w:r>
        <w:rPr>
          <w:rFonts w:ascii="Times New Roman" w:hAnsi="Times New Roman"/>
          <w:sz w:val="20"/>
          <w:u w:val="single"/>
        </w:rPr>
        <w:t>Section 4.10(a)</w:t>
      </w:r>
      <w:r>
        <w:rPr>
          <w:rFonts w:ascii="Times New Roman" w:hAnsi="Times New Roman"/>
          <w:sz w:val="20"/>
        </w:rPr>
        <w:t xml:space="preserve"> of the FBB Disclosure Schedule contains a true and complete list of each material FBB Benefit Plan. With respect to each FBB Benefit Plan, FBB has provided or made available to DXL true and complete copies of: (x) such FBB Benefit Plan, if written, or a description of such FBB Benefit Plan, if not written and (y) to the extent applicable to such FBB Benefit Plan: (i) all trust agreements, insurance contracts or other funding arrangements; (ii) the most recent Form 5500 (including all schedules thereto) required to have been filed with the Department of Labor and all schedules thereto; (iii) the most recent IRS determination, advisory or opinion letter; (iv) the most recent summary plan descriptions; (v) all material non- routine communications to or from any Governmental Entity related to any FBB Benefit Plan (including a written description of any oral communication) within the last calendar year, or for any matter that remains unresolved as of the date hereof; and (vi) all amendments and modifications to any such document.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has not had and would not reasonably be expected to have, individually or in the aggregate, a Material Adverse Effect on FBB, (i) each FBB Benefit Plan is in compliance with all applicable Laws, including ERISA, the Code, and the terms of such FBB Benefit Plan; (ii) each FBB Benefit Plan that is intended to be “qualified” within the meaning of Section 401(a) of the Code has received a favorable determination, advisory or opinion letter from the Internal Revenue Service, or with respect to a pre-approved plan, can rely on an advisory or opinion letter from the Internal Revenue Service to the pre-approved plan sponsor, to the effect that such FBB Benefit Plan is so qualified with respect to its form and that the plan and the trust related thereto qualify in form to be exempt from federal income Taxes under Sections 401(a) and 501(a), respectively, of the Code, no such determination, advisory or opinion letter has been revoked, no revocation has been threatened and FBB is aware of no event occurring after the date of such determination that could reasonably be expected to cause the revocation of such letter or result in the loss of such qualification; (iii) no condition exists that is reasonably likely to subject FBB or any FBB ERISA Affiliate to any direct or indirect liability under Title IV of ERISA or to a civil penalty under Section 502(j) of ERISA or liability under Section 4069 of ERISA or Section 4975, 4976, or 4980B of the Code or other liability with respect to the FBB Benefit Plans; (iv) there are no pending or, to FBB’s Knowledge, threatened claims (other than routine claims for benefits) by, on behalf of or against any of the FBB Benefit Plans or any trusts related thereto; (v) no FBB Benefit Plan is, or within the last three (3) years has been, the subject of an examination or audit by a Governmental Entity and to FBB’s Knowledge, no fact or event exists or could reasonably be expected to give rise to any such investigation, audit or other administrative proceeding with respect to an FBB Benefit Plan; and (vi) all contributions, premiums and other similar payments to, and payments from, the FBB Benefit Plans which are required to have been made by FBB or any of its Subsidiaries with respect to any period ending on or before the Closing Date, in accordance with the FBB Benefit Plans, have been timely made or accrued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Neither FBB nor any FBB ERISA Affiliate has, within the past six (6) years, maintained, sponsored, contributed to, been required to contribute to or has or could reasonably be expected to have any liability with respect to a, (i) “multiemployer plan” as defined in Section 4001(a)(3) of ERISA, (ii) “single employer pension plan” as defined in Section 4001(a)(15) of ERISA, (iii) “multiple employer welfare arrangement” as defined in Section 3(40) of ERISA, or (iv) “multiple employer plan” subject to Section 413(c) of the Code. Neither FBB nor any FBB ERISA Affiliate has any current or contingent liability or obligation with respect to any plan that is or was within the past six (6) years subject to Title IV of ERISA or Sections 412 or 430 of the Code. </w:t>
      </w:r>
    </w:p>
    <w:p>
      <w:pPr>
        <w:pStyle w:val="TextBody"/>
        <w:bidi w:val="0"/>
        <w:spacing w:before="240" w:after="0"/>
        <w:jc w:val="left"/>
        <w:rPr>
          <w:rFonts w:ascii="Times New Roman" w:hAnsi="Times New Roman"/>
          <w:sz w:val="20"/>
        </w:rPr>
      </w:pPr>
      <w:r>
        <w:rPr>
          <w:rFonts w:ascii="Times New Roman" w:hAnsi="Times New Roman"/>
          <w:sz w:val="20"/>
        </w:rPr>
        <w:t xml:space="preserve">(d) Except as provided by this Agreement or as set forth on </w:t>
      </w:r>
      <w:r>
        <w:rPr>
          <w:rFonts w:ascii="Times New Roman" w:hAnsi="Times New Roman"/>
          <w:sz w:val="20"/>
          <w:u w:val="single"/>
        </w:rPr>
        <w:t>Section 4.10(d)</w:t>
      </w:r>
      <w:r>
        <w:rPr>
          <w:rFonts w:ascii="Times New Roman" w:hAnsi="Times New Roman"/>
          <w:sz w:val="20"/>
        </w:rPr>
        <w:t xml:space="preserve"> of the FBB Disclosure Schedule, no FBB Benefit Plan provides, nor does FBB nor any Subsidiary have any obligation to provide, post-termination medical, health, life insurance or other welfare-type benefits for retired, former or current employees or beneficiaries or dependents thereof, including any post-employment or retiree health or welfare benefits, except for continued medical benefit coverage mandated by Part 6 of Subtitle B of Title I of ERISA, required under Section 4980B or as required under state or other applicable continuation coverage law, in each case for which the covered individual pays the full cost of coverage.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Except as provided by this Agreement or as set forth on </w:t>
      </w:r>
      <w:r>
        <w:rPr>
          <w:rFonts w:ascii="Times New Roman" w:hAnsi="Times New Roman"/>
          <w:sz w:val="20"/>
          <w:u w:val="single"/>
        </w:rPr>
        <w:t>Section 4.10(e)</w:t>
      </w:r>
      <w:r>
        <w:rPr>
          <w:rFonts w:ascii="Times New Roman" w:hAnsi="Times New Roman"/>
          <w:sz w:val="20"/>
        </w:rPr>
        <w:t xml:space="preserve"> of the FBB Disclosure Schedule, neither the execution and delivery of this Agreement nor the consummation of the Merger or the other Transactions contemplated by this Agreement (either alone or in conjunction with any other event) will (i) result in any payment becoming due to any current or former director, officer or any employee, consultant or individual service provider of FBB or any FBB Subsidiary, including severance pay, change of control benefit or any other payment from FBB or any FBB Subsidiary, (ii) increase any benefits otherwise payable under any FBB Benefit Plan or materially increase compensation, (iii) result in or cause the vesting, exercisability, acceleration of the time of payment, funding or vesting of any such benefits, or forfeiture of or increase the amount or value of, any compensation or benefits due to any such employee, officer, director or consultant, (iv) result in the triggering or imposition of any restrictions or limitations on the rights of FBB to amend, merge or terminate any FBB Benefit Plan or (v) trigger any other obligation under, or result in the breach or violation of, any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(f) Except as has not had and would not reasonably be expected to have, individually or in the aggregate, a Material Adverse Effect on FBB, each FBB Benefit Plan that is a “nonqualified deferred compensation plan” (within the meaning of Section 409A of the Code) and has been established, operated and maintained in compliance with Section 409A of the Code and any proposed and final guidance promulgated under Section 409A of the Code. No additional Tax under Section 409A(a)(1)(B) of the Code has been incurred by a participant in any such FBB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Neither FBB nor any FBB Subsidiary is a party to, nor does any of them have any obligation under any FBB Benefit Plan to compensate or otherwise indemnify any Person for any gross-up, make-whole or excise Taxes payable pursuant to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payment or benefit, individually or together with any other payment or benefit, that could be received (whether in cash, property or the vesting of property), as a result of the Transactions, either alone or in combination with another event, by any current or former employee or natural person independent contractor of FBB would not be deductible by reason of Section 280G of the Code or would be subject to an excise tax under Section 4999 or the Code. Neither FBB nor any FBB Subsidiary has any legally binding plan or commitment to create any additional FBB Benefit Plan or to modify or change any existing FBB Benefit Plan that would be reasonably expected to result in material liabilities to FBB or any FBB Subsidiary, except as may be required by applicable Law. </w:t>
      </w:r>
    </w:p>
    <w:p>
      <w:pPr>
        <w:pStyle w:val="TextBody"/>
        <w:bidi w:val="0"/>
        <w:spacing w:before="240" w:after="0"/>
        <w:jc w:val="left"/>
        <w:rPr>
          <w:rFonts w:ascii="Times New Roman" w:hAnsi="Times New Roman"/>
          <w:sz w:val="20"/>
        </w:rPr>
      </w:pPr>
      <w:r>
        <w:rPr>
          <w:rFonts w:ascii="Times New Roman" w:hAnsi="Times New Roman"/>
          <w:sz w:val="20"/>
        </w:rPr>
        <w:t>(i) Each Multiemployer Plan maintained, sponsored or contributed to, or required to be contributed to, by FBB, any FBB Subsidiary or any FBB ERISA Affiliate (a “</w:t>
      </w:r>
      <w:r>
        <w:rPr>
          <w:rFonts w:ascii="Times New Roman" w:hAnsi="Times New Roman"/>
          <w:sz w:val="20"/>
          <w:u w:val="single"/>
        </w:rPr>
        <w:t>FBB Multiemployer Plan</w:t>
      </w:r>
      <w:r>
        <w:rPr>
          <w:rFonts w:ascii="Times New Roman" w:hAnsi="Times New Roman"/>
          <w:sz w:val="20"/>
        </w:rPr>
        <w:t xml:space="preserve">”), as of the date of this Agreement, is listed in </w:t>
      </w:r>
      <w:r>
        <w:rPr>
          <w:rFonts w:ascii="Times New Roman" w:hAnsi="Times New Roman"/>
          <w:sz w:val="20"/>
          <w:u w:val="single"/>
        </w:rPr>
        <w:t>Section 4.10(i)</w:t>
      </w:r>
      <w:r>
        <w:rPr>
          <w:rFonts w:ascii="Times New Roman" w:hAnsi="Times New Roman"/>
          <w:sz w:val="20"/>
        </w:rPr>
        <w:t xml:space="preserve"> of the FBB Disclosure Schedule. With respect to any FBB Multiemployer Plan, neither FBB nor any FBB ERISA Affiliate has incurred any withdrawal liability under Title IV of ERISA which remains unsatisfied, except as, individually or in the aggregate, has not had and would not reasonably be expected to have a Material Adverse Effect on FBB. With respect to each FBB Multiemployer Plan, neither FBB nor any FBB Subsidiary or FBB ERISA Affiliate has been informed of: (i) any prohibited transaction (as defined in Section 4975 of the Code or Section 406 of ERISA); (ii) any fact that would adversely affect the tax qualified status of such Multiemployer Plan; or (iii) any completed or partial termination (whether by mass withdrawal or otherwise). </w:t>
      </w:r>
    </w:p>
    <w:p>
      <w:pPr>
        <w:pStyle w:val="TextBody"/>
        <w:bidi w:val="0"/>
        <w:spacing w:before="240" w:after="0"/>
        <w:jc w:val="left"/>
        <w:rPr>
          <w:rFonts w:ascii="Times New Roman" w:hAnsi="Times New Roman"/>
          <w:sz w:val="20"/>
        </w:rPr>
      </w:pPr>
      <w:r>
        <w:rPr>
          <w:rFonts w:ascii="Times New Roman" w:hAnsi="Times New Roman"/>
          <w:sz w:val="20"/>
        </w:rPr>
        <w:t xml:space="preserve">(j) All contributions required to be made by FBB or any FBB Subsidiary under each FBB Multiemployer Plan have been timely made and all obligations in respect of each FBB Multiemployer Plan have been properly accrued and reflected in FBB’s most recent audited balance sheet, except as, individually or in the aggregate, has not had and would not reasonably be expected to have a Material Adverse Effect on FBB. </w:t>
      </w:r>
    </w:p>
    <w:p>
      <w:pPr>
        <w:pStyle w:val="TextBody"/>
        <w:bidi w:val="0"/>
        <w:spacing w:before="240" w:after="0"/>
        <w:jc w:val="left"/>
        <w:rPr>
          <w:rFonts w:ascii="Times New Roman" w:hAnsi="Times New Roman"/>
          <w:sz w:val="20"/>
        </w:rPr>
      </w:pPr>
      <w:bookmarkStart w:id="153" w:name="anxa76201_50"/>
      <w:bookmarkEnd w:id="153"/>
      <w:r>
        <w:rPr>
          <w:rFonts w:ascii="Times New Roman" w:hAnsi="Times New Roman"/>
          <w:b/>
          <w:sz w:val="20"/>
        </w:rPr>
        <w:t xml:space="preserve">SECTION 4.11 </w:t>
      </w:r>
      <w:r>
        <w:rPr>
          <w:rFonts w:ascii="Times New Roman" w:hAnsi="Times New Roman"/>
          <w:b/>
          <w:sz w:val="20"/>
          <w:u w:val="single"/>
        </w:rPr>
        <w:t>Labor and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4.11(a)</w:t>
      </w:r>
      <w:r>
        <w:rPr>
          <w:rFonts w:ascii="Times New Roman" w:hAnsi="Times New Roman"/>
          <w:sz w:val="20"/>
        </w:rPr>
        <w:t xml:space="preserve"> of the FBB Disclosure Schedule sets forth, as of the close of business on November 28, 2025, a complete and correct list of all current employees of FBB and the FBB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FBB Employees</w:t>
      </w:r>
      <w:r>
        <w:rPr>
          <w:rFonts w:ascii="Times New Roman" w:hAnsi="Times New Roman"/>
          <w:sz w:val="20"/>
        </w:rPr>
        <w:t xml:space="preserve">”), including their respective titles, whether such employee is classified as exempt or non-exempt pursuant to the FLSA, current compensation (including base salary (if classified as exempt) or hourly wage rate (if classified as non-exempt), current target bonus entitlement and other incentive or contingent compensation), status as full-time or part-time, age, work location, and amount of accrued but unused vacation, and whether such employee is absent from active employment and, if so, the date such employee became inactive, the reason for such inactive status, and, if applicable, the anticipated date of return to active employment. FBB has taken reasonable steps to ensure that all individuals who are or were performing consulting or other services for FBB are or were correctly classified under all applicable Laws by FBB as either “independent contractors” (or comparable status in the case of a non-U.S. entity) or “employees” as the case may be, and, at the Closing Date, with respect to those individuals still performing consulting services for FBB as of the Closing Date, such individuals will qualify for such classification and would not be entitled to the rights of an employee of FBB. FBB has taken reasonable steps to ensure that all individuals who are or were classified as “employees” of FBB are or were correctly classified under all applicable Laws by FBB, as exempt or non-exempt from overtime payments, as the case may be. Except as otherwise required by Law or as expressly contemplated by this Agreement, there is no former director, officer, employee, independent contractor or consultant of FBB who is receiving or is scheduled to receive (or whose spouse or other dependent is receiving or is scheduled to receive) any benefits (from FBB) relating to such former service provider’s relationship with FBB.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4.11(b)</w:t>
      </w:r>
      <w:r>
        <w:rPr>
          <w:rFonts w:ascii="Times New Roman" w:hAnsi="Times New Roman"/>
          <w:sz w:val="20"/>
        </w:rPr>
        <w:t xml:space="preserve"> of the FBB Disclosure Schedule lists all collective bargaining agreements to which FBB or any FBB Subsidiary is party to. To the Knowledge of FBB, within the past three (3) years, through the date of this Agreement, there are and have been no material labor union organizing activities or representation campaigns of any trade union, council of trade unions, employee bargaining agency or affiliated bargaining agent pending or, threatened with respect to any of the employees of FBB or any FBB Subsidiary. There is no and during the three (3) year period prior to the date hereof there has been no (i) unfair labor practice, labor dispute or labor arbitration proceeding pending or, to FBB’s Knowledge, threatened against or affecting FBB or any FBB Subsidiary or (ii) lockout, strike, slowdown, work stoppage or, to FBB’s Knowledge, threat thereof by or with respect to any employees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(c) In the three (3) years prior to the date hereof, neither FBB or any FBB Subsidiary has effectuated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Neither FBB or any FBB Subsidiary has incurred any liability or obligation under WARN or any similar state, local or foreign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(d) Except as has not had and would not reasonably be expected to have, individually or in the aggregate, a Material Adverse Effect on FBB, FBB is, and at all relevant times has been, in compliance with all applicable Laws and orders with respect to Employment Matters. The employment or services of each former employee, consultant or contractor of FBB was terminated in material compliance with all applicable Laws, and FBB does not have, and would not reasonably be expected to have, any liability with respect to any such former employees, consultants or contractors for any such termination of employment or services. </w:t>
      </w:r>
    </w:p>
    <w:p>
      <w:pPr>
        <w:pStyle w:val="TextBody"/>
        <w:bidi w:val="0"/>
        <w:spacing w:before="240" w:after="0"/>
        <w:jc w:val="left"/>
        <w:rPr>
          <w:rFonts w:ascii="Times New Roman" w:hAnsi="Times New Roman"/>
          <w:sz w:val="20"/>
        </w:rPr>
      </w:pPr>
      <w:r>
        <w:rPr>
          <w:rFonts w:ascii="Times New Roman" w:hAnsi="Times New Roman"/>
          <w:sz w:val="20"/>
        </w:rPr>
        <w:t xml:space="preserve">(e) Except as would not reasonably be expected to be material to FBB and its Subsidiaries, taken as a whole, there are no, and in the past five years there have been no pending or, to FBB’s Knowledge, threatened lawsuits, arbitrations, administrative charges, controversies, grievances or claims by any employee, independent contractor, former employee, or former independent contractor of FBB or any FBB Subsidiary before the National Labor Relations Board, the Equal Employment Opportunity Commission or any other Governmental Entity or arbitration board or panel relating to any Employment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To FBB’s Knowledge, no employee at or above the level of Vice President has informed FBB or any FBB Subsidiary, either orally or in writing, of any plans to terminate their employment or relationship with FBB or any FBB Subsidiary generally or as a result of the Transactions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(g) Each employee of FBB and each FBB Subsidiary is (i) a United States citizen, (ii) a United States national, (iii) a lawful permanent resident of the United States, or (iv) an alien authorized to work in the United States specifically for FBB or any FBB Subsidiary or for any United States employer. FBB and each FBB Subsidiary have completed a Form I- 9 (Employment Eligibility Verification) for each employee, and each Form I-9 has since been updated, in each case, as required by applicable Law and is correct and complete. For each employee of FBB and each FBB Subsidiary employed in the United States, an authorized official of the company has reviewed the original documentation relating to the identity and employment authorization of such employee in compliance with applicable Laws and such documentation appeared, to such official, to be genuine on its face and to relate to the employee presenting such documentation. </w:t>
      </w:r>
    </w:p>
    <w:p>
      <w:pPr>
        <w:pStyle w:val="TextBody"/>
        <w:bidi w:val="0"/>
        <w:spacing w:before="240" w:after="0"/>
        <w:jc w:val="left"/>
        <w:rPr>
          <w:rFonts w:ascii="Times New Roman" w:hAnsi="Times New Roman"/>
          <w:sz w:val="20"/>
        </w:rPr>
      </w:pPr>
      <w:bookmarkStart w:id="154" w:name="anxa76201_51"/>
      <w:bookmarkEnd w:id="154"/>
      <w:r>
        <w:rPr>
          <w:rFonts w:ascii="Times New Roman" w:hAnsi="Times New Roman"/>
          <w:b/>
          <w:sz w:val="20"/>
        </w:rPr>
        <w:t xml:space="preserve">SECTION 4.12 </w:t>
      </w:r>
      <w:r>
        <w:rPr>
          <w:rFonts w:ascii="Times New Roman" w:hAnsi="Times New Roman"/>
          <w:b/>
          <w:sz w:val="20"/>
          <w:u w:val="single"/>
        </w:rPr>
        <w:t>Internal Control</w:t>
      </w:r>
      <w:r>
        <w:rPr>
          <w:rFonts w:ascii="Times New Roman" w:hAnsi="Times New Roman"/>
          <w:sz w:val="20"/>
        </w:rPr>
        <w:t xml:space="preserve">. Except as would not reasonably be expected to be material to FBB and its Subsidiaries, taken as a whole, FBB has designed and maintains a system of internal control over financial reporting sufficient to provide reasonable assurances regarding the reliability of financial reporting and the preparation of financial statements for internal purposes in accordance with GAAP, and includes those policies and procedures that (i) pertain to the maintenance of records that in reasonable detail accurately and fairly reflect the transactions and dispositions of FBB’s assets; (ii) provide reasonable assurance that transactions are recorded as necessary to permit preparation of financial statements in accordance with GAAP, and that FBB’s receipts and expenditures are being made only in accordance with authorizations of FBB’s management and directors; and (iii) provide reasonable assurance regarding prevention or timely detection of unauthorized acquisition, use or disposition of FBB’s assets that could have a material effect on FBB Financial Statements. Except as would not reasonably be expected to be material to FBB and its Subsidiaries, taken as a whole, FBB has disclosed, based on its most recent evaluation of its disclosure controls and procedures and internal control over financial reporting prior to the date of this Agreement, to FBB’s auditors and the FBB Board (i) any significant deficiencies and material weaknesses in the design or operation of internal control over financial reporting that are reasonably likely to adversely affect in any material respect FBB’s ability to record, process, summarize and report financial information and (ii) any fraud, whether or not material, that involves management or other employees who have a significant role in FBB’s internal control over financial reporting. Since January 1, 2025, none of FBB, FBB’s auditors, the FBB Board or the audit committee of the FBB Board has received any oral or written notification of any matter set forth in the preceding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55" w:name="anxa76201_52"/>
      <w:bookmarkEnd w:id="155"/>
      <w:r>
        <w:rPr>
          <w:rFonts w:ascii="Times New Roman" w:hAnsi="Times New Roman"/>
          <w:b/>
          <w:sz w:val="20"/>
        </w:rPr>
        <w:t xml:space="preserve">SECTION 4.13 </w:t>
      </w:r>
      <w:r>
        <w:rPr>
          <w:rFonts w:ascii="Times New Roman" w:hAnsi="Times New Roman"/>
          <w:b/>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January 1, 2023, except as would not reasonably be expected to be material to FBB and its Subsidiaries, taken as a whole, (i) the businesses of each of FBB and the FBB Subsidiaries have been conducted in compliance with all Laws applicable to its business and with all applicable Privacy Laws, posted or internal agreements or policies with respect to customer, user, private or personal data, or data or system privacy or security and (ii) there has been no misuse, unauthorized intrusion, cyberattack or breach of the IT Assets owned or controlled by FBB that has not since been resolved without any ongoing material liability for FBB. No investigation or review by any Governmental Entity with respect to FBB or any of the FBB Subsidiaries is pending or, to FBB’s Knowledge, threatened, nor has any Governmental Entity indicated an intention to conduct the same. To the Knowledge of FBB and the FBB Subsidiaries, no condition or state of facts exists that is reasonably likely to give rise to a violation of, or a liability or default under any applicable Law. Each of FBB and the FBB Subsidiaries has all material Licenses necessary to conduct its business as presently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Since January 1, 2023, FBB and each of the FBB Subsidiaries are in material compliance with (i) their respective obligations under each of the material FBB Licenses and (ii) the rules and regulations of the Governmental Entity issuing such material FBB Licenses. There is no pending or, to FBB’s Knowledge, threatened by or before any Governmental Entity any material proceeding, notice of violation, order of forfeiture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complaint or investigation against FBB or any of the FBB Subsidiaries relating to any of the material FBB Licenses. To the Knowledge of FBB and the FBB Subsidiaries, no event has occurred which, with notice or the lapse of time or both, would constitute a default or violation, in any material respect, of any term, condition or provision of any FBB License, and to the Knowledge of FBB and the FBB Subsidiaries, there are no facts or circumstances which could form the basis for any such default or violation. The actions of the applicable Governmental Entities granting all material FBB Licenses have not been reversed, stayed, enjoined, annulled or suspended, and there is not pending or, to FBB’s Knowledge, threatened, any material application, petition, objection or other pleading with any Governmental Entity that challenges or questions the validity of or any rights of the holder under any material FBB License. </w:t>
      </w:r>
    </w:p>
    <w:p>
      <w:pPr>
        <w:pStyle w:val="TextBody"/>
        <w:bidi w:val="0"/>
        <w:spacing w:before="240" w:after="0"/>
        <w:jc w:val="left"/>
        <w:rPr>
          <w:rFonts w:ascii="Times New Roman" w:hAnsi="Times New Roman"/>
          <w:sz w:val="20"/>
        </w:rPr>
      </w:pPr>
      <w:bookmarkStart w:id="156" w:name="anxa76201_53"/>
      <w:bookmarkEnd w:id="156"/>
      <w:r>
        <w:rPr>
          <w:rFonts w:ascii="Times New Roman" w:hAnsi="Times New Roman"/>
          <w:b/>
          <w:sz w:val="20"/>
        </w:rPr>
        <w:t xml:space="preserve">SECTION 4.14 </w:t>
      </w:r>
      <w:r>
        <w:rPr>
          <w:rFonts w:ascii="Times New Roman" w:hAnsi="Times New Roman"/>
          <w:b/>
          <w:sz w:val="20"/>
          <w:u w:val="single"/>
        </w:rPr>
        <w:t>Material 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4.14(a)</w:t>
      </w:r>
      <w:r>
        <w:rPr>
          <w:rFonts w:ascii="Times New Roman" w:hAnsi="Times New Roman"/>
          <w:sz w:val="20"/>
        </w:rPr>
        <w:t xml:space="preserve"> of the FBB Disclosure Schedule sets forth a complete list of each currently effective Contract to which FBB or any of its Subsidiaries is a party or by which it is bound as of the date of this Agreement (other than any FBB Benefit Plan) (each, an “</w:t>
      </w:r>
      <w:r>
        <w:rPr>
          <w:rFonts w:ascii="Times New Roman" w:hAnsi="Times New Roman"/>
          <w:sz w:val="20"/>
          <w:u w:val="single"/>
        </w:rPr>
        <w:t>FBB Material Contract</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 w:hAnsi="Times New Roman"/>
          <w:sz w:val="20"/>
        </w:rPr>
        <w:t xml:space="preserve">(i) that is a material contract as defined in Item 601(b)(10)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(ii) relating to 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(iii) that is a Contract with a FBB Top Supplier; </w:t>
      </w:r>
    </w:p>
    <w:p>
      <w:pPr>
        <w:pStyle w:val="TextBody"/>
        <w:bidi w:val="0"/>
        <w:spacing w:before="240" w:after="0"/>
        <w:jc w:val="left"/>
        <w:rPr>
          <w:rFonts w:ascii="Times New Roman" w:hAnsi="Times New Roman"/>
          <w:sz w:val="20"/>
        </w:rPr>
      </w:pPr>
      <w:r>
        <w:rPr>
          <w:rFonts w:ascii="Times New Roman" w:hAnsi="Times New Roman"/>
          <w:sz w:val="20"/>
        </w:rPr>
        <w:t xml:space="preserve">(iv) that is a Contract with a FBB Top Customer; </w:t>
      </w:r>
    </w:p>
    <w:p>
      <w:pPr>
        <w:pStyle w:val="TextBody"/>
        <w:bidi w:val="0"/>
        <w:spacing w:before="240" w:after="0"/>
        <w:jc w:val="left"/>
        <w:rPr>
          <w:rFonts w:ascii="Times New Roman" w:hAnsi="Times New Roman"/>
          <w:sz w:val="20"/>
        </w:rPr>
      </w:pPr>
      <w:r>
        <w:rPr>
          <w:rFonts w:ascii="Times New Roman" w:hAnsi="Times New Roman"/>
          <w:sz w:val="20"/>
        </w:rPr>
        <w:t xml:space="preserve">(v) (a) any pledge, security agreement, deed of trust or other Contracts that impose a Lien on any of FBB’s or any of its Subsidiaries’ assets; (b) loan or credit agreement, indenture, debenture, note or other Contracts that create, incur or guarantee any Indebtedness, or (c) Contracts under which FBB or any of its Subsidiaries assumes, or otherwise becomes liable for, the Indebtedness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(vi) that is any partnership agreement, joint venture agreement or other similar Contract (excluding, for the avoidance of doubt, marketplace agreements with vendors); </w:t>
      </w:r>
    </w:p>
    <w:p>
      <w:pPr>
        <w:pStyle w:val="TextBody"/>
        <w:bidi w:val="0"/>
        <w:spacing w:before="240" w:after="0"/>
        <w:jc w:val="left"/>
        <w:rPr>
          <w:rFonts w:ascii="Times New Roman" w:hAnsi="Times New Roman"/>
          <w:sz w:val="20"/>
        </w:rPr>
      </w:pPr>
      <w:r>
        <w:rPr>
          <w:rFonts w:ascii="Times New Roman" w:hAnsi="Times New Roman"/>
          <w:sz w:val="20"/>
        </w:rPr>
        <w:t xml:space="preserve">(vii) relating to Indebtedness or the deferred purchase price of property (whether incurred, assumed, guaranteed or secured by any asset), except for Contracts relating to Indebtedness in an amount not exceeding $500,000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(viii) which by its terms limits in any material respect (i) the localities, market or business in which all or any significant portion of the business and operations of FBB or FBB’s Subsidiaries or, following the consummation of the Transactions, the business and operations of Surviving Company or FBB, is or would be conducted, (ii) the Persons FBB or any of its existing or future Subsidiaries, may hire (other than Contracts with contract research organizations or other contractors or vendors that provide services to FBB in the ordinary course of FBB’s business and that contain provisions that prevent FBB from soliciting or hiring any personnel of such contract research organizations or such other contractors or vendors), (iii) the Persons to which FBB or any of its existing or future Subsidiaries may sell products or deliver services, or (iv) the scope of the business and operations of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that (i) provides for the grant to FBB of any license or other right to or under any material Intellectual Property Rights, other than (A) non-exclusive license agreements for commercially available off-the- shelf software or technology services, (B) employee proprietary invention assignment agreements and (C) commercial agreements where the license of Intellectual Property Rights is incidental to the main agreement or (ii) contains a license or other right to use material FBB IP Rights other than non-exclusive licenses to a contractor or service provider of FBB or the FBB Subsidiaries entered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Contract that waives any material rights, grants any material releases, resolves or settles any material actual or threatened Proceedings or provides for any material injunctive or non-monetary relief (including co-existence agreements); </w:t>
      </w:r>
    </w:p>
    <w:p>
      <w:pPr>
        <w:pStyle w:val="TextBody"/>
        <w:bidi w:val="0"/>
        <w:spacing w:before="240" w:after="0"/>
        <w:jc w:val="left"/>
        <w:rPr>
          <w:rFonts w:ascii="Times New Roman" w:hAnsi="Times New Roman"/>
          <w:sz w:val="20"/>
        </w:rPr>
      </w:pPr>
      <w:r>
        <w:rPr>
          <w:rFonts w:ascii="Times New Roman" w:hAnsi="Times New Roman"/>
          <w:sz w:val="20"/>
        </w:rPr>
        <w:t xml:space="preserve">(xi) containing any royalty, dividend or similar arrangement based on the revenues or profits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(xii) with any Governmental Entity or a subcontractor to any Governmental Entity in connection with such FBB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(xiii) any Contract with (a) an executive officer or director of FBB or any of its Subsidiaries or any of such executive officer’s or director’s immediate family members, (b) an owner of more than five percent (5%) of the voting power of the outstanding capital stock of FBB or (c) to the Knowledge of FBB, any “related party” (within the meaning of Item 404 of Regulation S-K promulgated by the SEC) of any such officer, director or owner (other than FBB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agreement that gives rise to any material payment or benefit as a result of the performance of this Agreement or any of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(xv) relating to the acquisition or disposition of any material interest in, or any material amount of, securities, property or assets of FBB or any of its Subsidiaries or any other Person, or for the grant to any Person of any preferential rights to purchase any of any such securities, property or assets; </w:t>
      </w:r>
    </w:p>
    <w:p>
      <w:pPr>
        <w:pStyle w:val="TextBody"/>
        <w:bidi w:val="0"/>
        <w:spacing w:before="240" w:after="0"/>
        <w:jc w:val="left"/>
        <w:rPr>
          <w:rFonts w:ascii="Times New Roman" w:hAnsi="Times New Roman"/>
          <w:sz w:val="20"/>
        </w:rPr>
      </w:pPr>
      <w:r>
        <w:rPr>
          <w:rFonts w:ascii="Times New Roman" w:hAnsi="Times New Roman"/>
          <w:sz w:val="20"/>
        </w:rPr>
        <w:t xml:space="preserve">(xvi) establishing powers of attorney or agency agreements; and </w:t>
      </w:r>
    </w:p>
    <w:p>
      <w:pPr>
        <w:pStyle w:val="TextBody"/>
        <w:bidi w:val="0"/>
        <w:spacing w:before="240" w:after="0"/>
        <w:jc w:val="left"/>
        <w:rPr>
          <w:rFonts w:ascii="Times New Roman" w:hAnsi="Times New Roman"/>
          <w:sz w:val="20"/>
        </w:rPr>
      </w:pPr>
      <w:r>
        <w:rPr>
          <w:rFonts w:ascii="Times New Roman" w:hAnsi="Times New Roman"/>
          <w:sz w:val="20"/>
        </w:rPr>
        <w:t xml:space="preserve">(xvii) other than as set forth elsewhere on </w:t>
      </w:r>
      <w:r>
        <w:rPr>
          <w:rFonts w:ascii="Times New Roman" w:hAnsi="Times New Roman"/>
          <w:sz w:val="20"/>
          <w:u w:val="single"/>
        </w:rPr>
        <w:t>Section 4.14(a)</w:t>
      </w:r>
      <w:r>
        <w:rPr>
          <w:rFonts w:ascii="Times New Roman" w:hAnsi="Times New Roman"/>
          <w:sz w:val="20"/>
        </w:rPr>
        <w:t xml:space="preserve"> of the FBB Disclosure Schedule, and excluding customary confidentiality and non-disclose agreements, all other Contracts that are material to the business or operations of FBB and its Subsidiaries and commitments or agreements to enter into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FBB has delivered or made available to DXL accurate and complete copies of all FBB Material Contracts, including all amendments thereto. There are no FBB Material Contracts that are not in written form. Neither FBB nor any Subsidiary of FBB has, nor to FBB’s Knowledge, has any other party to an FBB Material Contract breached, violated or defaulted under, or received notice that it has breached, violated or defaulted under, any of the terms or conditions of any FBB Material Contract, except where the breach, violation, default or notice thereof of any the foregoing, thereunder has not had and would not reasonably be expected to have, individually or in the aggregate, a Material Adverse Effect on FBB. As to FBB and FBB’s Subsidiaries, as of the date of this Agreement, each FBB Material Contract is valid, binding, enforceable and in full force and effect, subject to the Enforceability Exceptions, except where the failure to be valid and binding obligations and in full force and effect and enforceable has not had and would not reasonably be expected to have, individually or in the aggregate, a Material Adverse Effect on FBB. The consummation of the Transactions will not (either alone or upon the occurrence of additional acts or events) result in any material payment or payments becoming due from FBB, any Subsidiary of FBB, or the Surviving Company to any Person under any FBB Material Contract or give any Person the right to terminate or alter the provisions of any FBB Material Contract. Except as has not had and would not reasonably be expected to have, individually or in the aggregate, a Material Adverse Effect on FBB, no Person (A) is renegotiating any material amount paid or payable to FBB or any of its Subsidiaries under any FBB Material Contract or any other material term or provision of any FBB Material Contract or (B) has provided notice to FBB or any of its Subsidiaries that it intends to terminate any FBB Material Contract or with respect to any breach or default in any material respect of any FBB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57" w:name="anxa76201_54"/>
      <w:bookmarkEnd w:id="157"/>
      <w:r>
        <w:rPr>
          <w:rFonts w:ascii="Times New Roman" w:hAnsi="Times New Roman"/>
          <w:b/>
          <w:sz w:val="20"/>
        </w:rPr>
        <w:t xml:space="preserve">SECTION 4.15 </w:t>
      </w:r>
      <w:r>
        <w:rPr>
          <w:rFonts w:ascii="Times New Roman" w:hAnsi="Times New Roman"/>
          <w:b/>
          <w:sz w:val="20"/>
          <w:u w:val="single"/>
        </w:rPr>
        <w:t>Environmental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possesses and is in compliance with all Environmental Permits necessary in all material respects to conduct its businesses and operations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FBB, each of FBB and the FBB Subsidiaries is in compliance and has complied in all material respects with all applicable Environmental Laws, and neither FBB nor any FBB Subsidiary has received any communication from any Governmental Entity or other Person that alleges that FBB or any FBB Subsidiary has violated or is liable under any Environmental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material Environmental Claims pending or, to FBB’s Knowledge, threatened against FBB or any of the FBB Subsidiaries, and neither FBB nor any of the FBB Subsidiaries has contractually retained or assumed any liabilities or obligations that would reasonably be expected to result in any Environmental Claim against FBB or any of the FBB Subsidiaries nor there is any circumstance involving FBB or any of its Subsidiaries that would reasonably be expected to result in any Environmental Claim. </w:t>
      </w:r>
    </w:p>
    <w:p>
      <w:pPr>
        <w:pStyle w:val="TextBody"/>
        <w:bidi w:val="0"/>
        <w:spacing w:before="240" w:after="0"/>
        <w:jc w:val="left"/>
        <w:rPr>
          <w:rFonts w:ascii="Times New Roman" w:hAnsi="Times New Roman"/>
          <w:sz w:val="20"/>
        </w:rPr>
      </w:pPr>
      <w:r>
        <w:rPr>
          <w:rFonts w:ascii="Times New Roman" w:hAnsi="Times New Roman"/>
          <w:sz w:val="20"/>
        </w:rPr>
        <w:t xml:space="preserve">(d) To the Knowledge of FBB, there have been no Releases of, or exposure to, any Hazardous Materials that would reasonably be expected to result in any material Environmental Claim or liability. </w:t>
      </w:r>
    </w:p>
    <w:p>
      <w:pPr>
        <w:pStyle w:val="TextBody"/>
        <w:bidi w:val="0"/>
        <w:spacing w:before="240" w:after="0"/>
        <w:jc w:val="left"/>
        <w:rPr>
          <w:rFonts w:ascii="Times New Roman" w:hAnsi="Times New Roman"/>
          <w:sz w:val="20"/>
        </w:rPr>
      </w:pPr>
      <w:bookmarkStart w:id="158" w:name="anxa76201_55"/>
      <w:bookmarkEnd w:id="158"/>
      <w:r>
        <w:rPr>
          <w:rFonts w:ascii="Times New Roman" w:hAnsi="Times New Roman"/>
          <w:b/>
          <w:sz w:val="20"/>
        </w:rPr>
        <w:t xml:space="preserve">SECTION 4.16 </w:t>
      </w:r>
      <w:r>
        <w:rPr>
          <w:rFonts w:ascii="Times New Roman" w:hAnsi="Times New Roman"/>
          <w:b/>
          <w:sz w:val="20"/>
          <w:u w:val="single"/>
        </w:rPr>
        <w:t>Takeover Laws</w:t>
      </w:r>
      <w:r>
        <w:rPr>
          <w:rFonts w:ascii="Times New Roman" w:hAnsi="Times New Roman"/>
          <w:sz w:val="20"/>
        </w:rPr>
        <w:t xml:space="preserve">. To FBB’s Knowledge, there are no Takeover Statutes or any takeover-related provision in the FBB Charter applicable to the Merger or the other Transactions. </w:t>
      </w:r>
    </w:p>
    <w:p>
      <w:pPr>
        <w:pStyle w:val="TextBody"/>
        <w:bidi w:val="0"/>
        <w:spacing w:before="240" w:after="0"/>
        <w:jc w:val="left"/>
        <w:rPr>
          <w:rFonts w:ascii="Times New Roman" w:hAnsi="Times New Roman"/>
          <w:sz w:val="20"/>
        </w:rPr>
      </w:pPr>
      <w:bookmarkStart w:id="159" w:name="anxa76201_56"/>
      <w:bookmarkEnd w:id="159"/>
      <w:r>
        <w:rPr>
          <w:rFonts w:ascii="Times New Roman" w:hAnsi="Times New Roman"/>
          <w:b/>
          <w:sz w:val="20"/>
        </w:rPr>
        <w:t xml:space="preserve">SECTION 4.17 </w:t>
      </w:r>
      <w:r>
        <w:rPr>
          <w:rFonts w:ascii="Times New Roman" w:hAnsi="Times New Roman"/>
          <w:b/>
          <w:sz w:val="20"/>
          <w:u w:val="single"/>
        </w:rPr>
        <w:t>FBB Information</w:t>
      </w:r>
      <w:r>
        <w:rPr>
          <w:rFonts w:ascii="Times New Roman" w:hAnsi="Times New Roman"/>
          <w:sz w:val="20"/>
        </w:rPr>
        <w:t xml:space="preserve">. The information relating to FBB that is provided by FBB or FBB’s Representatives for inclusion in the Proxy Statement, or in any other document filed with any other Regulatory Agency in connection with the Merger and the other Transactions, will not in the case of the Proxy Statement, at the date it is first furnished by DXL to the SEC or at the time of the DXL Stockholders Meeting or in the case of any other document at the time of the filing of such document, contain any untrue statement of a material fact or omit to state any material fact required to be stated therein or necessary to make the statements therein, in light of the circumstances in which they are made, not misleading. </w:t>
      </w:r>
    </w:p>
    <w:p>
      <w:pPr>
        <w:pStyle w:val="TextBody"/>
        <w:bidi w:val="0"/>
        <w:spacing w:before="240" w:after="0"/>
        <w:jc w:val="left"/>
        <w:rPr>
          <w:rFonts w:ascii="Times New Roman" w:hAnsi="Times New Roman"/>
          <w:sz w:val="20"/>
        </w:rPr>
      </w:pPr>
      <w:bookmarkStart w:id="160" w:name="anxa76201_57"/>
      <w:bookmarkEnd w:id="160"/>
      <w:r>
        <w:rPr>
          <w:rFonts w:ascii="Times New Roman" w:hAnsi="Times New Roman"/>
          <w:b/>
          <w:sz w:val="20"/>
        </w:rPr>
        <w:t xml:space="preserve">SECTION 4.18 </w:t>
      </w:r>
      <w:r>
        <w:rPr>
          <w:rFonts w:ascii="Times New Roman" w:hAnsi="Times New Roman"/>
          <w:b/>
          <w:sz w:val="20"/>
          <w:u w:val="single"/>
        </w:rPr>
        <w:t>Affiliate Transactions</w:t>
      </w:r>
      <w:r>
        <w:rPr>
          <w:rFonts w:ascii="Times New Roman" w:hAnsi="Times New Roman"/>
          <w:sz w:val="20"/>
        </w:rPr>
        <w:t xml:space="preserve">. To FBB’s Knowledge, as of the date of this Agreement, there are no material transactions, Contracts or understandings between FBB, or any of the FBB Subsidiaries on the one hand, and either (i) any holder of any Equity Interest in FBB or any of the FBB Subsidiaries, (ii) any officer or director of FBB or any of the FBB Subsidiaries (other than any FBB Benefit Plan) or (iii) any of FBB’s other Affiliates (other than wholly owned FBB Subsidiaries), on the other hand, that would be required to be disclosed by FBB under Item 404 of Regulation S-K promulgated by the SEC if FBB were to be subject to such regulation. </w:t>
      </w:r>
    </w:p>
    <w:p>
      <w:pPr>
        <w:pStyle w:val="TextBody"/>
        <w:bidi w:val="0"/>
        <w:spacing w:before="240" w:after="0"/>
        <w:jc w:val="left"/>
        <w:rPr>
          <w:rFonts w:ascii="Times New Roman" w:hAnsi="Times New Roman"/>
          <w:sz w:val="20"/>
        </w:rPr>
      </w:pPr>
      <w:bookmarkStart w:id="161" w:name="anxa76201_58"/>
      <w:bookmarkEnd w:id="161"/>
      <w:r>
        <w:rPr>
          <w:rFonts w:ascii="Times New Roman" w:hAnsi="Times New Roman"/>
          <w:b/>
          <w:sz w:val="20"/>
        </w:rPr>
        <w:t xml:space="preserve">SECTION 4.19 </w:t>
      </w:r>
      <w:r>
        <w:rPr>
          <w:rFonts w:ascii="Times New Roman" w:hAnsi="Times New Roman"/>
          <w:b/>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FBB and the FBB Subsidiaries owns, or has a valid license to use, free and clear of all Liens, other than Permitted Liens, all material Intellectual Property Rights used in the operation of their respective businesses as currently conducted (provided that the foregoing will not be read as a representation of non-infringement, which is solely covered by </w:t>
      </w:r>
      <w:r>
        <w:rPr>
          <w:rFonts w:ascii="Times New Roman" w:hAnsi="Times New Roman"/>
          <w:sz w:val="20"/>
          <w:u w:val="single"/>
        </w:rPr>
        <w:t>Section 4.19(b)</w:t>
      </w:r>
      <w:r>
        <w:rPr>
          <w:rFonts w:ascii="Times New Roman" w:hAnsi="Times New Roman"/>
          <w:sz w:val="20"/>
        </w:rPr>
        <w:t xml:space="preserve"> below) and such (i) ownership or (ii) right to use such Intellectual Property Rights will not be affected by the execution, delivery and performance of this Agreement or the consummation of the Merger and the other Transactions. All material Registered IP included in the FBB IP Rights is currently subsisting, and, to the Knowledge of FBB,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(b) (i) The conduct of the business as currently conducted, and as has been conducted since January 1, 2023, by FBB and the FBB Subsidiaries does not infringe, misappropriate or otherwise violate the Intellectual Property Rights of any third Person in any material respect; (ii) there are no material Proceedings pending against FBB or any of the FBB Subsidiaries, and, to FBB’s Knowledge, there is no material claim, action or proceeding threatened against FBB or any of the FBB Subsidiaries, in each case alleging that FBB or the FBB Subsidiaries is or has been infringing, misappropriating or otherwise violating any Intellectual Property Rights of any third Person; and (iii) since January 1, 2023, neither FBB nor the FBB Subsidiaries have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material written invitations to license, cease-and-desist letters or indemnity claims relating to any infringement, misappropriation or violation of the Intellectual Property Rights of any third Person.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2023, neither FBB nor any of the FBB Subsidiaries have filed or threatened in writing any claim against, or sent an invitation to license, cease-and-desist letter or indemnity claim to, any third Person alleging that such Person is infringing, misappropriating or otherwise violating any FBB IP Rights in any material respect, and to FBB’s knowledge, no third Person is infringing, misappropriating or otherwise violating, or since January 1, 2023, has infringed, misappropriated or otherwise violated, any FBB IP Rights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(d) FBB and each of the FBB Subsidiaries has taken commercially reasonable precautions, including the use of binding confidentiality and nondisclosure agreements, to protect and maintain the confidentiality of material nonpublic information included in the FBB IP Rights, including material Trade Secrets of FBB and the FBB Subsidiaries.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4.19(e)</w:t>
      </w:r>
      <w:r>
        <w:rPr>
          <w:rFonts w:ascii="Times New Roman" w:hAnsi="Times New Roman"/>
          <w:sz w:val="20"/>
        </w:rPr>
        <w:t xml:space="preserve"> of the FBB Disclosure Schedule sets forth, as of the date of this Agreement, a complete and accurate list of Registered IP included in the FBB IP Rights. </w:t>
      </w:r>
    </w:p>
    <w:p>
      <w:pPr>
        <w:pStyle w:val="TextBody"/>
        <w:bidi w:val="0"/>
        <w:spacing w:before="240" w:after="0"/>
        <w:jc w:val="left"/>
        <w:rPr>
          <w:rFonts w:ascii="Times New Roman" w:hAnsi="Times New Roman"/>
          <w:sz w:val="20"/>
        </w:rPr>
      </w:pPr>
      <w:r>
        <w:rPr>
          <w:rFonts w:ascii="Times New Roman" w:hAnsi="Times New Roman"/>
          <w:sz w:val="20"/>
        </w:rPr>
        <w:t xml:space="preserve">(f) All current and former employees and consultants of FBB or any of the FBB Subsidiaries who contributed to the discovery, creation or development of any FBB IP Rights did so (i) within the scope of his or her employment such that it constituted a work made for hire under the U.S. Copyright Act (17 USC 101) and all Intellectual Property Rights arising therefrom became the exclusive property of FBB or any of FBB Subsidiaries, as applicable, or (ii) pursuant to a written agreement, which assigned all of his or her Intellectual Property Rights arising therein to FBB or any of the FBB Subsidiaries, as applicable. </w:t>
      </w:r>
    </w:p>
    <w:p>
      <w:pPr>
        <w:pStyle w:val="TextBody"/>
        <w:bidi w:val="0"/>
        <w:spacing w:before="240" w:after="0"/>
        <w:jc w:val="left"/>
        <w:rPr>
          <w:rFonts w:ascii="Times New Roman" w:hAnsi="Times New Roman"/>
          <w:sz w:val="20"/>
        </w:rPr>
      </w:pPr>
      <w:bookmarkStart w:id="162" w:name="anxa76201_59"/>
      <w:bookmarkEnd w:id="162"/>
      <w:r>
        <w:rPr>
          <w:rFonts w:ascii="Times New Roman" w:hAnsi="Times New Roman"/>
          <w:b/>
          <w:sz w:val="20"/>
        </w:rPr>
        <w:t xml:space="preserve">SECTION 4.20 </w:t>
      </w:r>
      <w:r>
        <w:rPr>
          <w:rFonts w:ascii="Times New Roman" w:hAnsi="Times New Roman"/>
          <w:b/>
          <w:sz w:val="20"/>
          <w:u w:val="single"/>
        </w:rPr>
        <w:t>Title to Assets</w:t>
      </w:r>
      <w:r>
        <w:rPr>
          <w:rFonts w:ascii="Times New Roman" w:hAnsi="Times New Roman"/>
          <w:sz w:val="20"/>
        </w:rPr>
        <w:t xml:space="preserve">. Each of FBB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assets reflected in the FBB Financial Statements; and (b) all other assets reflected in the books and records of FBB or any of its Subsidiaries as being owned by FBB or such Subsidiary, in each case, other than as would not reasonably be expected to be material to FBB and its Subsidiaries, taken as a whole. All of such assets are owned or, in the case of leased assets, leased by FBB or any of its Subsidiaries, free and clear of any Liens other than Permitted Liens. </w:t>
      </w:r>
    </w:p>
    <w:p>
      <w:pPr>
        <w:pStyle w:val="TextBody"/>
        <w:bidi w:val="0"/>
        <w:spacing w:before="240" w:after="0"/>
        <w:jc w:val="left"/>
        <w:rPr>
          <w:rFonts w:ascii="Times New Roman" w:hAnsi="Times New Roman"/>
          <w:sz w:val="20"/>
        </w:rPr>
      </w:pPr>
      <w:bookmarkStart w:id="163" w:name="anxa76201_60"/>
      <w:bookmarkEnd w:id="163"/>
      <w:r>
        <w:rPr>
          <w:rFonts w:ascii="Times New Roman" w:hAnsi="Times New Roman"/>
          <w:b/>
          <w:sz w:val="20"/>
        </w:rPr>
        <w:t xml:space="preserve">SECTION 4.21 </w:t>
      </w:r>
      <w:r>
        <w:rPr>
          <w:rFonts w:ascii="Times New Roman" w:hAnsi="Times New Roman"/>
          <w:b/>
          <w:sz w:val="20"/>
          <w:u w:val="single"/>
        </w:rPr>
        <w:t>Real Property; Leasehold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4.21(a)</w:t>
      </w:r>
      <w:r>
        <w:rPr>
          <w:rFonts w:ascii="Times New Roman" w:hAnsi="Times New Roman"/>
          <w:sz w:val="20"/>
        </w:rPr>
        <w:t xml:space="preserve"> of the FBB Disclosure Schedule contains, as of the date of this Agreement, a complete and correct list of all real property owned in whole or in part by FBB and its Subsidiaries (such real property, together with all buildings, structures, fixtures and improvements erected or located thereon, the “</w:t>
      </w:r>
      <w:r>
        <w:rPr>
          <w:rFonts w:ascii="Times New Roman" w:hAnsi="Times New Roman"/>
          <w:sz w:val="20"/>
          <w:u w:val="single"/>
        </w:rPr>
        <w:t>FBB Owned Real Property</w:t>
      </w:r>
      <w:r>
        <w:rPr>
          <w:rFonts w:ascii="Times New Roman" w:hAnsi="Times New Roman"/>
          <w:sz w:val="20"/>
        </w:rPr>
        <w:t xml:space="preserve">”) . Except as has not had and would not reasonably be expected to have, individually or in the aggregate, a Material Adverse Effect on FBB, (i) FBB or its Subsidiaries have good and valid fee simple title to all of the FBB Owned Real Property, free and clear of Liens, except Permitted Liens, and (ii) to FBB’s Knowledge, there is no pending or threatened condemnation or similar action affecting any of the FBB Owned Real Property by FBB and its Subsidiaries. Neither FBB nor any of its Subsidiaries has leased or otherwise granted to any Person the right to use or occupy any FBB Owned Real Property or any portion thereof. There are no outstanding options, rights of first offer or rights of first refusal to purchase any FBB Owned Real Property or any portion thereof or interest therein. There is no formerly owned real property that was owned by FBB or any of its Subsidiaries in respect of which FBB or any of its Subsidiaries may have any material liability. Neither FBB nor any of its Subsidiaries is bound by any Contract requiring it to acquire or dispose of any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4.21(b)</w:t>
      </w:r>
      <w:r>
        <w:rPr>
          <w:rFonts w:ascii="Times New Roman" w:hAnsi="Times New Roman"/>
          <w:sz w:val="20"/>
        </w:rPr>
        <w:t xml:space="preserve"> of the FBB Disclosure Schedule contains, as of the date of this Agreement, a complete and correct list of the FBB Leased Real Property by FBB and its Subsidiaries. Except as has not had and would not reasonably be expected to have, individually or in the aggregate, a Material Adverse Effect on FBB, (i) FBB or its Subsidiaries have valid leasehold interests to all real property leased or subleased by FBB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and its Subsidiaries (the “</w:t>
      </w:r>
      <w:r>
        <w:rPr>
          <w:rFonts w:ascii="Times New Roman" w:hAnsi="Times New Roman"/>
          <w:sz w:val="20"/>
          <w:u w:val="single"/>
        </w:rPr>
        <w:t>FBB Leased Real Property</w:t>
      </w:r>
      <w:r>
        <w:rPr>
          <w:rFonts w:ascii="Times New Roman" w:hAnsi="Times New Roman"/>
          <w:sz w:val="20"/>
        </w:rPr>
        <w:t>”), free and clear of all Liens, except for Permitted Liens; (ii) as of the date hereof, each lease or sublease with respect to the FBB Leased Real Property (each, an “</w:t>
      </w:r>
      <w:r>
        <w:rPr>
          <w:rFonts w:ascii="Times New Roman" w:hAnsi="Times New Roman"/>
          <w:sz w:val="20"/>
          <w:u w:val="single"/>
        </w:rPr>
        <w:t>FBB Real Property Lease</w:t>
      </w:r>
      <w:r>
        <w:rPr>
          <w:rFonts w:ascii="Times New Roman" w:hAnsi="Times New Roman"/>
          <w:sz w:val="20"/>
        </w:rPr>
        <w:t xml:space="preserve">”) is in full force and effect and enforceable in accordance with its respective terms against FBB or its Subsidiaries that are party thereto and, to FBB’s Knowledge, to the other parties thereto (in each case subject to the Enforceability Exceptions); and (iii) neither FBB nor any of its Subsidiaries is in material breach or material default under any of the FBB Real Property Leases and no event has occurred or circumstance exists that, with the delivery of notice, passage of time or both, would constitute such a breach or default or permit the termination of, modification of or acceleration of rent under any FBB Real Property Lease or otherwise cause such FBB Real Property Lease to cease to be legal, valid, binding, enforceable and in full force and effect on identical terms following the Closing (subject only to the Enforceability Exceptions) . Neither FBB nor any of its Subsidiaries has subleased, licensed, sublicensed or otherwise granted any Person any beneficial interest in or the right to use or occupy any FBB Leased Real Property or any portion thereof. FBB has made available to DXL true, correct and complete copies of each FBB Real Property Lease. Neither FBB nor any of its Subsidiaries owes, nor, based on existing FBB Real Property Leases or other Contracts as currently in effect, will owe in the future, any brokerage commissions or finder’s fees with respect to any FBB Leased Real Property. No landlord or tenant (as applicable) under any FBB Real Property Lease is an Affiliate of FBB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(c) The FBB Owned Real Property set forth on </w:t>
      </w:r>
      <w:r>
        <w:rPr>
          <w:rFonts w:ascii="Times New Roman" w:hAnsi="Times New Roman"/>
          <w:sz w:val="20"/>
          <w:u w:val="single"/>
        </w:rPr>
        <w:t>Section 4.21(a)</w:t>
      </w:r>
      <w:r>
        <w:rPr>
          <w:rFonts w:ascii="Times New Roman" w:hAnsi="Times New Roman"/>
          <w:sz w:val="20"/>
        </w:rPr>
        <w:t xml:space="preserve"> of the FBB Disclosure Schedule and the FBB Leased Real Property set forth on </w:t>
      </w:r>
      <w:r>
        <w:rPr>
          <w:rFonts w:ascii="Times New Roman" w:hAnsi="Times New Roman"/>
          <w:sz w:val="20"/>
          <w:u w:val="single"/>
        </w:rPr>
        <w:t>Section 4.21(b)</w:t>
      </w:r>
      <w:r>
        <w:rPr>
          <w:rFonts w:ascii="Times New Roman" w:hAnsi="Times New Roman"/>
          <w:sz w:val="20"/>
        </w:rPr>
        <w:t xml:space="preserve"> of the FBB Disclosure Schedule comprise all of the land, buildings, improvements, fixtures or other real property necessary for, and currently used by, the operation of the business of FBB and the FBB Subsidiaries. None of the FBB Owned Real Property or FBB Leased Real Property is used for any purpose other than the operation of the business of FBB and the FBB Subsidiaries. Neither FBB nor any of its Subsidiaries uses any land, buildings, improvements, fixtures or other real property for which ownership or a lease would ordinarily be required, other than that which is included in the definition of FBB Owned Real Property or FBB Leased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To FBB’s Knowledge, each FBB Owned Real Property and FBB Leased Real Property is supplied with utilities and other services reasonably necessary for the operation of the business of FBB and its Subsidiaries as currently conducted at each such FBB Owned Real Property and FBB Leased Real Property, and, to FBB’s Knowledge, no fact or condition exists that would result in the termination or impairment of the furnishing of service to any such FBB Owned Real Property or FBB Leased Real Property of water, sewer, gas, electric, telephone, drainage and other such utility services. To FBB’s Knowledge, the FBB Owned Real Property and FBB Leased Real Property and all improvements thereon, including the mechanical systems, HVAC systems, plumbing, electrical, security, utility and sprinkler systems, are in reasonably good working condition and repair, subject only to ordinary wear and tear and normal, scheduled maintenance and are reasonably sufficient for the operation thereof for its current use, in each case, except as would not reasonably be expected to be material to FBB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(e) To FBB’s Knowledge, there are no material structural or other physical defects or deficiencies in the condition of the FBB Owned Real Property and FBB Leased Real Property, and there are no facts or conditions that would, individually or in the aggregate, materially interfere in any respect with the use or occupancy of such FBB Owned Real Property and FBB Leased Real Property or any portion thereof in the operation of the business of FBB and its Subsidiaries as currently conducted thereon. </w:t>
      </w:r>
    </w:p>
    <w:p>
      <w:pPr>
        <w:pStyle w:val="TextBody"/>
        <w:bidi w:val="0"/>
        <w:spacing w:before="240" w:after="0"/>
        <w:jc w:val="left"/>
        <w:rPr>
          <w:rFonts w:ascii="Times New Roman" w:hAnsi="Times New Roman"/>
          <w:sz w:val="20"/>
        </w:rPr>
      </w:pPr>
      <w:r>
        <w:rPr>
          <w:rFonts w:ascii="Times New Roman" w:hAnsi="Times New Roman"/>
          <w:sz w:val="20"/>
        </w:rPr>
        <w:t xml:space="preserve">(f) Neither FBB nor any of its Subsidiaries has received any written notice from a Governmental Entity of any special Tax, levy or assessment for benefits or betterments that affect the FBB Owned Real Property or FBB Leased Real Property and no such special Taxes, levies or assessments are pending or contemplated. Neither the FBB Owned Real Property, the FBB Leased Real Property nor the use or occupancy thereof violates in any way any applicable permits, licenses, certificates of occupancy, covenants, conditions or restrictions, whether federal, state, local or private, and the FBB Owned Real Property or the FBB Leased Real Property or FBB or its applicable Subsidiary holding the fee, leasehold or other interest therein has received all required permits, certificates of occupancy, licenses, authorizations and approvals in connection with the use and occupancy thereof, whether in connection with the business of FBB, its Subsidiaries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Each FBB Owned Real Property and FBB Leased Real Property enjoys direct or indirect legal ingress and egress from dedicated public highways or streets, and no action has been instituted or is pending or threatened that would impair or curtail such legal ingress and egress and, to FBB’s Knowledge, there is no reasonable basis for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(h) Neither FBB nor any of its Subsidiaries has received any written notice from any insurance company or board of fire underwriters of any defects or inadequacies that could adversely affect the insurability of any FBB Owned Real Property or FBB Leased Real Property or requesting the performance of any material work or alteration with respect to any FBB Owned Real Property or FBB Leased Real Property. </w:t>
      </w:r>
    </w:p>
    <w:p>
      <w:pPr>
        <w:pStyle w:val="TextBody"/>
        <w:bidi w:val="0"/>
        <w:spacing w:before="240" w:after="0"/>
        <w:jc w:val="left"/>
        <w:rPr>
          <w:rFonts w:ascii="Times New Roman" w:hAnsi="Times New Roman"/>
          <w:sz w:val="20"/>
        </w:rPr>
      </w:pPr>
      <w:bookmarkStart w:id="164" w:name="anxa76201_61"/>
      <w:bookmarkEnd w:id="164"/>
      <w:r>
        <w:rPr>
          <w:rFonts w:ascii="Times New Roman" w:hAnsi="Times New Roman"/>
          <w:b/>
          <w:sz w:val="20"/>
        </w:rPr>
        <w:t xml:space="preserve">SECTION 4.22 </w:t>
      </w:r>
      <w:r>
        <w:rPr>
          <w:rFonts w:ascii="Times New Roman" w:hAnsi="Times New Roman"/>
          <w:b/>
          <w:sz w:val="20"/>
          <w:u w:val="single"/>
        </w:rPr>
        <w:t>Anti-Corruption Laws</w:t>
      </w:r>
      <w:r>
        <w:rPr>
          <w:rFonts w:ascii="Times New Roman" w:hAnsi="Times New Roman"/>
          <w:sz w:val="20"/>
        </w:rPr>
        <w:t xml:space="preserve">. None of FBB or any of its Subsidiaries or any of their respective directors, officers, employees or agents or any other Person acting on their behalf has directly or indirectly made any bribes, rebates, payoffs, influence payments, kickbacks, illegal payments, illegal political contributions, or other payments, in the form of cash, gifts, or otherwise, or taken any other action, in violation of the Anti-Corruption Laws. Neither FBB nor any of its Subsidiaries is or has been the subject of any investigation or inquiry by any Governmental Entity with respect to potential violations of Anti-Corruption Laws. </w:t>
      </w:r>
    </w:p>
    <w:p>
      <w:pPr>
        <w:pStyle w:val="TextBody"/>
        <w:bidi w:val="0"/>
        <w:spacing w:before="240" w:after="0"/>
        <w:jc w:val="left"/>
        <w:rPr>
          <w:rFonts w:ascii="Times New Roman" w:hAnsi="Times New Roman"/>
          <w:sz w:val="20"/>
        </w:rPr>
      </w:pPr>
      <w:bookmarkStart w:id="165" w:name="anxa76201_62"/>
      <w:bookmarkEnd w:id="165"/>
      <w:r>
        <w:rPr>
          <w:rFonts w:ascii="Times New Roman" w:hAnsi="Times New Roman"/>
          <w:b/>
          <w:sz w:val="20"/>
        </w:rPr>
        <w:t xml:space="preserve">SECTION 4.23 </w:t>
      </w:r>
      <w:r>
        <w:rPr>
          <w:rFonts w:ascii="Times New Roman" w:hAnsi="Times New Roman"/>
          <w:b/>
          <w:sz w:val="20"/>
          <w:u w:val="single"/>
        </w:rPr>
        <w:t>Insurance</w:t>
      </w:r>
      <w:r>
        <w:rPr>
          <w:rFonts w:ascii="Times New Roman" w:hAnsi="Times New Roman"/>
          <w:sz w:val="20"/>
        </w:rPr>
        <w:t xml:space="preserve">. </w:t>
      </w:r>
      <w:r>
        <w:rPr>
          <w:rFonts w:ascii="Times New Roman" w:hAnsi="Times New Roman"/>
          <w:sz w:val="20"/>
          <w:u w:val="single"/>
        </w:rPr>
        <w:t>Section 4.23</w:t>
      </w:r>
      <w:r>
        <w:rPr>
          <w:rFonts w:ascii="Times New Roman" w:hAnsi="Times New Roman"/>
          <w:sz w:val="20"/>
        </w:rPr>
        <w:t xml:space="preserve"> of the FBB Disclosure Schedule contains a complete and accurate list of all material policies of fire, liability, workers’ compensation, title and other forms of insurance owned, held by or otherwise applicable, as of the date of this Agreement, to the assets, properties or operations of FBB and the FBB Subsidiaries, and FBB has heretofore made available to DXL and its Representatives a complete and accurate copy of all such policies, including all occurrence based policies applicable to the assets, properties or operations of FBB and the FBB Subsidiaries for all periods prior to the Effective Time. All such policies (or substitute policies with substantially similar terms and underwritten by insurance carriers with substantially similar or higher ratings) are valid and subsisting and in full force and effect in accordance with their terms, all premiums with respect thereto covering all periods up to and including the Effective Time have been paid, and no notice of cancellation or termination (or any other threatened termination) has been received with respect to any such policy. Such policies are sufficient for compliance by FBB and the FBB Subsidiaries with (i) all requirements of applicable Law and (ii) all Contracts to which any of FBB or any of the FBB Subsidiaries is a party, and each of FBB and each of the FBB Subsidiaries has complied in all material respects with the provisions of such policy under which FBB or such FBB Subsidiary, as applicable is an insured party. Neither FBB nor any of the FBB Subsidiaries is in default under any of such insurance policies, and there exists no event, occurrence, condition or act which, with the giving of notice, the lapse of time or the happening of any other event or condition, would become a default thereunder. Neither FBB nor any of the FBB Subsidiaries has been refused any insurance or suffered the cancellation of any insurance with respect to the assets, properties or operations of FBB or such FBB Subsidiary, as applicable, by any insurance carrier to which it has applied for any such insurance or with which it has carried insurance during the last five (5) years. There are no pending or, to the Knowledge of FBB, outstanding or reasonably anticipated material claims under any insurance policy. </w:t>
      </w:r>
    </w:p>
    <w:p>
      <w:pPr>
        <w:pStyle w:val="TextBody"/>
        <w:bidi w:val="0"/>
        <w:spacing w:before="240" w:after="0"/>
        <w:jc w:val="left"/>
        <w:rPr>
          <w:rFonts w:ascii="Times New Roman" w:hAnsi="Times New Roman"/>
          <w:sz w:val="20"/>
        </w:rPr>
      </w:pPr>
      <w:bookmarkStart w:id="166" w:name="anxa76201_63"/>
      <w:bookmarkEnd w:id="166"/>
      <w:r>
        <w:rPr>
          <w:rFonts w:ascii="Times New Roman" w:hAnsi="Times New Roman"/>
          <w:b/>
          <w:sz w:val="20"/>
        </w:rPr>
        <w:t xml:space="preserve">SECTION 4.24 </w:t>
      </w:r>
      <w:r>
        <w:rPr>
          <w:rFonts w:ascii="Times New Roman" w:hAnsi="Times New Roman"/>
          <w:b/>
          <w:sz w:val="20"/>
          <w:u w:val="single"/>
        </w:rPr>
        <w:t>Pre-Closing Investment</w:t>
      </w:r>
      <w:r>
        <w:rPr>
          <w:rFonts w:ascii="Times New Roman" w:hAnsi="Times New Roman"/>
          <w:sz w:val="20"/>
        </w:rPr>
        <w:t xml:space="preserve">. FBB has delivered to DXL true, correct and complete copies of any Commitment and Subscription Agreements that have been entered as of the date hereof. As of the date hereof, the Commitment and Subscription Agreement with each FBB Investor is in full force and effect and has not been withdrawn or terminated, or otherwise amended or modified, in any respect, and no withdrawal, termination, amendment or modification is contemplated by FBB. Each Commitment and Subscription Agreement is a legal, valid and binding obligation of FBB, enforceable against FBB in accordance with its terms subject to the Enforceability Exceptions and, to the Knowledge of FBB, is a legal, valid and binding obligation of each FBB Investor, enforceable against each FBB Investor in accordance with its terms subject to the Enforceability Exceptions. As of the date hereof, no event has occurred that, with or without notice, lapse of time or both, would constitute a default or breach on the part of FBB under any material term or condition of any Commitment and Subscription Agreement and, as of the date hereof, FBB has no reason to believe that it will be unable to satisfy in all material respects on a timely basis any term or condition of closing to be satisfied by it contained in any Commitment and Subscription Agreement. The Commitment and Subscription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contain all of the conditions precedent to the obligations of the FBB Investors to purchase the shares of FBB Common Stock in the Pre-Closing Investment in the commitment amount set forth in the Commitment and Subscription Agreements on the terms therein. </w:t>
      </w:r>
    </w:p>
    <w:p>
      <w:pPr>
        <w:pStyle w:val="TextBody"/>
        <w:bidi w:val="0"/>
        <w:spacing w:before="240" w:after="0"/>
        <w:jc w:val="left"/>
        <w:rPr>
          <w:rFonts w:ascii="Times New Roman" w:hAnsi="Times New Roman"/>
          <w:sz w:val="20"/>
        </w:rPr>
      </w:pPr>
      <w:bookmarkStart w:id="167" w:name="anxa76201_64"/>
      <w:bookmarkEnd w:id="167"/>
      <w:r>
        <w:rPr>
          <w:rFonts w:ascii="Times New Roman" w:hAnsi="Times New Roman"/>
          <w:b/>
          <w:sz w:val="20"/>
        </w:rPr>
        <w:t xml:space="preserve">SECTION 4.25 </w:t>
      </w:r>
      <w:r>
        <w:rPr>
          <w:rFonts w:ascii="Times New Roman" w:hAnsi="Times New Roman"/>
          <w:b/>
          <w:sz w:val="20"/>
          <w:u w:val="single"/>
        </w:rPr>
        <w:t>FBB Stockholders</w:t>
      </w:r>
      <w:r>
        <w:rPr>
          <w:rFonts w:ascii="Times New Roman" w:hAnsi="Times New Roman"/>
          <w:sz w:val="20"/>
        </w:rPr>
        <w:t xml:space="preserve">. As of the date hereof and as of the Closing Date, there are, and will be, less than thirty (30) FBB Stockholders who are not “accredited investors” as defined in Rule 501(a) of Regulation D under the Securities Act. </w:t>
      </w:r>
    </w:p>
    <w:p>
      <w:pPr>
        <w:pStyle w:val="TextBody"/>
        <w:bidi w:val="0"/>
        <w:spacing w:before="240" w:after="0"/>
        <w:jc w:val="left"/>
        <w:rPr>
          <w:rFonts w:ascii="Times New Roman" w:hAnsi="Times New Roman"/>
          <w:sz w:val="20"/>
        </w:rPr>
      </w:pPr>
      <w:bookmarkStart w:id="168" w:name="anxa76201_65"/>
      <w:bookmarkEnd w:id="168"/>
      <w:r>
        <w:rPr>
          <w:rFonts w:ascii="Times New Roman" w:hAnsi="Times New Roman"/>
          <w:b/>
          <w:sz w:val="20"/>
        </w:rPr>
        <w:t xml:space="preserve">SECTION 4.26 </w:t>
      </w:r>
      <w:r>
        <w:rPr>
          <w:rFonts w:ascii="Times New Roman" w:hAnsi="Times New Roman"/>
          <w:b/>
          <w:sz w:val="20"/>
          <w:u w:val="single"/>
        </w:rPr>
        <w:t>No Other Representations or Warranties</w:t>
      </w:r>
      <w:r>
        <w:rPr>
          <w:rFonts w:ascii="Times New Roman" w:hAnsi="Times New Roman"/>
          <w:sz w:val="20"/>
        </w:rPr>
        <w:t xml:space="preserve">. Except for the express representations and warranties contained in this Agreement, none of FBB, any of its Subsidiaries, FBB’s Affiliates nor any other Person makes any express or implied representation or warranty on behalf of FBB, its Subsidiaries or FBB’s Affiliates or any other Person, and each of FBB, its Subsidiaries and FBB’s Affiliates hereby disclaims any such representation or warranty whether by FBB, its Subsidiaries or its Affiliates. FBB has not relied and is not relying on any statement, representation or warranty, oral or written, express or implied, made by DXL, Merger Sub or any of their Affiliates or Representatives, except as expressly set forth in </w:t>
      </w:r>
      <w:r>
        <w:rPr>
          <w:rFonts w:ascii="Times New Roman" w:hAnsi="Times New Roman"/>
          <w:sz w:val="20"/>
          <w:u w:val="single"/>
        </w:rPr>
        <w:t>Article III</w:t>
      </w:r>
      <w:r>
        <w:rPr>
          <w:rFonts w:ascii="Times New Roman" w:hAnsi="Times New Roman"/>
          <w:sz w:val="20"/>
        </w:rPr>
        <w:t xml:space="preserve"> and those certificates delivered by DXL pursuant to this Agreement. FBB has conducted its own independent investigation, review and analysis of, and reached its own independent conclusions regarding, the business, operations, assets, condition (financial or otherwise) and prospects of DXL and its Subsidiaries. FBB acknowledges that it and its Representatives have been provided adequate access to the personnel, properties, premises, records and other documents and information of and relating to DXL and its Subsidiaries for such purpose. </w:t>
      </w:r>
    </w:p>
    <w:p>
      <w:pPr>
        <w:pStyle w:val="TextBody"/>
        <w:bidi w:val="0"/>
        <w:spacing w:before="480" w:after="0"/>
        <w:jc w:val="center"/>
        <w:rPr>
          <w:rFonts w:ascii="Times New Roman" w:hAnsi="Times New Roman"/>
          <w:b/>
          <w:sz w:val="20"/>
        </w:rPr>
      </w:pPr>
      <w:bookmarkStart w:id="169" w:name="anxa76201_66"/>
      <w:bookmarkEnd w:id="169"/>
      <w:r>
        <w:rPr>
          <w:rFonts w:ascii="Times New Roman" w:hAnsi="Times New Roman"/>
          <w:b/>
          <w:sz w:val="20"/>
          <w:u w:val="single"/>
        </w:rPr>
        <w:t>ARTICLE V</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COVENANTS RELATING TO CONDUCT OF BUSINESS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0" w:name="anxa76201_67"/>
      <w:bookmarkEnd w:id="170"/>
      <w:r>
        <w:rPr>
          <w:rFonts w:ascii="Times New Roman" w:hAnsi="Times New Roman"/>
          <w:b/>
          <w:sz w:val="20"/>
        </w:rPr>
        <w:t xml:space="preserve">SECTION 5.01 </w:t>
      </w:r>
      <w:r>
        <w:rPr>
          <w:rFonts w:ascii="Times New Roman" w:hAnsi="Times New Roman"/>
          <w:b/>
          <w:sz w:val="20"/>
          <w:u w:val="single"/>
        </w:rPr>
        <w:t>Conduct of Businesses Prior to the Effective Time</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(i) as required by Law, (ii) as expressly contemplated or permitted by this Agreement, (iii) as specifically set forth in </w:t>
      </w:r>
      <w:r>
        <w:rPr>
          <w:rFonts w:ascii="Times New Roman" w:hAnsi="Times New Roman"/>
          <w:sz w:val="20"/>
          <w:u w:val="single"/>
        </w:rPr>
        <w:t>Section 5.01</w:t>
      </w:r>
      <w:r>
        <w:rPr>
          <w:rFonts w:ascii="Times New Roman" w:hAnsi="Times New Roman"/>
          <w:sz w:val="20"/>
        </w:rPr>
        <w:t xml:space="preserve"> of the DXL Disclosure Schedule or the FBB Disclosure Schedule, as applicable, (iv) as necessary to effectuate the items set forth in </w:t>
      </w:r>
      <w:r>
        <w:rPr>
          <w:rFonts w:ascii="Times New Roman" w:hAnsi="Times New Roman"/>
          <w:sz w:val="20"/>
          <w:u w:val="single"/>
        </w:rPr>
        <w:t>Section 6.19</w:t>
      </w:r>
      <w:r>
        <w:rPr>
          <w:rFonts w:ascii="Times New Roman" w:hAnsi="Times New Roman"/>
          <w:sz w:val="20"/>
        </w:rPr>
        <w:t xml:space="preserve"> or (v) as consented to in writing by the other party (such consent not to be unreasonably withheld, conditioned or delayed), each of DXL and FBB will, and will cause each of their respective Subsidiaries to, use commercially reasonable efforts to (a) conduct its business solely in the ordinary course of business consistent with past practice, (b) keep available the services of current officers and employees and (c) maintain and preserve intact its business organization and advantageous business relationships. Notwithstanding the foregoing provisions of this </w:t>
      </w:r>
      <w:r>
        <w:rPr>
          <w:rFonts w:ascii="Times New Roman" w:hAnsi="Times New Roman"/>
          <w:sz w:val="20"/>
          <w:u w:val="single"/>
        </w:rPr>
        <w:t>Section 5.01</w:t>
      </w:r>
      <w:r>
        <w:rPr>
          <w:rFonts w:ascii="Times New Roman" w:hAnsi="Times New Roman"/>
          <w:sz w:val="20"/>
        </w:rPr>
        <w:t xml:space="preserve">, (i) neither party will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in order to satisfy such party’s obligations under this </w:t>
      </w:r>
      <w:r>
        <w:rPr>
          <w:rFonts w:ascii="Times New Roman" w:hAnsi="Times New Roman"/>
          <w:sz w:val="20"/>
          <w:u w:val="single"/>
        </w:rPr>
        <w:t>Section 5.01</w:t>
      </w:r>
      <w:r>
        <w:rPr>
          <w:rFonts w:ascii="Times New Roman" w:hAnsi="Times New Roman"/>
          <w:sz w:val="20"/>
        </w:rPr>
        <w:t xml:space="preserve"> and (ii) each party shall be deemed not to have failed to satisfy its obligations under this </w:t>
      </w:r>
      <w:r>
        <w:rPr>
          <w:rFonts w:ascii="Times New Roman" w:hAnsi="Times New Roman"/>
          <w:sz w:val="20"/>
          <w:u w:val="single"/>
        </w:rPr>
        <w:t>Section 5.01</w:t>
      </w:r>
      <w:r>
        <w:rPr>
          <w:rFonts w:ascii="Times New Roman" w:hAnsi="Times New Roman"/>
          <w:sz w:val="20"/>
        </w:rPr>
        <w:t xml:space="preserve"> to the extent such failure resulted, directly or indirectly, from such party’s failure to take any action prohibited by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5.03</w:t>
      </w:r>
      <w:r>
        <w:rPr>
          <w:rFonts w:ascii="Times New Roman" w:hAnsi="Times New Roman"/>
          <w:sz w:val="20"/>
        </w:rPr>
        <w:t xml:space="preserve">, as applicable, where consent for such action hereunder was requested in writing and not given by the other party. </w:t>
      </w:r>
    </w:p>
    <w:p>
      <w:pPr>
        <w:pStyle w:val="TextBody"/>
        <w:bidi w:val="0"/>
        <w:spacing w:before="240" w:after="0"/>
        <w:jc w:val="left"/>
        <w:rPr>
          <w:rFonts w:ascii="Times New Roman" w:hAnsi="Times New Roman"/>
          <w:sz w:val="20"/>
        </w:rPr>
      </w:pPr>
      <w:bookmarkStart w:id="171" w:name="anxa76201_68"/>
      <w:bookmarkEnd w:id="171"/>
      <w:r>
        <w:rPr>
          <w:rFonts w:ascii="Times New Roman" w:hAnsi="Times New Roman"/>
          <w:b/>
          <w:sz w:val="20"/>
        </w:rPr>
        <w:t xml:space="preserve">SECTION 5.02 </w:t>
      </w:r>
      <w:r>
        <w:rPr>
          <w:rFonts w:ascii="Times New Roman" w:hAnsi="Times New Roman"/>
          <w:b/>
          <w:sz w:val="20"/>
          <w:u w:val="single"/>
        </w:rPr>
        <w:t>DXL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specifically set forth in </w:t>
      </w:r>
      <w:r>
        <w:rPr>
          <w:rFonts w:ascii="Times New Roman" w:hAnsi="Times New Roman"/>
          <w:sz w:val="20"/>
          <w:u w:val="single"/>
        </w:rPr>
        <w:t>Section 5.02</w:t>
      </w:r>
      <w:r>
        <w:rPr>
          <w:rFonts w:ascii="Times New Roman" w:hAnsi="Times New Roman"/>
          <w:sz w:val="20"/>
        </w:rPr>
        <w:t xml:space="preserve"> of the DXL Disclosure Schedule or as consented to in writing by FBB (such consent not to be unreasonably withheld, conditioned or delayed), DXL will not, and will not permit any of the DXL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(including interest) on, or directly or indirectly redeem, purchase or otherwise acquire, any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DXL or any DXL Subsidiary or any DXL Voting Debt or (ii) any rights that are linked in any way to the price of any share capital of, or to the value of or of any part of, or to any dividends or distributions paid on any share capital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DXL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DXL may engage independent contractors who are natural persons who are terminable at will within fourteen (14) days notice; and provided, further, that the aggregate annualized compensation or wage rate for all such hires may not exceed $500,000, (iii) enter into, establish, adopt, amend or terminate any DXL Benefit Plan other than as required by applicable Law or pursuant to the terms of such DXL Benefit Plan as in effect on the date of this Agreement; </w:t>
      </w:r>
      <w:r>
        <w:rPr>
          <w:rFonts w:ascii="Times New Roman" w:hAnsi="Times New Roman"/>
          <w:sz w:val="20"/>
          <w:u w:val="single"/>
        </w:rPr>
        <w:t>provided</w:t>
      </w:r>
      <w:r>
        <w:rPr>
          <w:rFonts w:ascii="Times New Roman" w:hAnsi="Times New Roman"/>
          <w:sz w:val="20"/>
        </w:rPr>
        <w:t xml:space="preserve">, however, that DXL may amend any DXL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DXL Benefit Plan, (v) terminate the employment or services of any DXL Restricted Employee, other than for cause, (vi) hire or promote any individual who would be a DXL Restricted Employee, other than as a replacement hire receiving substantially similar terms of employment as the departed employee, (vii) change any actuarial or other assumptions used to calculate funding obligations with respect to any DXL Benefit Plan or change the manner in which contributions to such plans are made or the basis on which such contributions are determined, except as may be required by GAAP, (viii) pay, grant or award any DXL equity awards or other incentive awards, or (ix) loan or advance any money or other property to any current or former employee or other service provider of DXL or any DXL Subsidiary (other than advances for reimbursable employee expenses in the ordinary course of business and in accordance with DXL’s expense reimbursement policies); </w:t>
      </w:r>
    </w:p>
    <w:p>
      <w:pPr>
        <w:pStyle w:val="TextBody"/>
        <w:bidi w:val="0"/>
        <w:spacing w:before="240" w:after="0"/>
        <w:jc w:val="left"/>
        <w:rPr>
          <w:rFonts w:ascii="Times New Roman" w:hAnsi="Times New Roman"/>
          <w:sz w:val="20"/>
        </w:rPr>
      </w:pPr>
      <w:r>
        <w:rPr>
          <w:rFonts w:ascii="Times New Roman" w:hAnsi="Times New Roman"/>
          <w:sz w:val="20"/>
        </w:rPr>
        <w:t xml:space="preserve">(e)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DXL, any DXL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(f) effectuate (i) a “plant closing” (as defined in WARN or any similar applicable law) affecting any site of employment or one or more facilities or operating units within any site of employment or facility of DXL or any DXL Subsidiary, or (ii) a “mass layoff” or collective dismissal (as defined in WARN, or any similar applicable law) affecting any site of employment or facility of DXL or any DXL Subsidiary; </w:t>
      </w:r>
    </w:p>
    <w:p>
      <w:pPr>
        <w:pStyle w:val="TextBody"/>
        <w:bidi w:val="0"/>
        <w:spacing w:before="240" w:after="0"/>
        <w:jc w:val="left"/>
        <w:rPr>
          <w:rFonts w:ascii="Times New Roman" w:hAnsi="Times New Roman"/>
          <w:sz w:val="20"/>
        </w:rPr>
      </w:pPr>
      <w:r>
        <w:rPr>
          <w:rFonts w:ascii="Times New Roman" w:hAnsi="Times New Roman"/>
          <w:sz w:val="20"/>
        </w:rPr>
        <w:t xml:space="preserve">(g) (i) sell, transfer, mortgage, encumber or otherwise dispose of any of its tangible properties or assets in any transaction or series of transactions to any Person other than DXL or a DXL Subsidiary, other than in the ordinary course of business consistent with past practice, or (ii) cancel, release or assign to any such Person any material Indebtedness or any material claim held by DXL or any DXL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sell, transfer, assign, pledge, license, convey, subject to any Lien (other than Permitted Liens) or otherwise dispose of any DXL IP Rights, in each case, other than non-exclusive licenses of Intellectual Property Rights granted to a contractor or service provider of DXL or its Subsidiaries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change or amend any data privacy or information security policies or practices of DXL or the DXL Subsidiaries, except as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(j)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settle any claim, action or proceeding if such settlement would require any payment by DXL or any DXL Subsidiary of an amount in excess of $100,000 individually or $250,000 in the aggregate, or would obligate DXL or any DXL Subsidiary to admit any wrongdoing, to grant any material rights (other than agreement to pay the cash settlement amount agreed upon), to take any material action or impose any material restrictions or material liabilities on the business of DXL or any of the DXL Subsidiaries, or would not provide DXL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consistent with past practice, directly or indirectly make, or agree to directly or indirectly make, any acquisition or investment whether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(m) other than as set forth in the DXL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(n) (i) amend the DXL Charter (or the organizational documents of any DXL Subsidiary), except as contemplated by </w:t>
      </w:r>
      <w:r>
        <w:rPr>
          <w:rFonts w:ascii="Times New Roman" w:hAnsi="Times New Roman"/>
          <w:sz w:val="20"/>
          <w:u w:val="single"/>
        </w:rPr>
        <w:t>Section 6.09</w:t>
      </w:r>
      <w:r>
        <w:rPr>
          <w:rFonts w:ascii="Times New Roman" w:hAnsi="Times New Roman"/>
          <w:sz w:val="20"/>
        </w:rPr>
        <w:t xml:space="preserve"> or otherwise as specifically set forth in this Agreement, or (ii) otherwise take any action to exempt any Person (other than FBB), or any action taken by any such Person, from any Takeover Statute or similarly restrictive provisions of its organizational documents; </w:t>
      </w:r>
    </w:p>
    <w:p>
      <w:pPr>
        <w:pStyle w:val="TextBody"/>
        <w:bidi w:val="0"/>
        <w:spacing w:before="240" w:after="0"/>
        <w:jc w:val="left"/>
        <w:rPr>
          <w:rFonts w:ascii="Times New Roman" w:hAnsi="Times New Roman"/>
          <w:sz w:val="20"/>
        </w:rPr>
      </w:pPr>
      <w:r>
        <w:rPr>
          <w:rFonts w:ascii="Times New Roman" w:hAnsi="Times New Roman"/>
          <w:sz w:val="20"/>
        </w:rPr>
        <w:t xml:space="preserve">(o) (x) implement or adopt any material change in its Tax accounting or financial accounting policies, practices or methods, other than as may be required by applicable Law or GAAP or regulatory guidelines or to consummate the Transactions or (y) make, change or revoke any material Tax election, except, in the case of each of clauses (x) and (y),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(p) fail to keep or cause to be kept its material existing insurance policies (or substantial equivalents) in such amounts substantially as in force as of the date hereof; or </w:t>
      </w:r>
    </w:p>
    <w:p>
      <w:pPr>
        <w:pStyle w:val="TextBody"/>
        <w:bidi w:val="0"/>
        <w:spacing w:before="240" w:after="0"/>
        <w:jc w:val="left"/>
        <w:rPr>
          <w:rFonts w:ascii="Times New Roman" w:hAnsi="Times New Roman"/>
          <w:sz w:val="20"/>
        </w:rPr>
      </w:pPr>
      <w:r>
        <w:rPr>
          <w:rFonts w:ascii="Times New Roman" w:hAnsi="Times New Roman"/>
          <w:sz w:val="20"/>
        </w:rPr>
        <w:t xml:space="preserve">(q) agree, commit, resolve or propose to take any of the actions prohibited by this </w:t>
      </w:r>
      <w:r>
        <w:rPr>
          <w:rFonts w:ascii="Times New Roman" w:hAnsi="Times New Roman"/>
          <w:sz w:val="20"/>
          <w:u w:val="single"/>
        </w:rPr>
        <w:t>Section 5.02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2" w:name="anxa76201_69"/>
      <w:bookmarkEnd w:id="172"/>
      <w:r>
        <w:rPr>
          <w:rFonts w:ascii="Times New Roman" w:hAnsi="Times New Roman"/>
          <w:b/>
          <w:sz w:val="20"/>
        </w:rPr>
        <w:t xml:space="preserve">SECTION 5.03 </w:t>
      </w:r>
      <w:r>
        <w:rPr>
          <w:rFonts w:ascii="Times New Roman" w:hAnsi="Times New Roman"/>
          <w:b/>
          <w:sz w:val="20"/>
          <w:u w:val="single"/>
        </w:rPr>
        <w:t>FBB Forbearances</w:t>
      </w:r>
      <w:r>
        <w:rPr>
          <w:rFonts w:ascii="Times New Roman" w:hAnsi="Times New Roman"/>
          <w:sz w:val="20"/>
        </w:rPr>
        <w:t xml:space="preserve">. During the period from the date of this Agreement to the Effective Time or the earlier termination of this Agreement pursuant to </w:t>
      </w:r>
      <w:r>
        <w:rPr>
          <w:rFonts w:ascii="Times New Roman" w:hAnsi="Times New Roman"/>
          <w:sz w:val="20"/>
          <w:u w:val="single"/>
        </w:rPr>
        <w:t>Section 8.01</w:t>
      </w:r>
      <w:r>
        <w:rPr>
          <w:rFonts w:ascii="Times New Roman" w:hAnsi="Times New Roman"/>
          <w:sz w:val="20"/>
        </w:rPr>
        <w:t xml:space="preserve">, except as required by Law, as expressly contemplated or permitted by this Agreement and all attachments, schedules and exhibits thereto, as necessary to effectuate the items set forth in </w:t>
      </w:r>
      <w:r>
        <w:rPr>
          <w:rFonts w:ascii="Times New Roman" w:hAnsi="Times New Roman"/>
          <w:sz w:val="20"/>
          <w:u w:val="single"/>
        </w:rPr>
        <w:t>Section 6.19,</w:t>
      </w:r>
      <w:r>
        <w:rPr>
          <w:rFonts w:ascii="Times New Roman" w:hAnsi="Times New Roman"/>
          <w:sz w:val="20"/>
        </w:rPr>
        <w:t xml:space="preserve"> as specifically set forth in </w:t>
      </w:r>
      <w:r>
        <w:rPr>
          <w:rFonts w:ascii="Times New Roman" w:hAnsi="Times New Roman"/>
          <w:sz w:val="20"/>
          <w:u w:val="single"/>
        </w:rPr>
        <w:t>Section 5.03</w:t>
      </w:r>
      <w:r>
        <w:rPr>
          <w:rFonts w:ascii="Times New Roman" w:hAnsi="Times New Roman"/>
          <w:sz w:val="20"/>
        </w:rPr>
        <w:t xml:space="preserve"> of the FBB Disclosure Schedule or as consented to in writing by DXL (such consent not to be unreasonably withheld, conditioned or delayed), FBB will not, and will not permit any of the FBB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incur any Indebtedness in excess of $250,000 in the aggregate, or make any loan or advance to any Person (other than advances of expenses to employees in the ordinary course of business) or enter into any swap or hedging transaction, in each case, except for (i) borrowings under credit facilities existing as of the date hereof, including that certain ABL Credit Agreement, dated as of July 30, 2019 (as amended), in accordance with the terms thereof and in the ordinary course of business for working capital management; (ii) among FBB and its wholly owned FBB Subsidiaries entered into in the ordinary course of business; and (iii) letters of credit or performance bonds entered into in connection with customer orders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make, declare or pay any dividend, or make any other distribution on, or directly or indirectly redeem, purchase or otherwise acquire, any of its Equity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reclassify, combine, split, subdivide or issue, deliver, sell, grant, pledge (other than equity interests that are required to be pledged in accordance with any existing loan document) or otherwise encumber or subject to any Lien (i) any Equity Interests of FBB or any FBB Subsidiary or any FBB Voting Debt or (ii) any rights that are linked in any way to the price of any share capital of, or to the value of or of any part of, or to any dividends or distributions paid on any share capital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under the terms of any FBB Benefit Plan or Contract as in effect on the date of this Agreement (i) materially increase the compensation or benefits of any of its directors, officers or employees, other than increases to current employees and officers (x) in connection with a promotion or change in responsibilities and to a level consistent with similarly situated peer employees, (y) in the ordinary course of business consistent with past practice or (z) the payment of incentive compensation for completed performance periods based upon corporate performance, the performance of such employee and, if applicable, such employee’s business, (ii) engage any independent contractor that is a natural person; provided, however, that FBB may engage independent contractors who are natural persons who are terminable at will with fourteen (14) days notice; and provided, further, that the aggregate annualized compensation or wage rate for all such hires may not exceed $500,000, (iii) enter into, establish, adopt, amend or terminate any FBB Benefit Plan other than as required by applicable Law or pursuant to the terms of such FBB Benefit Plan as in effect on the date of this Agreement; provided, however, that FBB may amend any FBB Equity Plan solely to increase the number of shares available for issuance thereunder, subject to any required approvals, (iv) accelerate the time of payment or vesting of, or the lapsing of restrictions with respect to, or fund or otherwise secure the payment of, any compensation or benefits under any FBB Benefit Plan, (v) terminate the employment or services of any FBB Restricted Employee, other than for cause, (vi) hire or promote any individual who would be an FBB Restricted Employee, other than as a replacement hire receiving substantially similar terms of employment as the departed employee, (vii) change any actuarial or other assumptions used to calculate funding obligations with respect to any FBB Benefit Plan or change the manner in which contributions to such plans are made or the basis on which such contributions are determined, except as may be required by GAAP, (viii) pay, grant or award any FBB equity awards or other incentive awards, or (ix) loan or advance any money or other property to any current or former employee or other service provider of FBB or any FBB Subsidiary (other than advances for reimbursable employee expenses in the ordinary course of business and in accordance with FBB’s expense reimbursement policies); recognize any union or other labor organization, certify any collective bargaining or similar contract, enter into any collective bargaining or similar Contracts, appraise or oppose any union organizing campaign, file any unfair labor practice charges, or take any other action similar to the foregoing or in anticipation of the foregoing, in each case, with respect to FBB, any FBB Subsidiary or any of their respective current or former employees; </w:t>
      </w:r>
    </w:p>
    <w:p>
      <w:pPr>
        <w:pStyle w:val="TextBody"/>
        <w:bidi w:val="0"/>
        <w:spacing w:before="240" w:after="0"/>
        <w:jc w:val="left"/>
        <w:rPr>
          <w:rFonts w:ascii="Times New Roman" w:hAnsi="Times New Roman"/>
          <w:sz w:val="20"/>
        </w:rPr>
      </w:pPr>
      <w:r>
        <w:rPr>
          <w:rFonts w:ascii="Times New Roman" w:hAnsi="Times New Roman"/>
          <w:sz w:val="20"/>
        </w:rPr>
        <w:t xml:space="preserve">(e) effectuate (i) a “plant closing” (as defined in WARN or any similar applicable law) affecting any site of employment or one or more facilities or operating units within any site of employment or facility of FBB or any FBB Subsidiary, or (ii) a “mass layoff” or collective dismissal (as defined in WARN, or any similar applicable law) affecting any site of employment or facility of FBB or any FBB Subsidiary; </w:t>
      </w:r>
    </w:p>
    <w:p>
      <w:pPr>
        <w:pStyle w:val="TextBody"/>
        <w:bidi w:val="0"/>
        <w:spacing w:before="240" w:after="0"/>
        <w:jc w:val="left"/>
        <w:rPr>
          <w:rFonts w:ascii="Times New Roman" w:hAnsi="Times New Roman"/>
          <w:sz w:val="20"/>
        </w:rPr>
      </w:pPr>
      <w:r>
        <w:rPr>
          <w:rFonts w:ascii="Times New Roman" w:hAnsi="Times New Roman"/>
          <w:sz w:val="20"/>
        </w:rPr>
        <w:t xml:space="preserve">(f) (i) sell, transfer, mortgage, encumber or otherwise dispose of any of its tangible properties or assets in any transaction or series of transactions to any Person other than FBB or an FBB Subsidiary, other than in the ordinary course of business consistent with past practice, or (ii) cancel, release or assign to any such Person any material Indebtedness or any material claim held by FBB or any FBB Subsidiary, other than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(g) sell, transfer, assign, pledge, license, convey, subject to any Lien (other than Permitted Liens) or otherwise dispose of any FBB IP Rights, in each case, other than non-exclusive licenses of Intellectual Property Rights granted to a contractor or service provider of FBB or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(h) change or amend any data privacy or information security policies or practices of FBB or the FBB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enter into any new line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settle any claim, action or proceeding if such settlement would require any payment by FBB or any FBB Subsidiary of an amount in excess of $100,000 individually or $250,000 in the aggregate, or would obligate FBB or any FBB Subsidiary to admit any wrongdoing, to grant any material rights (other than agreement to pay the cash settlement amount agreed upon), to take any material action or impose any material restrictions or material liabilities on the business of FBB or any of the FBB Subsidiaries, or would not provide FBB and its Subsidiaries with a full release from any and all liability arising in connection with any such claim,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(k) other than in the ordinary course of business consistent with past practice, directly or indirectly make, or agree to directly or indirectly make, any acquisition or investment either by merger, consolidation, purchase of stock or securities, contributions to capital, property transfers, or by purchase of any property or assets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 other than as set forth in the FBB CapEx Budget, make any capital expenditures in excess of $1,000,000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(m) amend the FBB Charter in a manner that would reasonably be expected to prevent or hinder or delay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(n) (i) implement or adopt any material change in its Tax accounting or financial accounting policies, practices or methods, other than as may be required by applicable Law or GAAP or regulatory guidelines or to consummate the Transactions or (ii) make, change or revoke any material Tax election, except, in the case of each of clauses (i) and (ii),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(o) fail to keep or cause to be kept its material existing insurance policies (or substantial equivalents) in such amounts substantially as in force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(p) agree, commit, resolve or propose to take any of the actions prohibited by this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3" w:name="anxa76201_70"/>
      <w:bookmarkEnd w:id="173"/>
      <w:r>
        <w:rPr>
          <w:rFonts w:ascii="Times New Roman" w:hAnsi="Times New Roman"/>
          <w:b/>
          <w:sz w:val="20"/>
        </w:rPr>
        <w:t xml:space="preserve">SECTION 5.04 </w:t>
      </w:r>
      <w:r>
        <w:rPr>
          <w:rFonts w:ascii="Times New Roman" w:hAnsi="Times New Roman"/>
          <w:b/>
          <w:sz w:val="20"/>
          <w:u w:val="single"/>
        </w:rPr>
        <w:t>Control of Other Party’s Business</w:t>
      </w:r>
      <w:r>
        <w:rPr>
          <w:rFonts w:ascii="Times New Roman" w:hAnsi="Times New Roman"/>
          <w:sz w:val="20"/>
        </w:rPr>
        <w:t xml:space="preserve">. Nothing contained in this Agreement will give DXL, directly or indirectly, the right to control FBB or direct the business or operations of FBB prior to the Effective Time. Nothing contained in this Agreement will give FBB, directly or indirectly, the right to control DXL or any of the DXL Subsidiaries or direct the business or operations of DXL or any of the DXL Subsidiaries prior to the Effective Time. Prior to the Effective Time, each of DXL and FBB will exercise, consistent with the terms and conditions of this Agreement, complete control and supervision over its operations and the operations of its Subsidiaries. Nothing in this Agreement, including any of the actions, rights or restrictions set forth herein, will be interpreted in such a way as to place FBB or DXL in violation of any rule, regulation or policy of any Regulatory Agency or applicable Law. </w:t>
      </w:r>
    </w:p>
    <w:p>
      <w:pPr>
        <w:pStyle w:val="TextBody"/>
        <w:bidi w:val="0"/>
        <w:spacing w:before="240" w:after="0"/>
        <w:jc w:val="left"/>
        <w:rPr>
          <w:rFonts w:ascii="Times New Roman" w:hAnsi="Times New Roman"/>
          <w:sz w:val="20"/>
        </w:rPr>
      </w:pPr>
      <w:bookmarkStart w:id="174" w:name="anxa76201_71"/>
      <w:bookmarkEnd w:id="174"/>
      <w:r>
        <w:rPr>
          <w:rFonts w:ascii="Times New Roman" w:hAnsi="Times New Roman"/>
          <w:b/>
          <w:sz w:val="20"/>
        </w:rPr>
        <w:t xml:space="preserve">SECTION 5.05 </w:t>
      </w:r>
      <w:r>
        <w:rPr>
          <w:rFonts w:ascii="Times New Roman" w:hAnsi="Times New Roman"/>
          <w:b/>
          <w:sz w:val="20"/>
          <w:u w:val="single"/>
        </w:rPr>
        <w:t>FBB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FBB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an FBB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an FBB Takeover Proposal or (iii) execute or enter into any letter of intent, memorandum of understanding, agreement in principle, acquisition agreement, merger agreement, option or any other agreement (other than an Acceptable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Agreement) regarding, or that is intended to result in, or would reasonably be expected to lead to, any FBB Takeover Proposal. FBB will, will cause its Subsidiaries to, and will cause each of its Representatives to immediately cease any solicitation, discussions or negotiations with any Persons that may be ongoing with respect to an FBB Takeover Proposal, or any inquiry, request, proposal or offer that would reasonably be expected to lead to an FBB Takeover Proposal, request the prompt return or destruction of all confidential information previously furnished to any Person in connection with an FBB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an “</w:t>
      </w:r>
      <w:r>
        <w:rPr>
          <w:rFonts w:ascii="Times New Roman" w:hAnsi="Times New Roman"/>
          <w:sz w:val="20"/>
          <w:u w:val="single"/>
        </w:rPr>
        <w:t>FBB Takeover Proposal</w:t>
      </w:r>
      <w:r>
        <w:rPr>
          <w:rFonts w:ascii="Times New Roman" w:hAnsi="Times New Roman"/>
          <w:sz w:val="20"/>
        </w:rPr>
        <w:t xml:space="preserve">” means, in each case other than an Excluded Transaction, any proposal or offer from any Person or group with respect to, in a single transaction or series of related transactions, any (i) direct or indirect acquisition, lease, exchange, transfer, license, sublicense, sale or disposition of 20% or more of the consolidated assets of FBB and the FBB Subsidiaries (based on the fair market value thereof), (ii) direct or indirect acquisition or sale of outstanding or newly issued FBB Common Stock or other securities of FBB (including any outstanding or newly issued options, rights or warrants to purchase, or securities convertible into or exchangeable for, FBB Common Stock or other securities representing such voting power) representing (after giving effect to such acquisition) 20% or more of the outstanding FBB Common Stock or of the outstanding voting power of FBB, or any other direct or indirect acquisition of 20% or more of the outstanding voting power of FBB,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FBB Common Stock or of the outstanding voting power of FBB or (iv) merger, consolidation, share exchange, business combination, recapitalization, liquidation, dissolution or other similar transaction involving FBB or any FBB Subsidiary which would result in any Person or group (or the stockholders of any Person or group) beneficially owning, directly or indirectly, 20% or more of the outstanding voting power of FBB or of the surviving entity in a merger involving FBB or the resulting direct or indirect parent of FBB or such surviving entity (or outstanding options, rights or warrants to purchase, or outstanding securities convertible into or exchangeable for, securities representing such voting power). For the avoidance of doubt, neither the Merger nor the other Transactions shall be deemed an FBB Takeover Proposal. Wherever the term “group” is used in this </w:t>
      </w:r>
      <w:r>
        <w:rPr>
          <w:rFonts w:ascii="Times New Roman" w:hAnsi="Times New Roman"/>
          <w:sz w:val="20"/>
          <w:u w:val="single"/>
        </w:rPr>
        <w:t>Section 5.05</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(c) As used in this Agreement, an “</w:t>
      </w:r>
      <w:r>
        <w:rPr>
          <w:rFonts w:ascii="Times New Roman" w:hAnsi="Times New Roman"/>
          <w:sz w:val="20"/>
          <w:u w:val="single"/>
        </w:rPr>
        <w:t>Excluded Transaction</w:t>
      </w:r>
      <w:r>
        <w:rPr>
          <w:rFonts w:ascii="Times New Roman" w:hAnsi="Times New Roman"/>
          <w:sz w:val="20"/>
        </w:rPr>
        <w:t xml:space="preserve">” means any direct or indirect acquisition or sale of outstanding or newly issued FBB Common Stock by FBB, including pursuant to the Pre-Closing Investment (and which FBB Common Stock, for the avoidance of doubt, shall be issued prior to the Merger and be converted into the Merger Consideration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(d) FBB will promptly (but in any event within forty-eight (48) hours) (i) notify DXL in writing in the event that FBB or any of its Subsidiaries or Representatives receives an FBB Takeover Proposal (including an FBB Takeover Proposal received by any FBB stockholder and forwarded to FBB or any of its Subsidiaries or Representatives) and (ii) provide to DXL (x) an unredacted copy of any such FBB Takeover Proposal made in writing (including any financing commitments or other agreements related thereto) and unredacted copies of all other material written materials constituting or containing terms or conditions with respect to such FBB Takeover Proposal exchanged between FBB (or any of its Subsidiaries or Representatives) and such Person (or any of its Affiliates or its or their Representatives) or otherwise received by FBB (or any of its Subsidiaries or Representatives or any stockholder of FBB), in each case in connection with such FBB Takeover Proposal (except for redactions of proprietary information of such Person that does not relate to the material terms or conditions of such FBB Takeover Proposal) and (y) a written summary of all material terms and conditions of any such FBB Takeover Proposal to the extent not made in writing (and in each case including the identity of the Person or group making such FBB Takeover Proposal). From and after such notification, FBB will keep DXL informed on a prompt basis (and in any event within forty-eight (48) hours) of any material developments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any such FBB Takeover Proposal (including any changes to the material terms or conditions thereof) or any material substantive discussions or negotiations relating thereto. FBB will not, and will cause its Subsidiaries not to, enter into any confidentiality or similar agreement with any Person that prohibits FBB from providing to DXL any of the information required to be provided to DXL under this </w:t>
      </w:r>
      <w:r>
        <w:rPr>
          <w:rFonts w:ascii="Times New Roman" w:hAnsi="Times New Roman"/>
          <w:sz w:val="20"/>
          <w:u w:val="single"/>
        </w:rPr>
        <w:t>Section 5.05</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(e) It is understood and agreed that any violation of this </w:t>
      </w:r>
      <w:r>
        <w:rPr>
          <w:rFonts w:ascii="Times New Roman" w:hAnsi="Times New Roman"/>
          <w:sz w:val="20"/>
          <w:u w:val="single"/>
        </w:rPr>
        <w:t>Section 5.05</w:t>
      </w:r>
      <w:r>
        <w:rPr>
          <w:rFonts w:ascii="Times New Roman" w:hAnsi="Times New Roman"/>
          <w:sz w:val="20"/>
        </w:rPr>
        <w:t xml:space="preserve"> by any of FBB’s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05 by FBB. </w:t>
      </w:r>
    </w:p>
    <w:p>
      <w:pPr>
        <w:pStyle w:val="TextBody"/>
        <w:bidi w:val="0"/>
        <w:spacing w:before="240" w:after="0"/>
        <w:jc w:val="left"/>
        <w:rPr>
          <w:rFonts w:ascii="Times New Roman" w:hAnsi="Times New Roman"/>
          <w:sz w:val="20"/>
        </w:rPr>
      </w:pPr>
      <w:bookmarkStart w:id="175" w:name="anxa76201_72"/>
      <w:bookmarkEnd w:id="175"/>
      <w:r>
        <w:rPr>
          <w:rFonts w:ascii="Times New Roman" w:hAnsi="Times New Roman"/>
          <w:b/>
          <w:sz w:val="20"/>
        </w:rPr>
        <w:t xml:space="preserve">SECTION 5.06 </w:t>
      </w:r>
      <w:r>
        <w:rPr>
          <w:rFonts w:ascii="Times New Roman" w:hAnsi="Times New Roman"/>
          <w:b/>
          <w:sz w:val="20"/>
          <w:u w:val="single"/>
        </w:rPr>
        <w:t>DXL 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DXL will not, will cause its Subsidiaries not to, and will cause each of its Representatives not to, and on becoming aware of it will use its reasonable best efforts to stop any such Person from continuing to, directly or indirectly, (i) solicit, initiate or knowingly facilitate any communications, inquiries, requests, proposals or offers that constitute, or that would reasonably be expected to lead to, a DXL Takeover Proposal, (ii) engage or otherwise participate in any communications, discussions or negotiations regarding, or furnish to any Person any non-public information in connection with, or for the purpose of facilitating, any inquiries, requests, proposals or offers that constitute, or that would reasonably be expected to lead to, a DXL Takeover Proposal (other than upon receipt of a bona fide, unsolicited written DXL Takeover Proposal from any Person that did not result from a breach of this </w:t>
      </w:r>
      <w:r>
        <w:rPr>
          <w:rFonts w:ascii="Times New Roman" w:hAnsi="Times New Roman"/>
          <w:sz w:val="20"/>
          <w:u w:val="single"/>
        </w:rPr>
        <w:t>Section 5.06</w:t>
      </w:r>
      <w:r>
        <w:rPr>
          <w:rFonts w:ascii="Times New Roman" w:hAnsi="Times New Roman"/>
          <w:sz w:val="20"/>
        </w:rPr>
        <w:t xml:space="preserve">, solely to the extent necessary to ascertain facts or clarify terms with respect to a DXL Takeover Proposal for the DXL Board to be able to have sufficient information to make the determination described in </w:t>
      </w:r>
      <w:r>
        <w:rPr>
          <w:rFonts w:ascii="Times New Roman" w:hAnsi="Times New Roman"/>
          <w:sz w:val="20"/>
          <w:u w:val="single"/>
        </w:rPr>
        <w:t>Section 5.06(d)</w:t>
      </w:r>
      <w:r>
        <w:rPr>
          <w:rFonts w:ascii="Times New Roman" w:hAnsi="Times New Roman"/>
          <w:sz w:val="20"/>
        </w:rPr>
        <w:t>) or (iii) execute or enter into any letter of intent, memorandum of understanding, agreement in principle, acquisition agreement, merger agreement, option or any other agreement (other than an Acceptable Confidentiality Agreement) regarding, or that is intended to result in, or would reasonably be expected to lead to, any DXL Takeover Proposal (a “</w:t>
      </w:r>
      <w:r>
        <w:rPr>
          <w:rFonts w:ascii="Times New Roman" w:hAnsi="Times New Roman"/>
          <w:sz w:val="20"/>
          <w:u w:val="single"/>
        </w:rPr>
        <w:t>DXL Acquisition Agreement</w:t>
      </w:r>
      <w:r>
        <w:rPr>
          <w:rFonts w:ascii="Times New Roman" w:hAnsi="Times New Roman"/>
          <w:sz w:val="20"/>
        </w:rPr>
        <w:t xml:space="preserve">”). DXL will, will cause its Subsidiaries to, and will cause each of its Representatives to immediately cease any solicitation, discussions or negotiations with any Persons that may be ongoing with respect to a DXL Takeover Proposal, or any inquiry, request, proposal or offer that would reasonably be expected to lead to a DXL Takeover Proposal, request the prompt return or destruction of all confidential information previously furnished to any Person in connection with a DXL Takeover Proposal and immediately terminate all physical and electronic data room access previously granted to any such Person, its Subsidiaries or its Representatives. </w:t>
      </w:r>
    </w:p>
    <w:p>
      <w:pPr>
        <w:pStyle w:val="TextBody"/>
        <w:bidi w:val="0"/>
        <w:spacing w:before="240" w:after="0"/>
        <w:jc w:val="left"/>
        <w:rPr>
          <w:rFonts w:ascii="Times New Roman" w:hAnsi="Times New Roman"/>
          <w:sz w:val="20"/>
        </w:rPr>
      </w:pPr>
      <w:r>
        <w:rPr>
          <w:rFonts w:ascii="Times New Roman" w:hAnsi="Times New Roman"/>
          <w:sz w:val="20"/>
        </w:rPr>
        <w:t>(b) As used in this Agreement, a “</w:t>
      </w:r>
      <w:r>
        <w:rPr>
          <w:rFonts w:ascii="Times New Roman" w:hAnsi="Times New Roman"/>
          <w:sz w:val="20"/>
          <w:u w:val="single"/>
        </w:rPr>
        <w:t>DXL Takeover Proposal</w:t>
      </w:r>
      <w:r>
        <w:rPr>
          <w:rFonts w:ascii="Times New Roman" w:hAnsi="Times New Roman"/>
          <w:sz w:val="20"/>
        </w:rPr>
        <w:t xml:space="preserve">” means any proposal or offer from any Person or group with respect to, in a single transaction or series of related transactions, any (i) direct or indirect acquisition, lease, exchange, transfer, license, sublicense, sale or disposition of 20% or more of the consolidated assets of DXL and the DXL Subsidiaries (based on the fair market value thereof), (ii) direct or indirect acquisition or sale of outstanding or newly issued DXL Common Stock or other securities of DXL (including any outstanding or newly issued options, rights or warrants to purchase, or securities convertible into or exchangeable for, DXL Common Stock or other securities representing such voting power) representing (after giving effect to such acquisition) 20% or more of the outstanding DXL Common Stock or of the outstanding voting power of DXL, or any other direct or indirect acquisition of 20% or more of the outstanding voting power of DXL, regardless of the method, form or structure of such other direct or indirect acquisition, (iii) tender offer or exchange offer that if consummated would result, directly or indirectly, in any Person or group (or the stockholders of any Person or group) beneficially owning (the term or concept of “beneficial ownership” for purposes of this Agreement having the meaning assigned thereto in Section 13(d) of the Exchange Act and the rules and regulations thereunder) 20% or more of the outstanding DXL Common Stock or of the outstanding voting power of DXL or (iv) merger, consolidation, share exchange, business combination, recapitalization, liquidation, dissolution or other similar transaction involving DXL or any DXL Subsidiary which would result in any Person or group (or the stockholders of any Person or group) beneficially owning, directly or indirectly, 20% or more of the outstanding voting power of DXL or of the surviving entity in a merger involving DXL or the resulting direct or indirect parent of DXL or such surviving entity (or outstanding options, rights or warrants to purchase, or outstanding securities convertible into or exchangeable for, securities representing such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power). For the avoidance of doubt, neither the Merger nor the other Transactions shall be deemed a DXL Takeover Proposal. Wherever the term “group” is used in this </w:t>
      </w:r>
      <w:r>
        <w:rPr>
          <w:rFonts w:ascii="Times New Roman" w:hAnsi="Times New Roman"/>
          <w:sz w:val="20"/>
          <w:u w:val="single"/>
        </w:rPr>
        <w:t>Section 5.06</w:t>
      </w:r>
      <w:r>
        <w:rPr>
          <w:rFonts w:ascii="Times New Roman" w:hAnsi="Times New Roman"/>
          <w:sz w:val="20"/>
        </w:rPr>
        <w:t xml:space="preserve">, it is used as defined in Rule 13d-3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(c) DXL will promptly (but in any event within forty-eight (48) hours) (i) notify FBB in writing in the event that DXL or any of its Subsidiaries or Representatives receives a DXL Takeover Proposal (including a DXL Takeover Proposal received by any DXL stockholder and forwarded to DXL or any of its Subsidiaries or Representatives) and (ii) provide to FBB (x) an unredacted copy of any such DXL Takeover Proposal made in writing (including any financing commitments or other agreements related thereto) and unredacted copies of all other material written materials constituting or containing terms or conditions with respect to such DXL Takeover Proposal exchanged between DXL (or any of its Subsidiaries or Representatives) and such Person (or any of its Affiliates or its or their Representatives) or otherwise received by DXL (or any of its Subsidiaries or Representatives or any stockholder of DXL), in each case in connection with such DXL Takeover Proposal (except for redactions of proprietary information of such Person that does not relate to the material terms or conditions of such DXL Takeover Proposal) and (y) a written summary of all material terms and conditions of any such DXL Takeover Proposal to the extent not made in writing (and in each case including the identity of the Person or group making such DXL Takeover Proposal). From and after such notification, DXL will keep FBB informed on a prompt basis (and in any event within forty-eight (48) hours) of any material developments with respect to any such DXL Takeover Proposal (including any changes to the material terms or conditions thereof) or any material substantive discussions or negotiations relating thereto. DXL will not, and will cause its Subsidiaries not to, enter into any confidentiality or similar agreement with any Person that prohibits DXL from providing to FBB any of the information required to be provided to FBB under this </w:t>
      </w:r>
      <w:r>
        <w:rPr>
          <w:rFonts w:ascii="Times New Roman" w:hAnsi="Times New Roman"/>
          <w:sz w:val="20"/>
          <w:u w:val="single"/>
        </w:rPr>
        <w:t>Section 5.06</w:t>
      </w:r>
      <w:r>
        <w:rPr>
          <w:rFonts w:ascii="Times New Roman" w:hAnsi="Times New Roman"/>
          <w:sz w:val="20"/>
        </w:rPr>
        <w:t xml:space="preserve"> within the time periods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contained in this </w:t>
      </w:r>
      <w:r>
        <w:rPr>
          <w:rFonts w:ascii="Times New Roman" w:hAnsi="Times New Roman"/>
          <w:sz w:val="20"/>
          <w:u w:val="single"/>
        </w:rPr>
        <w:t>Section 5.06</w:t>
      </w:r>
      <w:r>
        <w:rPr>
          <w:rFonts w:ascii="Times New Roman" w:hAnsi="Times New Roman"/>
          <w:sz w:val="20"/>
        </w:rPr>
        <w:t xml:space="preserve"> to the contrary, if at any time prior to obtaining the Required DXL Stockholder Vote, the DXL stockholders, DXL or any of its Subsidiaries or Representatives receives a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the DXL Board or any committee thereof determines in good faith, after consultation with its financial advisor and outside counsel, that such DXL Takeover Proposal constitutes or would reasonably likely lead to a DXL Superior Proposal and the failure to take the actions in (x) or (y) below regarding such DXL Takeover Proposal would reasonably be expected to violate the fiduciary duties of DXL’s directors under applicable Law, then DXL, its Subsidiaries and its Representatives may, following written notice to FBB, (x) enter into an Acceptable Confidentiality Agreement with the Person or group making the DXL Takeover Proposal and thereafter furnish pursuant to such Acceptable Confidentiality Agreement information (including non-public information) with respect to DXL and its Subsidiaries to the Person or group making such DXL Takeover Proposal; provided, that DXL shall promptly (but in any event within forty-eight (48) hours) provide to FBB any written information that is provided to any Person or group given such access which was not previously provided to FBB and (y) engage in or otherwise participate in discussions or negotiations with the Person or group making such DXL Takeover Proposal. </w:t>
      </w:r>
    </w:p>
    <w:p>
      <w:pPr>
        <w:pStyle w:val="TextBody"/>
        <w:bidi w:val="0"/>
        <w:spacing w:before="240" w:after="0"/>
        <w:jc w:val="left"/>
        <w:rPr>
          <w:rFonts w:ascii="Times New Roman" w:hAnsi="Times New Roman"/>
          <w:sz w:val="20"/>
        </w:rPr>
      </w:pPr>
      <w:r>
        <w:rPr>
          <w:rFonts w:ascii="Times New Roman" w:hAnsi="Times New Roman"/>
          <w:sz w:val="20"/>
        </w:rPr>
        <w:t>(e) For purposes of this Agreement, the term “</w:t>
      </w:r>
      <w:r>
        <w:rPr>
          <w:rFonts w:ascii="Times New Roman" w:hAnsi="Times New Roman"/>
          <w:sz w:val="20"/>
          <w:u w:val="single"/>
        </w:rPr>
        <w:t>DXL Superior Proposal</w:t>
      </w:r>
      <w:r>
        <w:rPr>
          <w:rFonts w:ascii="Times New Roman" w:hAnsi="Times New Roman"/>
          <w:sz w:val="20"/>
        </w:rPr>
        <w:t xml:space="preserve">” means any bona fide written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made by a third party and which, if consummated, would result in such third party (or in the case of a direct merger between such third party or an Affiliate of such third party and DXL, the stockholders of such third party) acquiring, directly or indirectly, more than 50% of the voting power of DXL and the issued and outstanding DXL Capital Stock or more than 50% of the consolidated assets of DXL and its Subsidiaries (based on the fair market value thereof), including in any such case through the acquisition of one or more DXL Subsidiaries owning such assets, for consideration consisting of cash and/or securities that the DXL Board or any committee thereof determines in good faith (after consultation with its financial advisor and outside counsel) would be more favorable from a financial point of view to DXL’s stockholders (in their capacities as such) than the Transactions, taking into account (i) any changes to the terms of the Transactions irrevocably and timely proposed by FBB in response to such offer, (ii) all legal, regulatory, financial and other aspects of such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of this Agreement deemed relevant by the DXL Board or any such committee in good faith and (iii) the obligation to pay the DXL Termination Fee. </w:t>
      </w:r>
    </w:p>
    <w:p>
      <w:pPr>
        <w:pStyle w:val="TextBody"/>
        <w:bidi w:val="0"/>
        <w:spacing w:before="240" w:after="0"/>
        <w:jc w:val="left"/>
        <w:rPr>
          <w:rFonts w:ascii="Times New Roman" w:hAnsi="Times New Roman"/>
          <w:sz w:val="20"/>
        </w:rPr>
      </w:pPr>
      <w:r>
        <w:rPr>
          <w:rFonts w:ascii="Times New Roman" w:hAnsi="Times New Roman"/>
          <w:sz w:val="20"/>
        </w:rPr>
        <w:t>(f) Neither the DXL Board nor any committee thereof will (i) withhold, withdraw or modify in a manner adverse to FBB the recommendation to stockholders of DXL that they give the Required DXL Stockholder Vote, (ii) recommend or approve the approval of, or publicly propose to recommend or approve the approval of, any DXL Takeover Proposal, (iii) refrain from recommending against any DXL Takeover Proposal that is a tender offer or exchange offer within ten (10) Business Days after the commencement thereof (each such action set forth in clauses (i), (ii) and (iii) being referred to herein as a “</w:t>
      </w:r>
      <w:r>
        <w:rPr>
          <w:rFonts w:ascii="Times New Roman" w:hAnsi="Times New Roman"/>
          <w:sz w:val="20"/>
          <w:u w:val="single"/>
        </w:rPr>
        <w:t>DXL Adverse Recommendation Change</w:t>
      </w:r>
      <w:r>
        <w:rPr>
          <w:rFonts w:ascii="Times New Roman" w:hAnsi="Times New Roman"/>
          <w:sz w:val="20"/>
        </w:rPr>
        <w:t xml:space="preserve">”) or (iv) enter into or propose publicly to execute or enter into (or cause or permit DXL or any of its Subsidiaries to execute or enter into or propose publicly to execute or enter into) a DXL Acquisition Agreement (other than any Acceptable Confidentiality Agreement entered into in accordance with this </w:t>
      </w:r>
      <w:r>
        <w:rPr>
          <w:rFonts w:ascii="Times New Roman" w:hAnsi="Times New Roman"/>
          <w:sz w:val="20"/>
          <w:u w:val="single"/>
        </w:rPr>
        <w:t>Section 5.06</w:t>
      </w:r>
      <w:r>
        <w:rPr>
          <w:rFonts w:ascii="Times New Roman" w:hAnsi="Times New Roman"/>
          <w:sz w:val="20"/>
        </w:rPr>
        <w:t xml:space="preserve">). Notwithstanding anything to the contrary in this </w:t>
      </w:r>
      <w:r>
        <w:rPr>
          <w:rFonts w:ascii="Times New Roman" w:hAnsi="Times New Roman"/>
          <w:sz w:val="20"/>
          <w:u w:val="single"/>
        </w:rPr>
        <w:t>Section 5.06,</w:t>
      </w:r>
      <w:r>
        <w:rPr>
          <w:rFonts w:ascii="Times New Roman" w:hAnsi="Times New Roman"/>
          <w:sz w:val="20"/>
        </w:rPr>
        <w:t xml:space="preserve"> prior to the time the Required DXL Stockholder Vote is obtained, but not after, the DXL Board or any committee thereof may (I) make a DXL Adverse Recommendation Change or (II) cause DXL to enter into a DXL Acquisition Agreement with respect to a DXL Takeover Proposal, which DXL Takeover Proposal did not result from a breach of this </w:t>
      </w:r>
      <w:r>
        <w:rPr>
          <w:rFonts w:ascii="Times New Roman" w:hAnsi="Times New Roman"/>
          <w:sz w:val="20"/>
          <w:u w:val="single"/>
        </w:rPr>
        <w:t>Section 5.06</w:t>
      </w:r>
      <w:r>
        <w:rPr>
          <w:rFonts w:ascii="Times New Roman" w:hAnsi="Times New Roman"/>
          <w:sz w:val="20"/>
        </w:rPr>
        <w:t xml:space="preserve"> and terminate this Agreement pursuant to </w:t>
      </w:r>
      <w:r>
        <w:rPr>
          <w:rFonts w:ascii="Times New Roman" w:hAnsi="Times New Roman"/>
          <w:sz w:val="20"/>
          <w:u w:val="single"/>
        </w:rPr>
        <w:t>Section 8.01(j),</w:t>
      </w:r>
      <w:r>
        <w:rPr>
          <w:rFonts w:ascii="Times New Roman" w:hAnsi="Times New Roman"/>
          <w:sz w:val="20"/>
        </w:rPr>
        <w:t xml:space="preserve"> in either case if the DXL Board or any committee thereof determines in good faith, after consultation with its financial advisor and outside counsel, that (A) to do otherwise would be reasonably expected to violate the fiduciary duties of DXL’s directors under applicable Law, and (B) in the case of clause (I) where the DXL Adverse Recommendation Change is made in response to a DXL Takeover Proposal or in the case of both clauses (I) and (II), such DXL Takeover Proposal constitutes a DXL Superior Proposal; provided, that the DXL Board (or any committee thereof) shall not, and shall cause DXL not to, take any action set forth in clause (I) or clause (II) unless (1) DXL has provided written notice to FBB (a “</w:t>
      </w:r>
      <w:r>
        <w:rPr>
          <w:rFonts w:ascii="Times New Roman" w:hAnsi="Times New Roman"/>
          <w:sz w:val="20"/>
          <w:u w:val="single"/>
        </w:rPr>
        <w:t>Notice of DXL Adverse Recommendation Change</w:t>
      </w:r>
      <w:r>
        <w:rPr>
          <w:rFonts w:ascii="Times New Roman" w:hAnsi="Times New Roman"/>
          <w:sz w:val="20"/>
        </w:rPr>
        <w:t xml:space="preserve">”) advising FBB that the DXL Board (or such committee) intends to take such action and the reasons therefor, (2) in the case of any Notice of DXL Adverse Recommendation Change provided in connection with a DXL Takeover Proposal, such Notice of DXL Adverse Recommendation Change specifies the material terms and conditions of such DXL Takeover Proposal, and includes a copy of the most current version of the agreement or proposal and all material related documentation with respect to such DXL Takeover Proposal, (3) a period of at least five (5) Business Days has elapsed following FBB’s receipt of such Notice of DXL Adverse Recommendation Change (it being understood that any amendment or modification (other than an immaterial amendment or modification) to any of the terms of a DXL Takeover Proposal that is the basis for such proposed action shall require a new Notice of DXL Adverse Recommendation Change and an additional four (4) Business Day period), (4) if requested by FBB, DXL has negotiated, and has caused its Subsidiaries and Representatives to negotiate, in good faith with FBB during such five (5) Business Day period (as extended pursuant to clause (3)) with respect to any changes to the terms of this Agreement proposed by FBB during such period and (5) taking into account any changes to the terms of this Agreement irrevocably and timely proposed by FBB, the DXL Board or any committee thereof has determined in good faith, after consultation with its financial advisor and outside counsel, that the failure to take such action would continue to be reasonably expected to violate the fiduciary duties of DXL’s directors under applicable Law, and that, in the case of any Notice of DXL Adverse Recommendation Change provided in connection with a DXL Takeover Proposal, the DXL Takeover Proposal would continue to constitute a DXL Superior Proposal even if such changes irrevocably offered by FBB were to be accepted by DXL; and provided, further that any purported termination of this Agreement pursuant to this sentence shall be void and of no force and effect unless the termination is in accordance with </w:t>
      </w:r>
      <w:r>
        <w:rPr>
          <w:rFonts w:ascii="Times New Roman" w:hAnsi="Times New Roman"/>
          <w:sz w:val="20"/>
          <w:u w:val="single"/>
        </w:rPr>
        <w:t>Section 8.01(j)</w:t>
      </w:r>
      <w:r>
        <w:rPr>
          <w:rFonts w:ascii="Times New Roman" w:hAnsi="Times New Roman"/>
          <w:sz w:val="20"/>
        </w:rPr>
        <w:t xml:space="preserve"> and DXL pays FBB the DXL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any violation of this </w:t>
      </w:r>
      <w:r>
        <w:rPr>
          <w:rFonts w:ascii="Times New Roman" w:hAnsi="Times New Roman"/>
          <w:sz w:val="20"/>
          <w:u w:val="single"/>
        </w:rPr>
        <w:t>Section 5.06</w:t>
      </w:r>
      <w:r>
        <w:rPr>
          <w:rFonts w:ascii="Times New Roman" w:hAnsi="Times New Roman"/>
          <w:sz w:val="20"/>
        </w:rPr>
        <w:t xml:space="preserve"> by any of DXL’s Representatives or Subsidiaries will be deemed to be a breach of this </w:t>
      </w:r>
      <w:r>
        <w:rPr>
          <w:rFonts w:ascii="Times New Roman" w:hAnsi="Times New Roman"/>
          <w:sz w:val="20"/>
          <w:u w:val="single"/>
        </w:rPr>
        <w:t>Section 5.</w:t>
      </w:r>
      <w:r>
        <w:rPr>
          <w:rFonts w:ascii="Times New Roman" w:hAnsi="Times New Roman"/>
          <w:sz w:val="20"/>
        </w:rPr>
        <w:t xml:space="preserve">06 by DXL. </w:t>
      </w:r>
    </w:p>
    <w:p>
      <w:pPr>
        <w:pStyle w:val="TextBody"/>
        <w:bidi w:val="0"/>
        <w:spacing w:before="480" w:after="0"/>
        <w:jc w:val="center"/>
        <w:rPr>
          <w:rFonts w:ascii="Times New Roman" w:hAnsi="Times New Roman"/>
          <w:b/>
          <w:sz w:val="20"/>
        </w:rPr>
      </w:pPr>
      <w:bookmarkStart w:id="176" w:name="anxa76201_73"/>
      <w:bookmarkEnd w:id="176"/>
      <w:r>
        <w:rPr>
          <w:rFonts w:ascii="Times New Roman" w:hAnsi="Times New Roman"/>
          <w:b/>
          <w:sz w:val="20"/>
          <w:u w:val="single"/>
        </w:rPr>
        <w:t>ARTICLE VI</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u w:val="single"/>
        </w:rPr>
        <w:t>ADDITIONAL AGREEMENTS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77" w:name="anxa76201_74"/>
      <w:bookmarkEnd w:id="177"/>
      <w:r>
        <w:rPr>
          <w:rFonts w:ascii="Times New Roman" w:hAnsi="Times New Roman"/>
          <w:b/>
          <w:sz w:val="20"/>
        </w:rPr>
        <w:t xml:space="preserve">SECTION 6.01 </w:t>
      </w:r>
      <w:r>
        <w:rPr>
          <w:rFonts w:ascii="Times New Roman" w:hAnsi="Times New Roman"/>
          <w:b/>
          <w:sz w:val="20"/>
          <w:u w:val="single"/>
        </w:rPr>
        <w:t>Preparation of the Proxy Statement; Stockholder Approvals; Listing Application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DXL and FBB each understand and agree that the shares of DXL Common Stock to be issued and transferred as contemplated in this Agreement to FBB Stockholders have not been registered under the securities Laws of the United States, including the Securities Act, or any other jurisdiction and will be issued and transferred pursuant to a “private placement” exemption from registration under the Securities Act by virtue of Regulation D promulgated thereunder. The shares of DXL Common Stock will be characterized as “restricted securities” under the Securities Act and may only be transferred pursuant to a registration statement or an applicable exemption under the Securities Act. Any book entries recording the record ownership of shares of DXL Common Stock shall bear such annotations as DXL may reasonably deem necessary in connection therewith. </w:t>
      </w:r>
    </w:p>
    <w:p>
      <w:pPr>
        <w:pStyle w:val="TextBody"/>
        <w:bidi w:val="0"/>
        <w:spacing w:before="240" w:after="0"/>
        <w:jc w:val="left"/>
        <w:rPr>
          <w:rFonts w:ascii="Times New Roman" w:hAnsi="Times New Roman"/>
          <w:sz w:val="20"/>
        </w:rPr>
      </w:pPr>
      <w:r>
        <w:rPr>
          <w:rFonts w:ascii="Times New Roman" w:hAnsi="Times New Roman"/>
          <w:sz w:val="20"/>
        </w:rPr>
        <w:t>(b) DXL and FBB shall prepare, and DXL shall file with the SEC, as promptly as practicable after the date of this Agreement, a proxy statement in preliminary form relating to the DXL Stockholders Meeting (such proxy statement, including any amendment or supplement thereto, the “</w:t>
      </w:r>
      <w:r>
        <w:rPr>
          <w:rFonts w:ascii="Times New Roman" w:hAnsi="Times New Roman"/>
          <w:sz w:val="20"/>
          <w:u w:val="single"/>
        </w:rPr>
        <w:t>Proxy Statement</w:t>
      </w:r>
      <w:r>
        <w:rPr>
          <w:rFonts w:ascii="Times New Roman" w:hAnsi="Times New Roman"/>
          <w:sz w:val="20"/>
        </w:rPr>
        <w:t>”). DXL covenants and agrees that the Proxy Statement will comply in all material respects with the applicable provisions of the Exchange Act and the rules and regulations thereunder. Each of DXL and FBB agrees, as to itself and its Affiliates, that none of the information supplied by it or any of its Affiliates for inclusion or incorporation by reference in the Proxy Statement will, at the date of mailing to stockholders of DXL or at the time of the DXL Stockholders Meeting, contain any untrue statement of a material fact or omit to state any material fact required to be stated therein or necessary in order to make the statements therein, in light of the circumstances under which they were made, not misleading. DXL shall promptly notify FBB of the receipt of all comments of the SEC with respect to the Proxy Statement and of any request by the SEC for any amendment or supplement thereto or for additional information and shall promptly provide to FBB copies of all written correspondence between DXL and/or any of its Representatives, on the one hand, and the SEC, on the other hand, with respect to the Proxy Statement. DXL and FBB shall each use their respective reasonable best efforts to promptly provide responses to the SEC with respect to all comments received on the Proxy Statement by the SEC and DXL shall cause the definitive Proxy Statement to be mailed as promptly as possible after the date that the Proxy Statement is cleared by the SEC for mailing to DXL’s stockholders (the “</w:t>
      </w:r>
      <w:r>
        <w:rPr>
          <w:rFonts w:ascii="Times New Roman" w:hAnsi="Times New Roman"/>
          <w:sz w:val="20"/>
          <w:u w:val="single"/>
        </w:rPr>
        <w:t>Clearance Date</w:t>
      </w:r>
      <w:r>
        <w:rPr>
          <w:rFonts w:ascii="Times New Roman" w:hAnsi="Times New Roman"/>
          <w:sz w:val="20"/>
        </w:rPr>
        <w:t>”). Notwithstanding the foregoing, prior to filing or distributing the Proxy Statement (or any amendment or supplement thereto) or responding to any comments from the SEC or the staff of the SEC with respect thereto, DXL (A) shall provide FBB with a reasonable opportunity to review and comment on such document or response, including the proposed final version of such document or response (unless, in the case of responding to comments from the SEC or the staff of the SEC, pursuant to a telephone call initiated by the SEC), (B) shall in good faith consider for inclusion in such document or response all comments reasonably proposed by FBB and (C) shall not file or distribute such document or respond to the SEC prior to receiving the approval of FBB, which approval shall not be unreasonably withheld, conditioned or delayed; provided</w:t>
      </w:r>
      <w:r>
        <w:rPr>
          <w:rFonts w:ascii="Times New Roman" w:hAnsi="Times New Roman"/>
          <w:sz w:val="20"/>
          <w:u w:val="single"/>
        </w:rPr>
        <w:t>,</w:t>
      </w:r>
      <w:r>
        <w:rPr>
          <w:rFonts w:ascii="Times New Roman" w:hAnsi="Times New Roman"/>
          <w:sz w:val="20"/>
        </w:rPr>
        <w:t xml:space="preserve"> that with respect to documents filed by DXL that are incorporated by reference in the Proxy Statement, this right of approval shall apply only with respect to information relating to FBB or its business, financial condition or results of operations, or the combined entity. Each of FBB and DXL shall also take any other action (other than qualifying to do business in any jurisdiction in which it is not now so qualified) required to be taken under the Securities Act, the Exchange Act, any applicable state securities or “blue sky” laws and the rules and regulations thereunder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(c) FBB shall use its reasonable best efforts to obtain the FBB Stockholder Approval and deliver a written consent of holders of FBB Capital Stock representing the FBB Stockholder Approval (the “</w:t>
      </w:r>
      <w:r>
        <w:rPr>
          <w:rFonts w:ascii="Times New Roman" w:hAnsi="Times New Roman"/>
          <w:sz w:val="20"/>
          <w:u w:val="single"/>
        </w:rPr>
        <w:t>FBB Written Consent</w:t>
      </w:r>
      <w:r>
        <w:rPr>
          <w:rFonts w:ascii="Times New Roman" w:hAnsi="Times New Roman"/>
          <w:sz w:val="20"/>
        </w:rPr>
        <w:t xml:space="preserve">”) as soon as reasonably practicable following the execution of this Agreement, but in no event more than forty-eight (48) hours following such execution. </w:t>
      </w:r>
    </w:p>
    <w:p>
      <w:pPr>
        <w:pStyle w:val="TextBody"/>
        <w:bidi w:val="0"/>
        <w:spacing w:before="240" w:after="0"/>
        <w:jc w:val="left"/>
        <w:rPr>
          <w:rFonts w:ascii="Times New Roman" w:hAnsi="Times New Roman"/>
          <w:sz w:val="20"/>
        </w:rPr>
      </w:pPr>
      <w:r>
        <w:rPr>
          <w:rFonts w:ascii="Times New Roman" w:hAnsi="Times New Roman"/>
          <w:sz w:val="20"/>
        </w:rPr>
        <w:t>(d) Promptly following the date of the FBB Stockholder Approval, FBB shall mail a notice (the “</w:t>
      </w:r>
      <w:r>
        <w:rPr>
          <w:rFonts w:ascii="Times New Roman" w:hAnsi="Times New Roman"/>
          <w:sz w:val="20"/>
          <w:u w:val="single"/>
        </w:rPr>
        <w:t>FBB Stockholder Notice</w:t>
      </w:r>
      <w:r>
        <w:rPr>
          <w:rFonts w:ascii="Times New Roman" w:hAnsi="Times New Roman"/>
          <w:sz w:val="20"/>
        </w:rPr>
        <w:t xml:space="preserve">”) to every holder of shares of FBB Capital Stock that did not execute the FBB Written Consent. The FBB Stockholder Notice shall (i) be a statement to the effect that the FBB Board unanimously determined that the Merger is advisable in accordance with Section 251(b) of the DGCL and in the best interests of the stockholders of FBB and unanimously approved and adopted this Agreement, the Merger, the FBB Charter Amendment, the COD Amendment and the other Transactions, (ii) provide the stockholders of FBB to whom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sent with notice of the actions taken in the FBB Written Consent, including the approval and adoption of this Agreement, the Merger, the FBB Charter Amendment, the COD Amendment and the other Transactions in accordance with Section 228(e) of the DGCL and the FBB Charter and (iii) notify such stockholders of their appraisal rights pursuant to Section 262 of the DGCL. The FBB Stockholder Notice shall include therewith a copy of, or hyperlink to, Section 262 of the DGCL and all such material information and other information as DXL shall reasonably request, and the date on which the FBB Stockholder Notice is given shall be the start of the twenty (20) day period during which a stockholder of FBB must demand appraisal of such stockholder’s FBB Common Stock as contemplated by Section 262(d)(2) of the DGCL. All materials submitted to the stockholders of FBB in accordance with this </w:t>
      </w:r>
      <w:r>
        <w:rPr>
          <w:rFonts w:ascii="Times New Roman" w:hAnsi="Times New Roman"/>
          <w:sz w:val="20"/>
          <w:u w:val="single"/>
        </w:rPr>
        <w:t>Section 6.01(d</w:t>
      </w:r>
      <w:r>
        <w:rPr>
          <w:rFonts w:ascii="Times New Roman" w:hAnsi="Times New Roman"/>
          <w:sz w:val="20"/>
        </w:rPr>
        <w:t xml:space="preserve">) shall be subject to DXL’s advance review and reasonable approval, which approval shall not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(e) As soon as reasonably practicable following the execution of this Agreement, FBB and DXL shall jointly prepare and deliver to all holders of FBB Common Stock who are not “accredited investors” as defined in Rule 501(a) of Regulation D under the Securities Act an information statement (“</w:t>
      </w:r>
      <w:r>
        <w:rPr>
          <w:rFonts w:ascii="Times New Roman" w:hAnsi="Times New Roman"/>
          <w:sz w:val="20"/>
          <w:u w:val="single"/>
        </w:rPr>
        <w:t>Information Statement</w:t>
      </w:r>
      <w:r>
        <w:rPr>
          <w:rFonts w:ascii="Times New Roman" w:hAnsi="Times New Roman"/>
          <w:sz w:val="20"/>
        </w:rPr>
        <w:t xml:space="preserve">”) containing the information with respect to the DXL Common Stock required to comply with the information and disclosure requirements set forth in Rules 502 and 506 of Regulation D promulgated under the Securities Act. Each of DXL and FBB shall furnish all information (including financial statements) concerning such Person and its Affiliates to the other, and provide such other assistance, as may be reasonably requested in connection with the preparation and delivery of the Information Statement. DXL shall provide a draft of the Information Statement and related materials to FBB within a reasonable period of time prior to the dispatch thereof and will consider in good faith any comments proposed by FBB. </w:t>
      </w:r>
    </w:p>
    <w:p>
      <w:pPr>
        <w:pStyle w:val="TextBody"/>
        <w:bidi w:val="0"/>
        <w:spacing w:before="240" w:after="0"/>
        <w:jc w:val="left"/>
        <w:rPr>
          <w:rFonts w:ascii="Times New Roman" w:hAnsi="Times New Roman"/>
          <w:sz w:val="20"/>
        </w:rPr>
      </w:pPr>
      <w:r>
        <w:rPr>
          <w:rFonts w:ascii="Times New Roman" w:hAnsi="Times New Roman"/>
          <w:sz w:val="20"/>
        </w:rPr>
        <w:t xml:space="preserve">(f) As soon as reasonably practicable following the execution of this Agreement, DXL shall provide and FBB shall distribute to each FBB Stockholder an investor questionnaire in form and substance reasonably satisfactory to FBB regarding whether such FBB Stockholder is an “accredited investor” as defined in Rule 501(a) of Regulation D under the Securities Act. FBB shall use commercially reasonable efforts to cause each FBB Stockholder to return the investor questionnaires by the tenth (10th) Business Day following the date on which the investor questionnaire form was delivered. </w:t>
      </w:r>
    </w:p>
    <w:p>
      <w:pPr>
        <w:pStyle w:val="TextBody"/>
        <w:bidi w:val="0"/>
        <w:spacing w:before="240" w:after="0"/>
        <w:jc w:val="left"/>
        <w:rPr>
          <w:rFonts w:ascii="Times New Roman" w:hAnsi="Times New Roman"/>
          <w:sz w:val="20"/>
        </w:rPr>
      </w:pPr>
      <w:r>
        <w:rPr>
          <w:rFonts w:ascii="Times New Roman" w:hAnsi="Times New Roman"/>
          <w:sz w:val="20"/>
        </w:rPr>
        <w:t xml:space="preserve">(g) Simultaneously with the execution of this Agreement, DXL, as the sole stockholder of Merger Sub, has executed and delivered a written consent approving this Agreement effective after the execution and delivery of this Agreement in accordance with the DGCL and provided a copy of such written consent to FBB. </w:t>
      </w:r>
    </w:p>
    <w:p>
      <w:pPr>
        <w:pStyle w:val="TextBody"/>
        <w:bidi w:val="0"/>
        <w:spacing w:before="240" w:after="0"/>
        <w:jc w:val="left"/>
        <w:rPr>
          <w:rFonts w:ascii="Times New Roman" w:hAnsi="Times New Roman"/>
          <w:sz w:val="20"/>
        </w:rPr>
      </w:pPr>
      <w:r>
        <w:rPr>
          <w:rFonts w:ascii="Times New Roman" w:hAnsi="Times New Roman"/>
          <w:sz w:val="20"/>
        </w:rPr>
        <w:t xml:space="preserve">(h) DXL shall (i) as soon as reasonably practicable (but in any event within seven (7) Business Days) following the Clearance Date, establish a record date for, duly call and give notice of, and commence mailing (if required by applicable law) of the Proxy Statement to the DXL stockholders as of the record date established for, the DXL Stockholders Meeting and (ii) as soon as reasonably practicable (but in any event within twenty-five (25) Business Days) following the furnishing of the Proxy Statement to the SEC, convene and hold the DXL Stockholders Meeting; provided that DXL may adjourn or postpone the DXL Stockholders Meeting to a later date to the extent DXL believes in good faith that such adjournment or postponement is reasonably necessary (i) to ensure that any required supplement or amendment to the Proxy Statement is provided to the DXL stockholders within a reasonable amount of time in advance of the DXL Stockholders Meeting, (ii) to allow reasonable additional time to solicit additional proxies necessary to obtain the Required DXL Stockholder Vote, (iii) to ensure that there are sufficient shares of DXL Capital Stock represented (either in person or by proxy) to constitute a quorum necessary to conduct the business of the DXL Stockholders Meeting or (iv) otherwise to comply with applicable Law (provided, that, unless agreed in writing by DXL and FBB, all such adjournments, recesses or postponements shall be for periods of no more than twenty (20) Business Days each (not to exceed twenty (20) Business Days in the aggregate without FBB’s written consent)). DXL shall use its reasonable best efforts to solicit the Required DXL Stockholder Vote and shall, through the DXL Board, recommend to its stockholders that they give the Required DXL Stockholder Vote and shall include such recommendation in the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8" w:name="anxa76201_75"/>
      <w:bookmarkEnd w:id="178"/>
      <w:r>
        <w:rPr>
          <w:rFonts w:ascii="Times New Roman" w:hAnsi="Times New Roman"/>
          <w:b/>
          <w:sz w:val="20"/>
        </w:rPr>
        <w:t xml:space="preserve">SECTION 6.02 </w:t>
      </w:r>
      <w:r>
        <w:rPr>
          <w:rFonts w:ascii="Times New Roman" w:hAnsi="Times New Roman"/>
          <w:b/>
          <w:sz w:val="20"/>
          <w:u w:val="single"/>
        </w:rPr>
        <w:t>Resale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shall use reasonable best efforts to prepare and file with the SEC within thirty (30) calendar days of the Closing a registration statement of DXL (the “</w:t>
      </w:r>
      <w:r>
        <w:rPr>
          <w:rFonts w:ascii="Times New Roman" w:hAnsi="Times New Roman"/>
          <w:sz w:val="20"/>
          <w:u w:val="single"/>
        </w:rPr>
        <w:t>Resale Registration Statement</w:t>
      </w:r>
      <w:r>
        <w:rPr>
          <w:rFonts w:ascii="Times New Roman" w:hAnsi="Times New Roman"/>
          <w:sz w:val="20"/>
        </w:rPr>
        <w:t>”) registering the resale by the FBB Stockholders (the “</w:t>
      </w:r>
      <w:r>
        <w:rPr>
          <w:rFonts w:ascii="Times New Roman" w:hAnsi="Times New Roman"/>
          <w:sz w:val="20"/>
          <w:u w:val="single"/>
        </w:rPr>
        <w:t>FBB Selling Stockholders</w:t>
      </w:r>
      <w:r>
        <w:rPr>
          <w:rFonts w:ascii="Times New Roman" w:hAnsi="Times New Roman"/>
          <w:sz w:val="20"/>
        </w:rPr>
        <w:t xml:space="preserve">”) of the Merger Consideration issued in connection with this Agreement and the Transactions. DXL will use its reasonable best efforts to ensure that the Resale Registration Statement, together with the documents incorporated by reference therein, complies as to form in all material respects with the applicable provisions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(b) If the Resale Registration Statement is not an Automatic Shelf Registration Statement, DXL shall use its reasonable best efforts to have the Resale Registration Statement declared effective under the Securities Act as soon as practicable after such Resale Registration Statement is filed. Once declared effective, or, if DXL is eligible to file the Resale Registration Statement on Form S-3 pursuant to Rule 462(e) under the Securities Act (an “</w:t>
      </w:r>
      <w:r>
        <w:rPr>
          <w:rFonts w:ascii="Times New Roman" w:hAnsi="Times New Roman"/>
          <w:sz w:val="20"/>
          <w:u w:val="single"/>
        </w:rPr>
        <w:t>Automatic Shelf Registration Statement</w:t>
      </w:r>
      <w:r>
        <w:rPr>
          <w:rFonts w:ascii="Times New Roman" w:hAnsi="Times New Roman"/>
          <w:sz w:val="20"/>
        </w:rPr>
        <w:t xml:space="preserve">”), and such Resale Registration Statement is an Automatic Shelf Registration Statement, once the Resale Registration Statement is filed, DXL shall, subject to the other applicable provisions of this Agreement, use reasonable best efforts to cause the Resale Registration Statement to be continuously effective and usable until the date that is the 36-month anniversary of the Closing Date, or such earlier time as (i) all shares of DXL Common Stock covered by such Resale Registration Statement (as used in this </w:t>
      </w:r>
      <w:r>
        <w:rPr>
          <w:rFonts w:ascii="Times New Roman" w:hAnsi="Times New Roman"/>
          <w:sz w:val="20"/>
          <w:u w:val="single"/>
        </w:rPr>
        <w:t>Section 6.02,</w:t>
      </w:r>
      <w:r>
        <w:rPr>
          <w:rFonts w:ascii="Times New Roman" w:hAnsi="Times New Roman"/>
          <w:sz w:val="20"/>
        </w:rPr>
        <w:t xml:space="preserve"> “</w:t>
      </w:r>
      <w:r>
        <w:rPr>
          <w:rFonts w:ascii="Times New Roman" w:hAnsi="Times New Roman"/>
          <w:sz w:val="20"/>
          <w:u w:val="single"/>
        </w:rPr>
        <w:t>Registrable Securities</w:t>
      </w:r>
      <w:r>
        <w:rPr>
          <w:rFonts w:ascii="Times New Roman" w:hAnsi="Times New Roman"/>
          <w:sz w:val="20"/>
        </w:rPr>
        <w:t xml:space="preserve">”) have been sold pursuant to such Resale Registration Statement or otherwise or (ii) no FBB Significant Stockholder is an “affiliate” of DXL or owns at least 1% of the total DXL Common Stock then outstanding; provided, that if, during the period between (1) the 36-month anniversary and (2) the first date that no FBB Significant Stockholder (A) on an individual basis, directly holds five percent (5%) or more of the total DXL Common Stock then outstanding and (B) is an Affiliate of DXL (regardless of ownership percentage), DXL has not yet completed the Maximum Number of Takedowns at the request of any FBB Significant Stockholder permitted pursuant to </w:t>
      </w:r>
      <w:r>
        <w:rPr>
          <w:rFonts w:ascii="Times New Roman" w:hAnsi="Times New Roman"/>
          <w:sz w:val="20"/>
          <w:u w:val="single"/>
        </w:rPr>
        <w:t>Section 6.02(d)</w:t>
      </w:r>
      <w:r>
        <w:rPr>
          <w:rFonts w:ascii="Times New Roman" w:hAnsi="Times New Roman"/>
          <w:sz w:val="20"/>
        </w:rPr>
        <w:t xml:space="preserve"> hereof, DXL shall, upon receipt of a valid Demand Notice delivered at least ten (10) Business Days in advance by any FBB Significant Stockholder requesting that DXL facilitate a takedown pursuant to </w:t>
      </w:r>
      <w:r>
        <w:rPr>
          <w:rFonts w:ascii="Times New Roman" w:hAnsi="Times New Roman"/>
          <w:sz w:val="20"/>
          <w:u w:val="single"/>
        </w:rPr>
        <w:t>Section 6.02(d)</w:t>
      </w:r>
      <w:r>
        <w:rPr>
          <w:rFonts w:ascii="Times New Roman" w:hAnsi="Times New Roman"/>
          <w:sz w:val="20"/>
        </w:rPr>
        <w:t xml:space="preserve"> hereof, again file a Resale Registration Statement (or a registration statement on any such other form as DXL deems appropriate), which may be an Automatic Shelf Registration Statement, if DXL is so eligible, and facilitate a “takedown” (which may include Underwritten Offerings) pursuant to this </w:t>
      </w:r>
      <w:r>
        <w:rPr>
          <w:rFonts w:ascii="Times New Roman" w:hAnsi="Times New Roman"/>
          <w:sz w:val="20"/>
          <w:u w:val="single"/>
        </w:rPr>
        <w:t>Section 6.02</w:t>
      </w:r>
      <w:r>
        <w:rPr>
          <w:rFonts w:ascii="Times New Roman" w:hAnsi="Times New Roman"/>
          <w:sz w:val="20"/>
        </w:rPr>
        <w:t xml:space="preserve">, and shall have no further obligation to cause such Resale Registration Statement (or such other form) to be effective and usable beyond the completion of such takedown; provided, further, however, that DXL shall not be deemed to have breached its obligations under this </w:t>
      </w:r>
      <w:r>
        <w:rPr>
          <w:rFonts w:ascii="Times New Roman" w:hAnsi="Times New Roman"/>
          <w:sz w:val="20"/>
          <w:u w:val="single"/>
        </w:rPr>
        <w:t>Section 6.02</w:t>
      </w:r>
      <w:r>
        <w:rPr>
          <w:rFonts w:ascii="Times New Roman" w:hAnsi="Times New Roman"/>
          <w:sz w:val="20"/>
        </w:rPr>
        <w:t xml:space="preserve">, (x) if DXL shall fail to fulfill its obligations under this </w:t>
      </w:r>
      <w:r>
        <w:rPr>
          <w:rFonts w:ascii="Times New Roman" w:hAnsi="Times New Roman"/>
          <w:sz w:val="20"/>
          <w:u w:val="single"/>
        </w:rPr>
        <w:t>Section 6.02</w:t>
      </w:r>
      <w:r>
        <w:rPr>
          <w:rFonts w:ascii="Times New Roman" w:hAnsi="Times New Roman"/>
          <w:sz w:val="20"/>
        </w:rPr>
        <w:t xml:space="preserve"> at a time when trading of DXL Common Stock has been suspended under DXL’s insider trading policies, including if DXL reasonably believes that it is in possession of material nonpublic information involving DXL, the failure of which to be disclosed in the prospectus included in the Resale Registration Statement could result in a violation of applicable Law or (y) if FBB has failed to perform or comply with its covenants in this </w:t>
      </w:r>
      <w:r>
        <w:rPr>
          <w:rFonts w:ascii="Times New Roman" w:hAnsi="Times New Roman"/>
          <w:sz w:val="20"/>
          <w:u w:val="single"/>
        </w:rPr>
        <w:t>Section 6.02</w:t>
      </w:r>
      <w:r>
        <w:rPr>
          <w:rFonts w:ascii="Times New Roman" w:hAnsi="Times New Roman"/>
          <w:sz w:val="20"/>
        </w:rPr>
        <w:t xml:space="preserve">; provided, that the number of such suspensions or delays under this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in total the suspensions or delays shall not exceed a suspension or delay of more than ninety (90) calendar days during any such twelve (12) month period).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FBB shall cooperate (and use its reasonable best efforts to cause its Representatives to cooperate) with DXL, and use reasonable best efforts to promptly furnish to DXL (and use its reasonable best efforts to cause its Representatives to furnish) all information concerning it as is required by the SEC to be included in the Resale Registration Statement (including any financial statements required to be included therein or incorporated therein by reference) or in connection with DXL’s SEC reporting obligations related to this Agreement or the Transactions. Without limiting the foregoing, prior to the Effective Time, FBB shall use reasonable best efforts to provide (and use its reasonable best efforts to cause its Representatives to provide, as applicable) (i) audited annual and unaudited interim financial statements (including footnotes) that are timely reviewed by FBB’s independent auditor for the periods required to be included or incorporated by reference in the Resale Registration Statement, (ii) the consent of FBB’s independent auditor to include or incorporate by reference audited financial statement reports in the Resale Registration Statement, (iii) information necessary to enable DXL to prepare required pro forma financial statements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footnotes and (iv) any other information required to be included or incorporated by reference in the Resale Registration Statement, or in connection with DXL’s SEC reporting obligations related to this Agreement or the Transactions. FBB shall use its commercially reasonable efforts to cause each FBB Stockholder, no later than thirty (30) calendar days prior to the Closing, to deliver all documentation, in form and substance reasonably acceptable to DXL, necessary to determine whether or not such FBB Stockholder is an “accredited investor” (as such term is defined in Rule 501(a) under the Securities Act). Notwithstanding the foregoing, DXL may determine in its reasonable discretion that any such FBB Stockholder is an “accredited investor” (as such term is defined in Rule 501(a) under the Securities Act). </w:t>
      </w:r>
    </w:p>
    <w:p>
      <w:pPr>
        <w:pStyle w:val="TextBody"/>
        <w:bidi w:val="0"/>
        <w:spacing w:before="240" w:after="0"/>
        <w:jc w:val="left"/>
        <w:rPr>
          <w:rFonts w:ascii="Times New Roman" w:hAnsi="Times New Roman"/>
          <w:sz w:val="20"/>
        </w:rPr>
      </w:pPr>
      <w:r>
        <w:rPr>
          <w:rFonts w:ascii="Times New Roman" w:hAnsi="Times New Roman"/>
          <w:sz w:val="20"/>
        </w:rPr>
        <w:t>(d) Upon the written request (each, a “</w:t>
      </w:r>
      <w:r>
        <w:rPr>
          <w:rFonts w:ascii="Times New Roman" w:hAnsi="Times New Roman"/>
          <w:sz w:val="20"/>
          <w:u w:val="single"/>
        </w:rPr>
        <w:t>Demand Notice</w:t>
      </w:r>
      <w:r>
        <w:rPr>
          <w:rFonts w:ascii="Times New Roman" w:hAnsi="Times New Roman"/>
          <w:sz w:val="20"/>
        </w:rPr>
        <w:t xml:space="preserve">”) delivered at least ten (10) Business Days in advance by any FBB Significant Stockholder who (x) on an individual basis, directly holds five percent (5%) or more of the total DXL Common Stock then outstanding, or (y) is an Affiliate of DXL (regardless of ownership percentage), at any time and from time to time that the Resale Registration Statement is effective, DXL shall use commercially reasonable efforts to facilitate a “takedown” (which may include Underwritten Offerings) of all or any portion of such FBB Significant Stockholder’s Registrable Securities off of such Resale Registration Statement, based on the dollar amount or number of Registrable Securities specified in writing by such FBB Significant Stockholder to DXL. Notwithstanding the foregoing, DXL shall not be obligated to facilitate (i) a takedown unless such takedown shall include Registrable Securities proposed to be sold by such FBB Significant Stockholder with a total offering price reasonably expected to equal or exceed, in the aggregate, $10,000,000 (or, if less, 33% of the total number of Registrable Securities received by the FBB Significant Stockholder which submitted the Demand Notice) or (ii) more than the Maximum Number of Takedowns per such FBB Significant Stockholder under this </w:t>
      </w:r>
      <w:r>
        <w:rPr>
          <w:rFonts w:ascii="Times New Roman" w:hAnsi="Times New Roman"/>
          <w:sz w:val="20"/>
          <w:u w:val="single"/>
        </w:rPr>
        <w:t>Section 6.02(d</w:t>
      </w:r>
      <w:r>
        <w:rPr>
          <w:rFonts w:ascii="Times New Roman" w:hAnsi="Times New Roman"/>
          <w:sz w:val="20"/>
        </w:rPr>
        <w:t xml:space="preserve">) and, in any event, shall not be obligated to facilitate a takedown under this </w:t>
      </w:r>
      <w:r>
        <w:rPr>
          <w:rFonts w:ascii="Times New Roman" w:hAnsi="Times New Roman"/>
          <w:sz w:val="20"/>
          <w:u w:val="single"/>
        </w:rPr>
        <w:t>Section 6.02(d)</w:t>
      </w:r>
      <w:r>
        <w:rPr>
          <w:rFonts w:ascii="Times New Roman" w:hAnsi="Times New Roman"/>
          <w:sz w:val="20"/>
        </w:rPr>
        <w:t xml:space="preserve"> during a closed trading window period or if DXL reasonably believes that it is or may be in possession of material nonpublic information involving DXL, the failure of which to be disclosed in the prospectus included in the Resale Registration Statement or the documents incorporated by reference therein could result in a violation of applicable Law, in which case the filing of the applicable prospectus or prospectus supplement may be delayed until the earlier of the second Business Day after DXL ceases to be in such possession and the ninetieth (90th) calendar day after receipt by DXL of the written request from such FBB Significant Stockholder to effect a takedown under this </w:t>
      </w:r>
      <w:r>
        <w:rPr>
          <w:rFonts w:ascii="Times New Roman" w:hAnsi="Times New Roman"/>
          <w:sz w:val="20"/>
          <w:u w:val="single"/>
        </w:rPr>
        <w:t>Section 6.02(d</w:t>
      </w:r>
      <w:r>
        <w:rPr>
          <w:rFonts w:ascii="Times New Roman" w:hAnsi="Times New Roman"/>
          <w:sz w:val="20"/>
        </w:rPr>
        <w:t xml:space="preserve">); provided, that the number of any such delays or any delay pursuant to </w:t>
      </w:r>
      <w:r>
        <w:rPr>
          <w:rFonts w:ascii="Times New Roman" w:hAnsi="Times New Roman"/>
          <w:sz w:val="20"/>
          <w:u w:val="single"/>
        </w:rPr>
        <w:t>Section 6.02(b)</w:t>
      </w:r>
      <w:r>
        <w:rPr>
          <w:rFonts w:ascii="Times New Roman" w:hAnsi="Times New Roman"/>
          <w:sz w:val="20"/>
        </w:rPr>
        <w:t xml:space="preserve"> shall not exceed two in any twelve (12) month period following the Closing Date (and no more than ninety (90) calendar days in any twelve (12) month period). In connection with any takedown pursuant to this </w:t>
      </w:r>
      <w:r>
        <w:rPr>
          <w:rFonts w:ascii="Times New Roman" w:hAnsi="Times New Roman"/>
          <w:sz w:val="20"/>
          <w:u w:val="single"/>
        </w:rPr>
        <w:t>Section 6.02(d)</w:t>
      </w:r>
      <w:r>
        <w:rPr>
          <w:rFonts w:ascii="Times New Roman" w:hAnsi="Times New Roman"/>
          <w:sz w:val="20"/>
        </w:rPr>
        <w:t xml:space="preserve">, DXL will as expeditiously as possible enter into such customary agreements (including an underwriting agreement in customary form with underwriters selected by such FBB Significant Stockholder and reasonably agreeable to DXL that shall consist of reputable nationally recognized investment banks), which shall include (x) customary indemnification provisions and procedures and (y) customary representations and warranties to the underwriters, with respect to the business of DXL and its Subsidiaries, in each case, in form, substance and scope as are customarily made by issuers to underwriters in underwritten offerings, and take such other actions as the underwriters, if any, reasonably request in order to expedite or facilitate the disposition of such Registrable Securities. A FBB Significant Stockholder that delivers a Demand Notice shall have the right to terminate (x) on a reasonable basis, any takedown pursuant to </w:t>
      </w:r>
      <w:r>
        <w:rPr>
          <w:rFonts w:ascii="Times New Roman" w:hAnsi="Times New Roman"/>
          <w:sz w:val="20"/>
          <w:u w:val="single"/>
        </w:rPr>
        <w:t>Section 6.02</w:t>
      </w:r>
      <w:r>
        <w:rPr>
          <w:rFonts w:ascii="Times New Roman" w:hAnsi="Times New Roman"/>
          <w:sz w:val="20"/>
        </w:rPr>
        <w:t xml:space="preserve"> at least two (2) Business Days prior to the “launch” of any marketing efforts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and (y) one takedown in any twelve (12)-month period pursuant to </w:t>
      </w:r>
      <w:r>
        <w:rPr>
          <w:rFonts w:ascii="Times New Roman" w:hAnsi="Times New Roman"/>
          <w:sz w:val="20"/>
          <w:u w:val="single"/>
        </w:rPr>
        <w:t>Section 6.02</w:t>
      </w:r>
      <w:r>
        <w:rPr>
          <w:rFonts w:ascii="Times New Roman" w:hAnsi="Times New Roman"/>
          <w:sz w:val="20"/>
        </w:rPr>
        <w:t xml:space="preserve"> after the “launch” of any marketing efforts of such takedown but before completion of such takedown, and DXL shall not be deemed to have facilitated a takedown pursuant to </w:t>
      </w:r>
      <w:r>
        <w:rPr>
          <w:rFonts w:ascii="Times New Roman" w:hAnsi="Times New Roman"/>
          <w:sz w:val="20"/>
          <w:u w:val="single"/>
        </w:rPr>
        <w:t>Section 6.02</w:t>
      </w:r>
      <w:r>
        <w:rPr>
          <w:rFonts w:ascii="Times New Roman" w:hAnsi="Times New Roman"/>
          <w:sz w:val="20"/>
        </w:rPr>
        <w:t xml:space="preserve"> (i.e., it will not count as one of the Maximum Number of Takedowns to which such FBB Significant Stockholder is entitled); in both cases, whether or not any other FBB Significant Stockholder or DXL has elected to include Registrable Securities in such takedown as provided in </w:t>
      </w:r>
      <w:r>
        <w:rPr>
          <w:rFonts w:ascii="Times New Roman" w:hAnsi="Times New Roman"/>
          <w:sz w:val="20"/>
          <w:u w:val="single"/>
        </w:rPr>
        <w:t>Section 6.02(e)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both cases, any Registration Expenses in connection with any such terminated takedown shall be borne by such FBB Significant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(e) Upon receipt of a validly submitted Demand Notice or upon DXL’s initiation of any registration of DXL Common Stock for its own account or for the account of any other stockholder (other than a registration relating solely to employee benefit plans or a registration relating solely to a transaction under Rule 145 of the Securities Act) (“</w:t>
      </w:r>
      <w:r>
        <w:rPr>
          <w:rFonts w:ascii="Times New Roman" w:hAnsi="Times New Roman"/>
          <w:sz w:val="20"/>
          <w:u w:val="single"/>
        </w:rPr>
        <w:t>DXL Initiated Registration</w:t>
      </w:r>
      <w:r>
        <w:rPr>
          <w:rFonts w:ascii="Times New Roman" w:hAnsi="Times New Roman"/>
          <w:sz w:val="20"/>
        </w:rPr>
        <w:t>”), DXL shall give written notice (each, a “</w:t>
      </w:r>
      <w:r>
        <w:rPr>
          <w:rFonts w:ascii="Times New Roman" w:hAnsi="Times New Roman"/>
          <w:sz w:val="20"/>
          <w:u w:val="single"/>
        </w:rPr>
        <w:t>Piggyback Notice</w:t>
      </w:r>
      <w:r>
        <w:rPr>
          <w:rFonts w:ascii="Times New Roman" w:hAnsi="Times New Roman"/>
          <w:sz w:val="20"/>
        </w:rPr>
        <w:t>”) of its proposed registration to all FBB Significant Stockholders who are holders of Registrable Securities as soon as practicable, which notice shall (x) describe the amount of DXL Common Stock to be included in such registration, the intended method(s) of distribution, and the name of the proposed managing underwriter or underwriters, if any, in such registration, and (y) offer to such FBB Significant Stockholders the opportunity to include in such registration such number of Registrable Securities as such FBB Significant Stockholders may request in writing within five (5) calendar days after receipt of such Piggyback Notice (such registered takedown, a “</w:t>
      </w:r>
      <w:r>
        <w:rPr>
          <w:rFonts w:ascii="Times New Roman" w:hAnsi="Times New Roman"/>
          <w:sz w:val="20"/>
          <w:u w:val="single"/>
        </w:rPr>
        <w:t>Piggyback Registration</w:t>
      </w:r>
      <w:r>
        <w:rPr>
          <w:rFonts w:ascii="Times New Roman" w:hAnsi="Times New Roman"/>
          <w:sz w:val="20"/>
        </w:rPr>
        <w:t xml:space="preserve">”). DXL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such FBB Significant Stockholders pursuant to this </w:t>
      </w:r>
      <w:r>
        <w:rPr>
          <w:rFonts w:ascii="Times New Roman" w:hAnsi="Times New Roman"/>
          <w:sz w:val="20"/>
          <w:u w:val="single"/>
        </w:rPr>
        <w:t>Section 6.02(e)</w:t>
      </w:r>
      <w:r>
        <w:rPr>
          <w:rFonts w:ascii="Times New Roman" w:hAnsi="Times New Roman"/>
          <w:sz w:val="20"/>
        </w:rPr>
        <w:t xml:space="preserve"> to be included therein on the same terms and conditions as any other Registrable Securities included in such registration and to permit the sale or other disposition of such Registrable Securities in accordance with the intended method(s) of distribution thereof. The inclusion of any FBB Significant Stockholder’s Registrable Securities in a Piggyback Registration shall be subject to such FBB Significant Stockholder’s agreement to enter into an underwriting agreement in customary form with the underwriter(s) selected for such registration pursuant to </w:t>
      </w:r>
      <w:r>
        <w:rPr>
          <w:rFonts w:ascii="Times New Roman" w:hAnsi="Times New Roman"/>
          <w:sz w:val="20"/>
          <w:u w:val="single"/>
        </w:rPr>
        <w:t>Section 6.02(d)</w:t>
      </w:r>
      <w:r>
        <w:rPr>
          <w:rFonts w:ascii="Times New Roman" w:hAnsi="Times New Roman"/>
          <w:sz w:val="20"/>
        </w:rPr>
        <w:t xml:space="preserve"> hereof, as negotiated in good faith and agreed upon among DXL, the FBB Significant Stockholder participating in such registration and such underwriter(s). Notwithstanding the foregoing, if the managing underwriter or underwriters in a registration that is to be a Piggyback Registration, in good faith, advise DXL and the FBB Significant Stockholders participating in the Piggyback Registration in writing that the dollar amount or number of shares of Registrable Securities exceeds the number of Registrable Securities which can reasonably be expected to be sold in such registration without adversely affecting the success of the registration (including the price, timing or distribution of the Registrable Securities to be sold in such registration), DXL shall include in such Piggyback Registration: (i) in the case of a Piggyback Registration initiated pursuant to a Demand Notice, (1) first, the Registrable Securities that the holder that submitted the Demand Notice proposes to sell in such registration, (2) second, any Registrable Securities requested to be included therein by any other FBB Significant Stockholder, allocated pro rata among such FBB Significant Stockholders on the basis of the number of Registrable Securities initially proposed to be included by each such holder in such registration, up to the number of Registrable Securities, if any, that the managing underwriters determine can be included in the registration without reasonably being expected to adversely affect the success of the registration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and (ii) in the case of a Piggyback Registration initiated pursuant to a DXL Initiated Registration, (1) first, shares of DXL Common Stock proposed to be sold pursuant to such DXL Initiated Registration, (2) second, any Registrable Securities requested to be included therein by any FBB Significant Stockholder, allocated pro rata among such FBB Significant Stockholders, up to the number of Registrable Securities, if any, that the managing underwriters determine can be included in the registration without reasonably being expected to adversely affect the success of the takedown (including the price, timing or distribution of the securities to be offered in such registration), and (3) third, if applicable, any shares of DXL Common Stock proposed to be sold for the account of DXL or any other stockholder in such registration not otherwise included pursuant to a DXL Initiated Registration. Each FBB Significant Stockholder that holds Registrable Securities agrees that in connection with any underwritten registration pursuant to </w:t>
      </w:r>
      <w:r>
        <w:rPr>
          <w:rFonts w:ascii="Times New Roman" w:hAnsi="Times New Roman"/>
          <w:sz w:val="20"/>
          <w:u w:val="single"/>
        </w:rPr>
        <w:t>Section 6.02(d)</w:t>
      </w:r>
      <w:r>
        <w:rPr>
          <w:rFonts w:ascii="Times New Roman" w:hAnsi="Times New Roman"/>
          <w:sz w:val="20"/>
        </w:rPr>
        <w:t xml:space="preserve"> or this </w:t>
      </w:r>
      <w:r>
        <w:rPr>
          <w:rFonts w:ascii="Times New Roman" w:hAnsi="Times New Roman"/>
          <w:sz w:val="20"/>
          <w:u w:val="single"/>
        </w:rPr>
        <w:t>Section 6.02(e)</w:t>
      </w:r>
      <w:r>
        <w:rPr>
          <w:rFonts w:ascii="Times New Roman" w:hAnsi="Times New Roman"/>
          <w:sz w:val="20"/>
        </w:rPr>
        <w:t xml:space="preserve">, and upon written request from the managing underwriter(s) for such registration, such holder shall not, without the prior written consent of such managing underwriter(s), during such period as is reasonably requested by the managing underwriter(s) (which period shall in no event be longer than seven (7) calendar days prior to and sixty (60) calendar days after the pricing of such offering), effect any public sale or distribution of any similar securities to those being registered, including any sale under Rule 144. Beginning one (1) year after the Closing Date, the Piggyback Notice contemplated herein shall not be required to be delivered to any FBB Significant Stockholder who is able to sell all of its Registrable Securities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restriction pursuant to Rule 144. In addition, to the extent the offering contemplated by the party submitting a Demand Notice or by DXL or any other stockholder is an overnight or one-day block trade or bought deal, the Piggyback Notice and other provisions contained in this </w:t>
      </w:r>
      <w:r>
        <w:rPr>
          <w:rFonts w:ascii="Times New Roman" w:hAnsi="Times New Roman"/>
          <w:sz w:val="20"/>
          <w:u w:val="single"/>
        </w:rPr>
        <w:t>Section 6.02(e)</w:t>
      </w:r>
      <w:r>
        <w:rPr>
          <w:rFonts w:ascii="Times New Roman" w:hAnsi="Times New Roman"/>
          <w:sz w:val="20"/>
        </w:rPr>
        <w:t xml:space="preserve"> shall not be applicable. </w:t>
      </w:r>
    </w:p>
    <w:p>
      <w:pPr>
        <w:pStyle w:val="TextBody"/>
        <w:bidi w:val="0"/>
        <w:spacing w:before="240" w:after="0"/>
        <w:jc w:val="left"/>
        <w:rPr>
          <w:rFonts w:ascii="Times New Roman" w:hAnsi="Times New Roman"/>
          <w:sz w:val="20"/>
        </w:rPr>
      </w:pPr>
      <w:r>
        <w:rPr>
          <w:rFonts w:ascii="Times New Roman" w:hAnsi="Times New Roman"/>
          <w:sz w:val="20"/>
        </w:rPr>
        <w:t xml:space="preserve">(f) In connection with a takedown, DXL agrees to (i) provide counsel to the applicable FBB Significant Stockholder and the lead managing underwriters, if any, commercially reasonable opportunity to review each prospectus (including any prospectus supplement) and such other opportunities to conduct a customary and reasonable due diligence investigation (in the context of a Underwritten Offering) of DXL, including reasonable access to (including responses to any reasonable inquiries by the lead managing underwriters and their counsel) DXL’s books and records, officers, accountants and other advisors; (ii) use commercially reasonable efforts to negotiate in good faith and execute all customary indemnities, underwriting agreements and other documents reasonably required under the terms of such underwriting arrangements, including using commercially reasonable efforts to procure customary legal opinions and auditor “comfort” letters and (iii) where the takedown contemplates marketing efforts, use commercially reasonable efforts to cooperate and make its senior officers available for participation in such marketing efforts. </w:t>
      </w:r>
    </w:p>
    <w:p>
      <w:pPr>
        <w:pStyle w:val="TextBody"/>
        <w:bidi w:val="0"/>
        <w:spacing w:before="240" w:after="0"/>
        <w:jc w:val="left"/>
        <w:rPr>
          <w:rFonts w:ascii="Times New Roman" w:hAnsi="Times New Roman"/>
          <w:sz w:val="20"/>
        </w:rPr>
      </w:pPr>
      <w:r>
        <w:rPr>
          <w:rFonts w:ascii="Times New Roman" w:hAnsi="Times New Roman"/>
          <w:sz w:val="20"/>
        </w:rPr>
        <w:t>(g) DXL hereby agrees to indemnify and hold harmless, to the fullest extent permitted by Law, each FBB Selling Stockholder, and their respective Affiliates, directors, officers, employees, partners, equityholders, managers and each other Person, if any, who controls such FBB Selling Stockholder within the meaning of the Securities Act (each, an “</w:t>
      </w:r>
      <w:r>
        <w:rPr>
          <w:rFonts w:ascii="Times New Roman" w:hAnsi="Times New Roman"/>
          <w:sz w:val="20"/>
          <w:u w:val="single"/>
        </w:rPr>
        <w:t>Indemnified Party</w:t>
      </w:r>
      <w:r>
        <w:rPr>
          <w:rFonts w:ascii="Times New Roman" w:hAnsi="Times New Roman"/>
          <w:sz w:val="20"/>
        </w:rPr>
        <w:t>” and collectively, the “</w:t>
      </w:r>
      <w:r>
        <w:rPr>
          <w:rFonts w:ascii="Times New Roman" w:hAnsi="Times New Roman"/>
          <w:sz w:val="20"/>
          <w:u w:val="single"/>
        </w:rPr>
        <w:t>Indemnified Parties</w:t>
      </w:r>
      <w:r>
        <w:rPr>
          <w:rFonts w:ascii="Times New Roman" w:hAnsi="Times New Roman"/>
          <w:sz w:val="20"/>
        </w:rPr>
        <w:t xml:space="preserve">”), against any and all losses, claims, damages or liabilities, joint or several, actions or proceedings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(x) any untrue statement or alleged untrue statement of any material fact contained in the Resale Registration Statement or, in the light of the circumstances under which such statements were made, in any preliminary, final or summary prospectus contained therein, or any amendment or supplement thereto, or any document incorporated by reference therein, any other such disclosure document (including reports and other documents filed under the Exchange Act and any document incorporated by reference therein) or related document or report, or any issuer free writing prospectus; or (y) any omission or alleged omission to state therein a material fact required to be stated therein or necessary to make the statements therein not misleading, in the case of a prospectus or issuer free writing prospectus, in the light of the circumstances under which such statements were made; and DXL shall reimburse such Indemnified Party for any reasonable out of pocket legal fees or other reasonable and documented expenses incurred by it in connection with investigating or defending any such loss, claim, liability, action or proceeding; provided, that DXL shall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or, in the light of the circumstances under which such statements were made, in any such preliminary, final or summary prospectus, or any amendment or supplement thereto, or any issuer free writing prospectus, in reliance upon and in conformity with written information with respect to such Indemnified Party furnished to DXL or FBB by such Indemnified Party expressly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(h) If the indemnification provided for hereunder from the indemnifying party is insufficient or unavailable to an Indemnified Party hereunder in respect of any losses, claims, damages, liabilities or expenses referred to herein for reasons other than those described in the proviso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6.02(g)</w:t>
      </w:r>
      <w:r>
        <w:rPr>
          <w:rFonts w:ascii="Times New Roman" w:hAnsi="Times New Roman"/>
          <w:sz w:val="20"/>
        </w:rPr>
        <w:t xml:space="preserve">,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relates to information supplied by, such indemnifying party or Indemnified Parties, and the parties’ relative intent, knowledge, access to information and opportunity to correct or prevent such action. The amount paid or payable by a party under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6.02(h)</w:t>
      </w:r>
      <w:r>
        <w:rPr>
          <w:rFonts w:ascii="Times New Roman" w:hAnsi="Times New Roman"/>
          <w:sz w:val="20"/>
        </w:rPr>
        <w:t xml:space="preserve"> as a result of the losses, claims, damages, liabilities and expenses referred to above shall be deemed to include any reasonable out of pocket legal fees or other reasonable an documented expenses incurred by such party in connection with any investigation or proceeding. Any obligation of FBB Selling Stockholders to contribute pursuant to this </w:t>
      </w:r>
      <w:r>
        <w:rPr>
          <w:rFonts w:ascii="Times New Roman" w:hAnsi="Times New Roman"/>
          <w:sz w:val="20"/>
          <w:u w:val="single"/>
        </w:rPr>
        <w:t>Section 6.02(h)</w:t>
      </w:r>
      <w:r>
        <w:rPr>
          <w:rFonts w:ascii="Times New Roman" w:hAnsi="Times New Roman"/>
          <w:sz w:val="20"/>
        </w:rPr>
        <w:t xml:space="preserve"> shall be several in the same proportion that the dollar amount of the proceeds actually received by each such FBB Selling Stockholder bears to the total dollar amount of the proceeds received by all FBB Selling Stockholders and not joint. The parties hereto agree that it would not be just and equitable if contribution pursuant to this </w:t>
      </w:r>
      <w:r>
        <w:rPr>
          <w:rFonts w:ascii="Times New Roman" w:hAnsi="Times New Roman"/>
          <w:sz w:val="20"/>
          <w:u w:val="single"/>
        </w:rPr>
        <w:t>Section 6.02(h)</w:t>
      </w:r>
      <w:r>
        <w:rPr>
          <w:rFonts w:ascii="Times New Roman" w:hAnsi="Times New Roman"/>
          <w:sz w:val="20"/>
        </w:rPr>
        <w:t xml:space="preserve"> were determined by pro rata allocation or by any other method of allocation which does not take account of the equitable considerations referred to in this </w:t>
      </w:r>
      <w:r>
        <w:rPr>
          <w:rFonts w:ascii="Times New Roman" w:hAnsi="Times New Roman"/>
          <w:sz w:val="20"/>
          <w:u w:val="single"/>
        </w:rPr>
        <w:t>Section 6.02(h)</w:t>
      </w:r>
      <w:r>
        <w:rPr>
          <w:rFonts w:ascii="Times New Roman" w:hAnsi="Times New Roman"/>
          <w:sz w:val="20"/>
        </w:rPr>
        <w:t xml:space="preserve">.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(i) With a view to making available the benefits of certain rules and regulations of the SEC which may at any time permit the sale of Registrable Securities of DXL to the public without registration, DXL agrees: </w:t>
      </w:r>
    </w:p>
    <w:p>
      <w:pPr>
        <w:pStyle w:val="TextBody"/>
        <w:bidi w:val="0"/>
        <w:spacing w:before="120" w:after="0"/>
        <w:jc w:val="left"/>
        <w:rPr>
          <w:rFonts w:ascii="Times New Roman" w:hAnsi="Times New Roman"/>
          <w:sz w:val="20"/>
        </w:rPr>
      </w:pPr>
      <w:r>
        <w:rPr>
          <w:rFonts w:ascii="Times New Roman" w:hAnsi="Times New Roman"/>
          <w:sz w:val="20"/>
        </w:rPr>
        <w:t xml:space="preserve">(i) to use its commercially reasonable efforts to file with the SEC in a timely manner all reports and other documents required of DXL under the Securities Act and the Exchange Act (at any time after it has become subject to such reporting requirements);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receipt by DXL of customary representations and other documentation reasonably acceptable to DXL in connection therewith, upon the earlier of such time as the Registrable Securities (x) have been sold or transferred pursuant to an effective registration statement, (y) have been sold pursuant to Rule 144 or (z) are eligible for resale under Rule 144(b)(1) or any successor provision, to take any actions reasonably requested, and to use commercially reasonable efforts to cause its transfer agent to take any actions reasonably requested, including delivery of customary instructions and certificates and legal opinions of DXL’s counsel, in order to facilitate the removal of restrictive legends from the Registrable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(j) DXL shall pay all Registration Expenses and the FBB Significant Stockholder who has sent the Demand Notice, together with each FBB Significant Stockholder participating in a Piggyback Registration, as applicable, shall pay all Selling Expenses in connection with this </w:t>
      </w:r>
      <w:r>
        <w:rPr>
          <w:rFonts w:ascii="Times New Roman" w:hAnsi="Times New Roman"/>
          <w:sz w:val="20"/>
          <w:u w:val="single"/>
        </w:rPr>
        <w:t>Section 6.02</w:t>
      </w:r>
      <w:r>
        <w:rPr>
          <w:rFonts w:ascii="Times New Roman" w:hAnsi="Times New Roman"/>
          <w:sz w:val="20"/>
        </w:rPr>
        <w:t xml:space="preserve">; provided, for the avoidance of doubt, that any holder of Registrable Securities participating in an offering shall pay the fees and expenses of its own legal counsel and any applicable underwriting fees, discounts, selling commissions, agency fees, brokers’ commissions and transfer taxes, if any, on the Registrable Securities sold by such holder and similar charges. </w:t>
      </w:r>
    </w:p>
    <w:p>
      <w:pPr>
        <w:pStyle w:val="TextBody"/>
        <w:bidi w:val="0"/>
        <w:spacing w:before="240" w:after="0"/>
        <w:jc w:val="left"/>
        <w:rPr>
          <w:rFonts w:ascii="Times New Roman" w:hAnsi="Times New Roman"/>
          <w:sz w:val="20"/>
        </w:rPr>
      </w:pPr>
      <w:r>
        <w:rPr>
          <w:rFonts w:ascii="Times New Roman" w:hAnsi="Times New Roman"/>
          <w:sz w:val="20"/>
        </w:rPr>
        <w:t xml:space="preserve">(k) DXL covenants and agrees that it shall not, without the prior written consent of each FBB Significant Stockholder (such consent not to be unreasonably withheld, conditioned or delayed), grant, issue or enter into any agreement to grant or issue any registration rights to any person or entity that are senior or superior to the registration rights granted to the FBB Significant Stockholders under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The covenants contained in this </w:t>
      </w:r>
      <w:r>
        <w:rPr>
          <w:rFonts w:ascii="Times New Roman" w:hAnsi="Times New Roman"/>
          <w:sz w:val="20"/>
          <w:u w:val="single"/>
        </w:rPr>
        <w:t>Section 6.02</w:t>
      </w:r>
      <w:r>
        <w:rPr>
          <w:rFonts w:ascii="Times New Roman" w:hAnsi="Times New Roman"/>
          <w:sz w:val="20"/>
        </w:rPr>
        <w:t xml:space="preserve"> shall survive the consummation of the Merger and are intended to be for the benefit of, and shall be enforceable by, each of the FBB Selling Stockholders and their respective heirs and assigns (from and after Closing) and shall not be deemed exclusive of any other rights to which any such Person is entitled, whether pursuant to Law,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(m)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DXL shall take commercially reasonable efforts to ensure that the successors or assigns or transferees of DXL or the Surviving Company, as the case may be, shall assume the obligations with respect to indemnification and contribution of the FBB Selling Stockholders as set forth in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79" w:name="anxa76201_76"/>
      <w:bookmarkEnd w:id="179"/>
      <w:r>
        <w:rPr>
          <w:rFonts w:ascii="Times New Roman" w:hAnsi="Times New Roman"/>
          <w:b/>
          <w:sz w:val="20"/>
        </w:rPr>
        <w:t xml:space="preserve">SECTION 6.03 </w:t>
      </w:r>
      <w:r>
        <w:rPr>
          <w:rFonts w:ascii="Times New Roman" w:hAnsi="Times New Roman"/>
          <w:b/>
          <w:sz w:val="20"/>
          <w:u w:val="single"/>
        </w:rPr>
        <w:t>Access to Information; Confidentiality</w:t>
      </w:r>
      <w:r>
        <w:rPr>
          <w:rFonts w:ascii="Times New Roman" w:hAnsi="Times New Roman"/>
          <w:sz w:val="20"/>
        </w:rPr>
        <w:t xml:space="preserve">. From the date of this Agreement until the Effective Time, upon reasonable notice and subject to applicable Law, each of FBB and DXL shall, and shall cause each of their respective Subsidiaries to, afford to the other party and such other party’s Subsidiaries and their Representatives reasonable access to all their respective properties, books, Contracts, senior management and records and, during such period, each of FBB and DXL shall, and shall cause each of their respective Subsidiaries to, furnish promptly to the other party information concerning their respective businesses, finances, properties and personnel, in each case, as such other party may reasonably request solely for the purposes of integration planning or the consummation of the Transactions; provided that in any event such access shall not include (i) employee personnel files or (ii) any requested books and records that are stored in an offsite archive location pursuant to the ordinary course document storage policies. Any access pursuant to this </w:t>
      </w:r>
      <w:r>
        <w:rPr>
          <w:rFonts w:ascii="Times New Roman" w:hAnsi="Times New Roman"/>
          <w:sz w:val="20"/>
          <w:u w:val="single"/>
        </w:rPr>
        <w:t>Section 6.03</w:t>
      </w:r>
      <w:r>
        <w:rPr>
          <w:rFonts w:ascii="Times New Roman" w:hAnsi="Times New Roman"/>
          <w:sz w:val="20"/>
        </w:rPr>
        <w:t xml:space="preserve"> shall be coordinated through the respective General Counsels of DXL and FBB or their respective designees thereof, and shall be conducted under the supervision of appropriate personnel of each of DXL and FBB and in such manner as not to unreasonably interfere with the conduct of the business of DXL or FBB. No investigation or access permitted or granted pursuant to this </w:t>
      </w:r>
      <w:r>
        <w:rPr>
          <w:rFonts w:ascii="Times New Roman" w:hAnsi="Times New Roman"/>
          <w:sz w:val="20"/>
          <w:u w:val="single"/>
        </w:rPr>
        <w:t>Section 6.03</w:t>
      </w:r>
      <w:r>
        <w:rPr>
          <w:rFonts w:ascii="Times New Roman" w:hAnsi="Times New Roman"/>
          <w:sz w:val="20"/>
        </w:rPr>
        <w:t xml:space="preserve"> shall affect or be deemed to modify any representation, warranty, covenant or agreement contained herein, the conditions to the obligations of the parties to consummate the Transactions in accordance with the terms and provisions hereof or otherwise limit, prejudice or affect in any way the rights and remedies available to DXL and FBB, nor shall any such information, knowledge or investigation be deemed to affect or modify DXL and FBB’s reliance on the representations, warranties, covenants and agreements made by the other in this Agreement. Notwithstanding the foregoing, either party may withhold any document or information (a) that is subject to the terms of a confidentiality agreement with a third party entered into prior to the date of this Agreement or entered into after the date of this Agreement in the ordinary course of business (provided that, in any case, the withholding party shall use its reasonable best efforts to obtain the required consent of such third party to such access or disclosure), (b) the disclosure of which would violate any Law (provided that the withholding party shall use its reasonable best efforts to make appropriate substitute arrangements to permit reasonable disclosure not in violation of any Law) or (c) that is subject to any attorney-client privilege (provided that the withholding party shall use its reasonable best efforts to allow for such access or disclosure to the maximum extent that does not result in a loss of attorney-client privilege). If any material is withheld by any party as permitted by the immediately preceding sentence, then such party shall inform the other party as to the general nature of what is being withheld. Notwithstanding anything to the contrary contained herein, prior to the Closing, without the prior written consent of the other party (which consent may be withheld for any reason), (x) neither party shall, and shall cause its Affiliates and its representatives not to, contact any vendor, supplier or customer of the other party regarding such other party’s business, operations, or prospects or this Agreement or the Transactions, and (y) neither party shall have the right to perform invasive or subsurface investigations of the properties or facilities of the other party. All information exchanged pursuant to this </w:t>
      </w:r>
      <w:r>
        <w:rPr>
          <w:rFonts w:ascii="Times New Roman" w:hAnsi="Times New Roman"/>
          <w:sz w:val="20"/>
          <w:u w:val="single"/>
        </w:rPr>
        <w:t>Section 6.03</w:t>
      </w:r>
      <w:r>
        <w:rPr>
          <w:rFonts w:ascii="Times New Roman" w:hAnsi="Times New Roman"/>
          <w:sz w:val="20"/>
        </w:rPr>
        <w:t xml:space="preserve"> shall be subject to that certain Mutual Confidentiality and Non-Disclosure Agreement, dated as of February 12, 2024, by and among DXL, FULLBEAUTY Brands, Inc., Oaktree Opportunities Fund Xb Holdings (Delaware), L.P., Oaktree Opportunities Fund XI Holdings (Delaware), L.P., and Goldman Sachs Specialty Lending Group, L.P., as amended by that certain First Amendment to Mutual Confidentiality and Non-Disclosure Agreement, dated as of October 18, 2024 (as amended, the “</w:t>
      </w:r>
      <w:r>
        <w:rPr>
          <w:rFonts w:ascii="Times New Roman" w:hAnsi="Times New Roman"/>
          <w:sz w:val="20"/>
          <w:u w:val="single"/>
        </w:rPr>
        <w:t>Confidentiality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0" w:name="anxa76201_77"/>
      <w:bookmarkEnd w:id="180"/>
      <w:r>
        <w:rPr>
          <w:rFonts w:ascii="Times New Roman" w:hAnsi="Times New Roman"/>
          <w:b/>
          <w:sz w:val="20"/>
        </w:rPr>
        <w:t xml:space="preserve">SECTION 6.04 </w:t>
      </w:r>
      <w:r>
        <w:rPr>
          <w:rFonts w:ascii="Times New Roman" w:hAnsi="Times New Roman"/>
          <w:b/>
          <w:sz w:val="20"/>
          <w:u w:val="single"/>
        </w:rPr>
        <w:t>Required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the terms and subject to the conditions set forth in this Agreement, each of the parties agrees to use their respective commercially reasonable efforts to take, and cause their respective Affiliates to take, all actions that are necessary, proper or advisable to consummate and make effective, in the most expeditious manner practicable, the Transactions, including using commercially reasonable efforts to accomplish the following: (i) obtain all required consents, permits, waivers, approvals, clearances and authorizations orders of, or non-actions by (collectively, “</w:t>
      </w:r>
      <w:r>
        <w:rPr>
          <w:rFonts w:ascii="Times New Roman" w:hAnsi="Times New Roman"/>
          <w:sz w:val="20"/>
          <w:u w:val="single"/>
        </w:rPr>
        <w:t>Consents</w:t>
      </w:r>
      <w:r>
        <w:rPr>
          <w:rFonts w:ascii="Times New Roman" w:hAnsi="Times New Roman"/>
          <w:sz w:val="20"/>
        </w:rPr>
        <w:t xml:space="preserve">”) from, or participation in other discussions or negotiations with, third parties, including as required under any DXL Material Contract or FBB Material Contract, and (ii) execute and deliver any additional instruments necessary to consummate the Transactions and to fully carry out the purposes of this Agreement; provided, however, that neither the DXL, FBB nor any of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Subsidiaries shall commit to the payment of any fee, penalty or other consideration or make any other concession, waiver or amendment under any Contract in connection with obtaining any consent without the prior written consent of the other party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(i) take all action necessary to ensure that no Takeover Statute or similar statute or regulation is or becomes applicable to this Agreement or any Transaction and (ii) if any Takeover Statute or similar statute or regulation becomes applicable to this Agreement or any Transaction, take all action necessary to ensure that the Merger and the other Transactions may be consummated as promptly as practicable on the terms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w:t>
      </w:r>
      <w:r>
        <w:rPr>
          <w:rFonts w:ascii="Times New Roman" w:hAnsi="Times New Roman"/>
          <w:sz w:val="20"/>
          <w:u w:val="single"/>
        </w:rPr>
        <w:t>Section 6.04(a)</w:t>
      </w:r>
      <w:r>
        <w:rPr>
          <w:rFonts w:ascii="Times New Roman" w:hAnsi="Times New Roman"/>
          <w:sz w:val="20"/>
        </w:rPr>
        <w:t xml:space="preserve">, each of DXL and FBB shall use commercially reasonable efforts to, and, to the extent any of DXL’s Affiliates are required to under applicable Laws, DXL shall use commercially reasonable efforts to cause such Affiliates to, (i) provide all necessary notices, reports, registrations, submissions of information, applications and other filings, and obtain as promptly as practicable all Consents from any Governmental Entity and any other Person that are required to be effected or obtained by DXL, Merger Sub or FBB, or any of their respective Subsidiaries, in connection with the consummation of the Transactions, and take all necessary actions to obtain any such Consents from any Governmental Entity that are required to be so effected or obtained, (ii) to prosecute all such filings and Consents with all appropriate diligence, (iii) furnish all information required to be furnished in connection with the Consents of or filings with any Governmental Entity, and promptly cooperate with and furnish information in connection with any such requirements imposed upon either of them or any of their respective Subsidiaries in connection with this Agreement and the Transactions, (iv) execute and deliver any additional instruments necessary to consummate the Transactions and to fully carry out the purposes of this Agreement, (v) facilitate obtaining any final order, writ, judgment or decree approving the Transactions consistent with this Agreement, and (vi) take, or cause to be taken, all actions, and do, or cause to be done, and assist and cooperate with the other in doing, all things necessary to avoid or eliminate each and every legal impediment asserted by any Governmental Entity so as to enable the parties hereto to consummate and make effective, as promptly as practicable, the Merger and the other Transactions in accordance with the terms hereof; provided, that notwithstanding anything to the contrary in this Agreement, nothing in this Agreement shall require DXL or FBB or any of their respective Affiliates to (or permit DXL and its Affiliates, on the one hand, or FBB and its Affiliates, on the other hand, without the consent of the other of DXL or FBB, as applicable, to agree or accept), any action or remedy that would be material and adverse to DXL and its Subsidiaries (including FBB)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Law and the instructions of any Governmental Entity, DXL and FBB shall each advise the other promptly, but in any event within two (2) Business Days, of (and shall promptly furnish the other with copies of) any notice or other communication received by such party or any of its Affiliates from any Governmental Entity regarding any of the Transactions, and of any understandings, undertakings or agreements (oral or written) such party proposes to make or enter into with any Governmental Entity in connection with the Transactions, and each party shall generally keep the other apprised of the status of matters relating to completion of the Transactions. Subject to applicable Law, neither DXL nor FBB shall, and each shall not permit any of its Subsidiaries or Representatives to, participate in any substantive or material meeting, telephone conversation or other communication with any Governmental Entity in respect of any filings, investigation or other inquiry or proceeding with respect to the Transactions, unless, to the extent reasonably practicable under the circumstances, it consults with the other party in advance and, to the extent permitted by such Governmental Entity, gives the other party the opportunity to attend and participate in such meeting, conversation or other communication. Each of DXL and FBB shall (i) cooperate in the filing of any substantive memoranda, white papers, filings, correspondence or other written communications explaining or defending this Agreement or any of the Transactions, articulating any regulatory or competitive argument or responding to requests or objections made by any Governmental Entity and (ii) subject to applicable Law, furnish the other party with copies of all filings, submissions, correspondence and communications (and memoranda setting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substance thereof) between it and their respective Subsidiaries and Representatives, on the one hand, and any Governmental Entity or members of any Governmental Entity’s staff, on the other hand, with respect to this Agreement and the Transactions. </w:t>
      </w:r>
    </w:p>
    <w:p>
      <w:pPr>
        <w:pStyle w:val="TextBody"/>
        <w:bidi w:val="0"/>
        <w:spacing w:before="240" w:after="0"/>
        <w:jc w:val="left"/>
        <w:rPr>
          <w:rFonts w:ascii="Times New Roman" w:hAnsi="Times New Roman"/>
          <w:sz w:val="20"/>
        </w:rPr>
      </w:pPr>
      <w:bookmarkStart w:id="181" w:name="anxa76201_78"/>
      <w:bookmarkEnd w:id="181"/>
      <w:r>
        <w:rPr>
          <w:rFonts w:ascii="Times New Roman" w:hAnsi="Times New Roman"/>
          <w:b/>
          <w:sz w:val="20"/>
        </w:rPr>
        <w:t xml:space="preserve">SECTION 6.05 </w:t>
      </w:r>
      <w:r>
        <w:rPr>
          <w:rFonts w:ascii="Times New Roman" w:hAnsi="Times New Roman"/>
          <w:b/>
          <w:sz w:val="20"/>
          <w:u w:val="single"/>
        </w:rPr>
        <w:t>Stockholder Litigation</w:t>
      </w:r>
      <w:r>
        <w:rPr>
          <w:rFonts w:ascii="Times New Roman" w:hAnsi="Times New Roman"/>
          <w:sz w:val="20"/>
        </w:rPr>
        <w:t xml:space="preserve">. Each party shall give each other party prompt notice of any stockholder litigation against such party or its directors or officers relating to the Transactions contemplated by this Agreement, and shall give each other party the opportunity to participate (at such other’s party’s expense) in the defense or settlement of any such litigation. Each party shall give the other the right to review and comment on all filings or responses to be made by such party in connection with any such litigation, and will in good faith take such comments into account. No party shall agree to settle any such litigation without the other party’s prior written consent, which consent shall not be unreasonably withheld, conditioned or delayed; provided, that each other party shall not be obligated to consent to any settlement which does not include a full release of such other party and its affiliates or which imposes an injunction or other equitable relief after the Effective Time upon the Surviving Company or any of its affiliates. </w:t>
      </w:r>
    </w:p>
    <w:p>
      <w:pPr>
        <w:pStyle w:val="TextBody"/>
        <w:bidi w:val="0"/>
        <w:spacing w:before="240" w:after="0"/>
        <w:jc w:val="left"/>
        <w:rPr>
          <w:rFonts w:ascii="Times New Roman" w:hAnsi="Times New Roman"/>
          <w:sz w:val="20"/>
        </w:rPr>
      </w:pPr>
      <w:bookmarkStart w:id="182" w:name="anxa76201_79"/>
      <w:bookmarkEnd w:id="182"/>
      <w:r>
        <w:rPr>
          <w:rFonts w:ascii="Times New Roman" w:hAnsi="Times New Roman"/>
          <w:b/>
          <w:sz w:val="20"/>
        </w:rPr>
        <w:t xml:space="preserve">SECTION 6.06 </w:t>
      </w:r>
      <w:r>
        <w:rPr>
          <w:rFonts w:ascii="Times New Roman" w:hAnsi="Times New Roman"/>
          <w:b/>
          <w:sz w:val="20"/>
          <w:u w:val="single"/>
        </w:rPr>
        <w:t>DXL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limiting anything contained in, and subject to, </w:t>
      </w:r>
      <w:r>
        <w:rPr>
          <w:rFonts w:ascii="Times New Roman" w:hAnsi="Times New Roman"/>
          <w:sz w:val="20"/>
          <w:u w:val="single"/>
        </w:rPr>
        <w:t>Section 6.01(a)</w:t>
      </w:r>
      <w:r>
        <w:rPr>
          <w:rFonts w:ascii="Times New Roman" w:hAnsi="Times New Roman"/>
          <w:sz w:val="20"/>
        </w:rPr>
        <w:t xml:space="preserve">, DXL shall take all action necessary under all applicable Laws to set a record date for, call, give notice of and hold the DXL Stockholders Meeting for purposes of seeking the Required DXL Stockholder Vote. Subject to the notice requirements under all applicable Laws and under the DXL Charter, the DXL Stockholders Meeting shall be held (on a date selected by DXL and consented to by FBB (such consent not to be unreasonably withheld, conditioned or delayed)) as promptly as practicable after the date hereof and no later than the date that the DXL Stockholders Meeting is required to be held in accordance with </w:t>
      </w:r>
      <w:r>
        <w:rPr>
          <w:rFonts w:ascii="Times New Roman" w:hAnsi="Times New Roman"/>
          <w:sz w:val="20"/>
          <w:u w:val="single"/>
        </w:rPr>
        <w:t>Section 6.01(h)</w:t>
      </w:r>
      <w:r>
        <w:rPr>
          <w:rFonts w:ascii="Times New Roman" w:hAnsi="Times New Roman"/>
          <w:sz w:val="20"/>
        </w:rPr>
        <w:t xml:space="preserve">. DXL shall use reasonable best efforts to solicit from its stockholders proxies for voting on the matters to be voted on at the DXL Stockholders Meeting as contemplated under this Agreement, including the issuance of the DXL Common Stock to be issued in respect of the Merger Consideration. DXL shall call, notice, convene, hold, conduct and solicit all proxies in connection with the DXL Stockholders Meeting in compliance with all applicable Laws, including the DGCL and the DXL Charter. </w:t>
      </w:r>
    </w:p>
    <w:p>
      <w:pPr>
        <w:pStyle w:val="TextBody"/>
        <w:bidi w:val="0"/>
        <w:spacing w:before="240" w:after="0"/>
        <w:jc w:val="left"/>
        <w:rPr>
          <w:rFonts w:ascii="Times New Roman" w:hAnsi="Times New Roman"/>
          <w:sz w:val="20"/>
        </w:rPr>
      </w:pPr>
      <w:r>
        <w:rPr>
          <w:rFonts w:ascii="Times New Roman" w:hAnsi="Times New Roman"/>
          <w:sz w:val="20"/>
        </w:rPr>
        <w:t xml:space="preserve">(b) The DXL Board shall recommend without reservation that DXL’s stockholders provide the Required DXL Stockholder Vote; and neither the DXL Board nor any committee thereof shall withhold, withdraw, amend, modify, change or propose or resolve to withhold, withdraw, amend, modify or change, in each case in a manner materially adverse to FBB or which would prevent or delay consummation of the Merger, the recommendation of the DXL Board that DXL’s stockholders provide the Required DXL Stockholder Vote. </w:t>
      </w:r>
    </w:p>
    <w:p>
      <w:pPr>
        <w:pStyle w:val="TextBody"/>
        <w:bidi w:val="0"/>
        <w:spacing w:before="240" w:after="0"/>
        <w:jc w:val="left"/>
        <w:rPr>
          <w:rFonts w:ascii="Times New Roman" w:hAnsi="Times New Roman"/>
          <w:sz w:val="20"/>
        </w:rPr>
      </w:pPr>
      <w:bookmarkStart w:id="183" w:name="anxa76201_80"/>
      <w:bookmarkEnd w:id="183"/>
      <w:r>
        <w:rPr>
          <w:rFonts w:ascii="Times New Roman" w:hAnsi="Times New Roman"/>
          <w:b/>
          <w:sz w:val="20"/>
        </w:rPr>
        <w:t xml:space="preserve">SECTION 6.07 </w:t>
      </w:r>
      <w:r>
        <w:rPr>
          <w:rFonts w:ascii="Times New Roman" w:hAnsi="Times New Roman"/>
          <w:b/>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explicitly provided in this Agreement, all costs and expenses incurred in connection with this Agreement, the Merger and the other Transactions will be paid by the party incurring such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pursuant to </w:t>
      </w:r>
      <w:r>
        <w:rPr>
          <w:rFonts w:ascii="Times New Roman" w:hAnsi="Times New Roman"/>
          <w:sz w:val="20"/>
          <w:u w:val="single"/>
        </w:rPr>
        <w:t xml:space="preserve">Section 8.01(j) </w:t>
      </w:r>
      <w:r>
        <w:rPr>
          <w:rFonts w:ascii="Times New Roman" w:hAnsi="Times New Roman"/>
          <w:sz w:val="20"/>
        </w:rPr>
        <w:t xml:space="preserve">(accepting a DXL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(ii) this Agreement is terminated by FBB pursuant to </w:t>
      </w:r>
      <w:r>
        <w:rPr>
          <w:rFonts w:ascii="Times New Roman" w:hAnsi="Times New Roman"/>
          <w:sz w:val="20"/>
          <w:u w:val="single"/>
        </w:rPr>
        <w:t>Section 8.01(k)</w:t>
      </w:r>
      <w:r>
        <w:rPr>
          <w:rFonts w:ascii="Times New Roman" w:hAnsi="Times New Roman"/>
          <w:sz w:val="20"/>
        </w:rPr>
        <w:t xml:space="preserve"> (change in DXL Board recommendation); or </w:t>
      </w:r>
    </w:p>
    <w:p>
      <w:pPr>
        <w:pStyle w:val="TextBody"/>
        <w:bidi w:val="0"/>
        <w:spacing w:before="240" w:after="0"/>
        <w:jc w:val="left"/>
        <w:rPr>
          <w:rFonts w:ascii="Times New Roman" w:hAnsi="Times New Roman"/>
          <w:sz w:val="20"/>
        </w:rPr>
      </w:pPr>
      <w:r>
        <w:rPr>
          <w:rFonts w:ascii="Times New Roman" w:hAnsi="Times New Roman"/>
          <w:sz w:val="20"/>
        </w:rPr>
        <w:t xml:space="preserve">(iii) (x) a DXL Takeover Proposal shall have been publicly announced or disclosed or otherwise communicated to DXL or the DXL Board after the date of this Agreement but prior to the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Agreement and this Agreement is terminated pursuant to </w:t>
      </w:r>
      <w:r>
        <w:rPr>
          <w:rFonts w:ascii="Times New Roman" w:hAnsi="Times New Roman"/>
          <w:sz w:val="20"/>
          <w:u w:val="single"/>
        </w:rPr>
        <w:t>Section 8.01(c)</w:t>
      </w:r>
      <w:r>
        <w:rPr>
          <w:rFonts w:ascii="Times New Roman" w:hAnsi="Times New Roman"/>
          <w:sz w:val="20"/>
        </w:rPr>
        <w:t xml:space="preserve"> (failure to obtain Required DXL Stockholder Vote), </w:t>
      </w:r>
      <w:r>
        <w:rPr>
          <w:rFonts w:ascii="Times New Roman" w:hAnsi="Times New Roman"/>
          <w:sz w:val="20"/>
          <w:u w:val="single"/>
        </w:rPr>
        <w:t>Section 8.01(e)</w:t>
      </w:r>
      <w:r>
        <w:rPr>
          <w:rFonts w:ascii="Times New Roman" w:hAnsi="Times New Roman"/>
          <w:sz w:val="20"/>
        </w:rPr>
        <w:t xml:space="preserve"> (lapse of End Date) or </w:t>
      </w:r>
      <w:r>
        <w:rPr>
          <w:rFonts w:ascii="Times New Roman" w:hAnsi="Times New Roman"/>
          <w:sz w:val="20"/>
          <w:u w:val="single"/>
        </w:rPr>
        <w:t>Section 8.01(g)</w:t>
      </w:r>
      <w:r>
        <w:rPr>
          <w:rFonts w:ascii="Times New Roman" w:hAnsi="Times New Roman"/>
          <w:sz w:val="20"/>
        </w:rPr>
        <w:t xml:space="preserve"> (DXL breach) and (y) within twelve (12) months after the date of such termination, DXL enters into an agreement with respect to, or consummates, a Subsequent Transaction in respect of the DXL Takeover Proposal referred to in the immediately preceding clause (x); </w:t>
      </w:r>
    </w:p>
    <w:p>
      <w:pPr>
        <w:pStyle w:val="TextBody"/>
        <w:bidi w:val="0"/>
        <w:spacing w:before="240" w:after="0"/>
        <w:jc w:val="left"/>
        <w:rPr>
          <w:rFonts w:ascii="Times New Roman" w:hAnsi="Times New Roman"/>
          <w:sz w:val="20"/>
        </w:rPr>
      </w:pPr>
      <w:r>
        <w:rPr>
          <w:rFonts w:ascii="Times New Roman" w:hAnsi="Times New Roman"/>
          <w:sz w:val="20"/>
        </w:rPr>
        <w:t>then DXL shall pay FBB a fee equal to $2,500,000 (the “</w:t>
      </w:r>
      <w:r>
        <w:rPr>
          <w:rFonts w:ascii="Times New Roman" w:hAnsi="Times New Roman"/>
          <w:sz w:val="20"/>
          <w:u w:val="single"/>
        </w:rPr>
        <w:t>DXL Termination Fee</w:t>
      </w:r>
      <w:r>
        <w:rPr>
          <w:rFonts w:ascii="Times New Roman" w:hAnsi="Times New Roman"/>
          <w:sz w:val="20"/>
        </w:rPr>
        <w:t xml:space="preserve">”), by wire transfer of same day funds to an account designated by FBB, in each case substantially concurrently with, or prior to, such termination (in the case of a termination referred to in </w:t>
      </w:r>
      <w:r>
        <w:rPr>
          <w:rFonts w:ascii="Times New Roman" w:hAnsi="Times New Roman"/>
          <w:sz w:val="20"/>
          <w:u w:val="single"/>
        </w:rPr>
        <w:t>Section 6.07(b)(i)</w:t>
      </w:r>
      <w:r>
        <w:rPr>
          <w:rFonts w:ascii="Times New Roman" w:hAnsi="Times New Roman"/>
          <w:sz w:val="20"/>
        </w:rPr>
        <w:t xml:space="preserve"> or </w:t>
      </w:r>
      <w:r>
        <w:rPr>
          <w:rFonts w:ascii="Times New Roman" w:hAnsi="Times New Roman"/>
          <w:sz w:val="20"/>
          <w:u w:val="single"/>
        </w:rPr>
        <w:t>Section 6.07(b)(ii)</w:t>
      </w:r>
      <w:r>
        <w:rPr>
          <w:rFonts w:ascii="Times New Roman" w:hAnsi="Times New Roman"/>
          <w:sz w:val="20"/>
        </w:rPr>
        <w:t xml:space="preserve">) or within two (2) Business Days following the earlier of entering into the agreement in respect of, or consummation of, the Subsequent Transaction referred to in </w:t>
      </w:r>
      <w:r>
        <w:rPr>
          <w:rFonts w:ascii="Times New Roman" w:hAnsi="Times New Roman"/>
          <w:sz w:val="20"/>
          <w:u w:val="single"/>
        </w:rPr>
        <w:t>Section 6.07(b)(ii)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w:t>
      </w:r>
    </w:p>
    <w:p>
      <w:pPr>
        <w:pStyle w:val="TextBody"/>
        <w:bidi w:val="0"/>
        <w:spacing w:before="120" w:after="0"/>
        <w:jc w:val="left"/>
        <w:rPr>
          <w:rFonts w:ascii="Times New Roman" w:hAnsi="Times New Roman"/>
          <w:sz w:val="20"/>
        </w:rPr>
      </w:pPr>
      <w:r>
        <w:rPr>
          <w:rFonts w:ascii="Times New Roman" w:hAnsi="Times New Roman"/>
          <w:sz w:val="20"/>
        </w:rPr>
        <w:t xml:space="preserve">(i) this Agreement is terminated by DXL or FBB pursuant to </w:t>
      </w:r>
      <w:r>
        <w:rPr>
          <w:rFonts w:ascii="Times New Roman" w:hAnsi="Times New Roman"/>
          <w:sz w:val="20"/>
          <w:u w:val="single"/>
        </w:rPr>
        <w:t xml:space="preserve">Section 8.01(c) </w:t>
      </w:r>
      <w:r>
        <w:rPr>
          <w:rFonts w:ascii="Times New Roman" w:hAnsi="Times New Roman"/>
          <w:sz w:val="20"/>
        </w:rPr>
        <w:t xml:space="preserve">(failure to obtain Required DXL Stockholder Vote); or </w:t>
      </w:r>
    </w:p>
    <w:p>
      <w:pPr>
        <w:pStyle w:val="TextBody"/>
        <w:bidi w:val="0"/>
        <w:spacing w:before="240" w:after="0"/>
        <w:jc w:val="left"/>
        <w:rPr>
          <w:rFonts w:ascii="Times New Roman" w:hAnsi="Times New Roman"/>
          <w:sz w:val="20"/>
        </w:rPr>
      </w:pPr>
      <w:r>
        <w:rPr>
          <w:rFonts w:ascii="Times New Roman" w:hAnsi="Times New Roman"/>
          <w:sz w:val="20"/>
        </w:rPr>
        <w:t xml:space="preserve">(ii) there is any payment of the DXL Termination Fee in accordance with </w:t>
      </w:r>
      <w:r>
        <w:rPr>
          <w:rFonts w:ascii="Times New Roman" w:hAnsi="Times New Roman"/>
          <w:sz w:val="20"/>
          <w:u w:val="single"/>
        </w:rPr>
        <w:t>Section 6.07(b)(i</w:t>
      </w:r>
      <w:r>
        <w:rPr>
          <w:rFonts w:ascii="Times New Roman" w:hAnsi="Times New Roman"/>
          <w:sz w:val="20"/>
        </w:rPr>
        <w:t>) -</w:t>
      </w:r>
      <w:r>
        <w:rPr>
          <w:rFonts w:ascii="Times New Roman" w:hAnsi="Times New Roman"/>
          <w:sz w:val="20"/>
          <w:u w:val="single"/>
        </w:rPr>
        <w:t>(iii)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then DXL shall reimburse FBB for all reasonable out of pocket fees and expenses incurred by FBB in connection with the negotiation of this Agreement and the Transactions, up to a maximum of $950,000, by wire transfer of same day funds to an account designated by FBB, in each case substantially concurrently with, or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this Agreement is terminated by DXL pursuant to </w:t>
      </w:r>
      <w:r>
        <w:rPr>
          <w:rFonts w:ascii="Times New Roman" w:hAnsi="Times New Roman"/>
          <w:sz w:val="20"/>
          <w:u w:val="single"/>
        </w:rPr>
        <w:t xml:space="preserve">Section 8.01(h), </w:t>
      </w:r>
      <w:r>
        <w:rPr>
          <w:rFonts w:ascii="Times New Roman" w:hAnsi="Times New Roman"/>
          <w:sz w:val="20"/>
        </w:rPr>
        <w:t xml:space="preserve">then FBB shall pay DXL a fee equal to $2,500,000, by wire transfer of same day funds to an account designated by DXL, substantially concurrently with, or prior to, such termination, and FBB shall reimburse DXL for all reasonable out of pocket fees and expenses incurred by DXL in connection with the negotiation of this Agreement and the Transactions contemplated hereby, up to a maximum of $950,000, by wire transfer of same day funds to an account designated by DXL, substantially concurrently with, or prior to, such termination. For the avoidance of doubt, in the event DXL does not exercise its right to terminate this Agreement pursuant to </w:t>
      </w:r>
      <w:r>
        <w:rPr>
          <w:rFonts w:ascii="Times New Roman" w:hAnsi="Times New Roman"/>
          <w:sz w:val="20"/>
          <w:u w:val="single"/>
        </w:rPr>
        <w:t>Section 8.01(h</w:t>
      </w:r>
      <w:r>
        <w:rPr>
          <w:rFonts w:ascii="Times New Roman" w:hAnsi="Times New Roman"/>
          <w:sz w:val="20"/>
        </w:rPr>
        <w:t xml:space="preserve">), but there is a breach by FBB or failure by FBB to perform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 and </w:t>
      </w:r>
      <w:r>
        <w:rPr>
          <w:rFonts w:ascii="Times New Roman" w:hAnsi="Times New Roman"/>
          <w:sz w:val="20"/>
          <w:u w:val="single"/>
        </w:rPr>
        <w:t>Section 6.19</w:t>
      </w:r>
      <w:r>
        <w:rPr>
          <w:rFonts w:ascii="Times New Roman" w:hAnsi="Times New Roman"/>
          <w:sz w:val="20"/>
        </w:rPr>
        <w:t xml:space="preserve"> which would result in the failure of the condition set forth in </w:t>
      </w:r>
      <w:r>
        <w:rPr>
          <w:rFonts w:ascii="Times New Roman" w:hAnsi="Times New Roman"/>
          <w:sz w:val="20"/>
          <w:u w:val="single"/>
        </w:rPr>
        <w:t>Section 7.01(d)</w:t>
      </w:r>
      <w:r>
        <w:rPr>
          <w:rFonts w:ascii="Times New Roman" w:hAnsi="Times New Roman"/>
          <w:sz w:val="20"/>
        </w:rPr>
        <w:t xml:space="preserve">, then DXL shall maintain all of its rights and remedies set forth in this Agreement, including, but not limited to, </w:t>
      </w:r>
      <w:r>
        <w:rPr>
          <w:rFonts w:ascii="Times New Roman" w:hAnsi="Times New Roman"/>
          <w:sz w:val="20"/>
          <w:u w:val="single"/>
        </w:rPr>
        <w:t>Section 9.</w:t>
      </w:r>
      <w:r>
        <w:rPr>
          <w:rFonts w:ascii="Times New Roman" w:hAnsi="Times New Roman"/>
          <w:sz w:val="20"/>
        </w:rPr>
        <w:t xml:space="preserve">11. </w:t>
      </w:r>
    </w:p>
    <w:p>
      <w:pPr>
        <w:pStyle w:val="TextBody"/>
        <w:bidi w:val="0"/>
        <w:spacing w:before="240" w:after="0"/>
        <w:jc w:val="left"/>
        <w:rPr>
          <w:rFonts w:ascii="Times New Roman" w:hAnsi="Times New Roman"/>
          <w:sz w:val="20"/>
        </w:rPr>
      </w:pPr>
      <w:r>
        <w:rPr>
          <w:rFonts w:ascii="Times New Roman" w:hAnsi="Times New Roman"/>
          <w:sz w:val="20"/>
        </w:rPr>
        <w:t xml:space="preserve">(e) If either DXL or FBB fails to pay when due any amount payable under this </w:t>
      </w:r>
      <w:r>
        <w:rPr>
          <w:rFonts w:ascii="Times New Roman" w:hAnsi="Times New Roman"/>
          <w:sz w:val="20"/>
          <w:u w:val="single"/>
        </w:rPr>
        <w:t>Section 6.07</w:t>
      </w:r>
      <w:r>
        <w:rPr>
          <w:rFonts w:ascii="Times New Roman" w:hAnsi="Times New Roman"/>
          <w:sz w:val="20"/>
        </w:rPr>
        <w:t xml:space="preserve">, then (i) either DXL or FBB, as applicable, shall reimburse the other party for all costs and expenses (including reasonable fees and disbursements of counsel) incurred in connection with the collection of such overdue amount and the enforcement by such other party of its rights under this </w:t>
      </w:r>
      <w:r>
        <w:rPr>
          <w:rFonts w:ascii="Times New Roman" w:hAnsi="Times New Roman"/>
          <w:sz w:val="20"/>
          <w:u w:val="single"/>
        </w:rPr>
        <w:t>Section 6.07</w:t>
      </w:r>
      <w:r>
        <w:rPr>
          <w:rFonts w:ascii="Times New Roman" w:hAnsi="Times New Roman"/>
          <w:sz w:val="20"/>
        </w:rPr>
        <w:t xml:space="preserve">, and (ii) either DXL or FBB, as applicable, shall pay interest on such overdue amount (for the period commencing as of the date such overdue amount was originally required to be paid and ending on the date such overdue amount is actually paid to the other party in full) at a rate per annum equal to prime rate quoted in the print edition of </w:t>
      </w:r>
      <w:r>
        <w:rPr>
          <w:rFonts w:ascii="Times New Roman" w:hAnsi="Times New Roman"/>
          <w:i/>
          <w:sz w:val="20"/>
        </w:rPr>
        <w:t>The Wall Street Journal</w:t>
      </w:r>
      <w:r>
        <w:rPr>
          <w:rFonts w:ascii="Times New Roman" w:hAnsi="Times New Roman"/>
          <w:sz w:val="20"/>
        </w:rPr>
        <w:t xml:space="preserve">, “Money Rates” section on the date such overdue amount was originally required to be paid. </w:t>
      </w:r>
    </w:p>
    <w:p>
      <w:pPr>
        <w:pStyle w:val="TextBody"/>
        <w:bidi w:val="0"/>
        <w:spacing w:before="240" w:after="0"/>
        <w:jc w:val="left"/>
        <w:rPr>
          <w:rFonts w:ascii="Times New Roman" w:hAnsi="Times New Roman"/>
          <w:sz w:val="20"/>
        </w:rPr>
      </w:pPr>
      <w:bookmarkStart w:id="184" w:name="anxa76201_81"/>
      <w:bookmarkEnd w:id="184"/>
      <w:r>
        <w:rPr>
          <w:rFonts w:ascii="Times New Roman" w:hAnsi="Times New Roman"/>
          <w:b/>
          <w:sz w:val="20"/>
        </w:rPr>
        <w:t xml:space="preserve">SECTION 6.08 </w:t>
      </w:r>
      <w:r>
        <w:rPr>
          <w:rFonts w:ascii="Times New Roman" w:hAnsi="Times New Roman"/>
          <w:b/>
          <w:sz w:val="20"/>
          <w:u w:val="single"/>
        </w:rPr>
        <w:t>Certain 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intend that, for United States federal income tax purposes, the Merger shall qualify for the Intended Tax Treatment. The Merger shall be reported by the parties for all Tax purposes in accordance with the foregoing, and no party shall take any position on any Tax Return that is inconsistent with the Intended Tax Treatment, unless otherwise required by a Governmental Entity as a result of a “determination” within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meaning of Section 1313(a) of the Code (or any similar state, local or non-U.S. Tax Law). The parties’ right to take any action disclosed in </w:t>
      </w:r>
      <w:r>
        <w:rPr>
          <w:rFonts w:ascii="Times New Roman" w:hAnsi="Times New Roman"/>
          <w:sz w:val="20"/>
          <w:u w:val="single"/>
        </w:rPr>
        <w:t>Section 5.01</w:t>
      </w:r>
      <w:r>
        <w:rPr>
          <w:rFonts w:ascii="Times New Roman" w:hAnsi="Times New Roman"/>
          <w:sz w:val="20"/>
        </w:rPr>
        <w:t xml:space="preserve">, </w:t>
      </w:r>
      <w:r>
        <w:rPr>
          <w:rFonts w:ascii="Times New Roman" w:hAnsi="Times New Roman"/>
          <w:sz w:val="20"/>
          <w:u w:val="single"/>
        </w:rPr>
        <w:t>5.02</w:t>
      </w:r>
      <w:r>
        <w:rPr>
          <w:rFonts w:ascii="Times New Roman" w:hAnsi="Times New Roman"/>
          <w:sz w:val="20"/>
        </w:rPr>
        <w:t xml:space="preserve"> or </w:t>
      </w:r>
      <w:r>
        <w:rPr>
          <w:rFonts w:ascii="Times New Roman" w:hAnsi="Times New Roman"/>
          <w:sz w:val="20"/>
          <w:u w:val="single"/>
        </w:rPr>
        <w:t>5.03</w:t>
      </w:r>
      <w:r>
        <w:rPr>
          <w:rFonts w:ascii="Times New Roman" w:hAnsi="Times New Roman"/>
          <w:sz w:val="20"/>
        </w:rPr>
        <w:t xml:space="preserve"> of the DXL Disclosure Schedule or the FBB Disclosure Schedule, as applicable, shall be subject to and subordinate to the parties’ respective obligations under this </w:t>
      </w:r>
      <w:r>
        <w:rPr>
          <w:rFonts w:ascii="Times New Roman" w:hAnsi="Times New Roman"/>
          <w:sz w:val="20"/>
          <w:u w:val="single"/>
        </w:rPr>
        <w:t>Section 6.08(a)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At the Effective Time, FBB shall deliver to DXL and Merger Sub a certificate pursuant to Treasury Regulations Sections 1.1445-2(c) and 1.897- 2(h), together with a form of notice to the IRS in accordance with the requirements of Treasury Regulations Section 1.897-2(h), in each case, in form and substance reasonably acceptable to DXL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(c) Each of DXL, Merger Sub and FBB shall use commercially reasonable efforts to promptly notify the other party if such party becomes aware of any non-public fact or circumstance that, to such party’s Knowledge, would reasonably be likely to prevent or impede the Merger from qualifying for the Intended Tax Treatment. The parties shall cooperate with each other and their respective counsel to document and support the Tax treatment of the Merger as qualifying for the Intended Tax Treatment. Each of DXL, FBB and Merger Sub shall use their respective reasonable best efforts to cause the Merger to qualify for, and will not take any action or cause any action to be taken (whether prior to, on or subsequent to the Closing Date) which action would reasonably be expected to prevent the Merger from qualifying for or jeopardize the Intended Tax Treatment. </w:t>
      </w:r>
    </w:p>
    <w:p>
      <w:pPr>
        <w:pStyle w:val="TextBody"/>
        <w:bidi w:val="0"/>
        <w:spacing w:before="240" w:after="0"/>
        <w:jc w:val="left"/>
        <w:rPr>
          <w:rFonts w:ascii="Times New Roman" w:hAnsi="Times New Roman"/>
          <w:sz w:val="20"/>
        </w:rPr>
      </w:pPr>
      <w:bookmarkStart w:id="185" w:name="anxa76201_82"/>
      <w:bookmarkEnd w:id="185"/>
      <w:r>
        <w:rPr>
          <w:rFonts w:ascii="Times New Roman" w:hAnsi="Times New Roman"/>
          <w:b/>
          <w:sz w:val="20"/>
        </w:rPr>
        <w:t xml:space="preserve">SECTION 6.09 </w:t>
      </w:r>
      <w:r>
        <w:rPr>
          <w:rFonts w:ascii="Times New Roman" w:hAnsi="Times New Roman"/>
          <w:b/>
          <w:sz w:val="20"/>
          <w:u w:val="single"/>
        </w:rPr>
        <w:t>Governance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DXL shall take all such action within its power as may be necessary or appropriate such that effective upon and immediately following the Effective Time, the Board of Directors of DXL and committees thereof shall be comprised of the following individuals: (i) four (4) members of the Board of Directors designated by DXL (the “</w:t>
      </w:r>
      <w:r>
        <w:rPr>
          <w:rFonts w:ascii="Times New Roman" w:hAnsi="Times New Roman"/>
          <w:sz w:val="20"/>
          <w:u w:val="single"/>
        </w:rPr>
        <w:t>DXL Nominee Directors</w:t>
      </w:r>
      <w:r>
        <w:rPr>
          <w:rFonts w:ascii="Times New Roman" w:hAnsi="Times New Roman"/>
          <w:sz w:val="20"/>
        </w:rPr>
        <w:t>”), (ii) four (4) members of the Board of Directors designated by FBB, one of which shall be the Chief Executive Officer of FBB as of the date hereof (the “</w:t>
      </w:r>
      <w:r>
        <w:rPr>
          <w:rFonts w:ascii="Times New Roman" w:hAnsi="Times New Roman"/>
          <w:sz w:val="20"/>
          <w:u w:val="single"/>
        </w:rPr>
        <w:t>FBB Nominee Directors</w:t>
      </w:r>
      <w:r>
        <w:rPr>
          <w:rFonts w:ascii="Times New Roman" w:hAnsi="Times New Roman"/>
          <w:sz w:val="20"/>
        </w:rPr>
        <w:t>”), and (iii) one (1) member of the Board of Directors mutually agreed to by both DXL and FBB (the “</w:t>
      </w:r>
      <w:r>
        <w:rPr>
          <w:rFonts w:ascii="Times New Roman" w:hAnsi="Times New Roman"/>
          <w:sz w:val="20"/>
          <w:u w:val="single"/>
        </w:rPr>
        <w:t>Independent Director</w:t>
      </w:r>
      <w:r>
        <w:rPr>
          <w:rFonts w:ascii="Times New Roman" w:hAnsi="Times New Roman"/>
          <w:sz w:val="20"/>
        </w:rPr>
        <w:t>,” and together with the DXL Nominee Directors and the FBB Nominee Directors, the “</w:t>
      </w:r>
      <w:r>
        <w:rPr>
          <w:rFonts w:ascii="Times New Roman" w:hAnsi="Times New Roman"/>
          <w:sz w:val="20"/>
          <w:u w:val="single"/>
        </w:rPr>
        <w:t>Post-Closing Directors</w:t>
      </w:r>
      <w:r>
        <w:rPr>
          <w:rFonts w:ascii="Times New Roman" w:hAnsi="Times New Roman"/>
          <w:sz w:val="20"/>
        </w:rPr>
        <w:t xml:space="preserve">”); provided that such Post-Closing Directors shall have completed a background check reasonably satisfactory to DXL and be “independent” directors for purposes of Nasdaq rules (which, for the avoidance of doubt, shall not include such rules as are applicable to audit committee members) and otherwise in compliance with the Nasdaq and SEC rules and requirements governing directors. Promptly following the date of this Agreement, but in any event no later than the Effective Time, DXL Nominee Directors shall, in consultation with the FBB Nominee Directors, appoint the initial Chairperson of the Board of Directors of DXL. </w:t>
      </w:r>
    </w:p>
    <w:p>
      <w:pPr>
        <w:pStyle w:val="TextBody"/>
        <w:bidi w:val="0"/>
        <w:spacing w:before="240" w:after="0"/>
        <w:jc w:val="left"/>
        <w:rPr>
          <w:rFonts w:ascii="Times New Roman" w:hAnsi="Times New Roman"/>
          <w:sz w:val="20"/>
        </w:rPr>
      </w:pPr>
      <w:r>
        <w:rPr>
          <w:rFonts w:ascii="Times New Roman" w:hAnsi="Times New Roman"/>
          <w:sz w:val="20"/>
        </w:rPr>
        <w:t xml:space="preserve">(b) DXL and FBB shall cooperate to take all reasonable actions necessary to cause, effective as of the Effective Time, (i) the Chief Executive Officer of FBB immediately prior to the Effective Time to serve as the Chief Executive Officer of DXL from and after the Effective Time and (ii) the officers of DXL from and after the Effective Time to be such individuals as DXL and FBB shall agree, through a process overseen by the Chief Executive Officer of FBB in consultation with the DXL Nominee Directors and FBB Nominee Directors, cooperating in good faith to identify such individuals prior to the Effective Time, in the case of each of clauses (i) and (ii), serving until the earlier of their death, resignation or removal or until their respective successors are duly elected and qualified. </w:t>
      </w:r>
    </w:p>
    <w:p>
      <w:pPr>
        <w:pStyle w:val="TextBody"/>
        <w:bidi w:val="0"/>
        <w:spacing w:before="240" w:after="0"/>
        <w:jc w:val="left"/>
        <w:rPr>
          <w:rFonts w:ascii="Times New Roman" w:hAnsi="Times New Roman"/>
          <w:sz w:val="20"/>
        </w:rPr>
      </w:pPr>
      <w:bookmarkStart w:id="186" w:name="anxa76201_83"/>
      <w:bookmarkEnd w:id="186"/>
      <w:r>
        <w:rPr>
          <w:rFonts w:ascii="Times New Roman" w:hAnsi="Times New Roman"/>
          <w:b/>
          <w:sz w:val="20"/>
        </w:rPr>
        <w:t xml:space="preserve">SECTION 6.10 </w:t>
      </w:r>
      <w:r>
        <w:rPr>
          <w:rFonts w:ascii="Times New Roman" w:hAnsi="Times New Roman"/>
          <w:b/>
          <w:sz w:val="20"/>
          <w:u w:val="single"/>
        </w:rPr>
        <w:t>Employment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Commencing on the Effective Time and thereafter during the periods specified below, unless otherwise mutually determined by FBB and DXL, DXL shall provide, or shall cause the DXL Subsidiaries (including, without limitation, the Surviving Corporation) to provide to each DXL Employee and each FBB Employee who at the Effective Time are an employee of DXL or the DXL Subsidiaries (including, without limitation, the Surviving Corporation) (the “</w:t>
      </w:r>
      <w:r>
        <w:rPr>
          <w:rFonts w:ascii="Times New Roman" w:hAnsi="Times New Roman"/>
          <w:sz w:val="20"/>
          <w:u w:val="single"/>
        </w:rPr>
        <w:t>Continuing Employees</w:t>
      </w:r>
      <w:r>
        <w:rPr>
          <w:rFonts w:ascii="Times New Roman" w:hAnsi="Times New Roman"/>
          <w:sz w:val="20"/>
        </w:rPr>
        <w:t xml:space="preserve">”) with the following compensation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 for the period commencing at the Effective Time and ending on the one-year anniversary of the Closing Date, (A) a base salary or base wage rate, as applicable, that is no less favorable than the base salary or base wage rate, as applicable, provided to such Continuing Employee immediately prior to the Effective Time, and (B) annual cash or other short-term incentive compensation opportunities that are no less favorable than the annual cash or other short-term incentive compensation opportunities provided to such Continuing Employee immediately prior to the Effective Time and (ii) for the period commencing on the Effective Time until such time as the Surviving Company in the Merger and DXL adopt the New Benefit Plans (as defined below), employee benefits (other than defined benefit plans, retiree welfare plans, change in control plans, deferred compensation plans, equity or equity-based compensation plans) that are substantially similar in the aggregate to the employee benefits provided to similarly situated employees of DXL immediately prior to the Effective Time (provided that DXL may satisfy its obligations under this </w:t>
      </w:r>
      <w:r>
        <w:rPr>
          <w:rFonts w:ascii="Times New Roman" w:hAnsi="Times New Roman"/>
          <w:sz w:val="20"/>
          <w:u w:val="single"/>
        </w:rPr>
        <w:t>Section 6.10(c)(ii)</w:t>
      </w:r>
      <w:r>
        <w:rPr>
          <w:rFonts w:ascii="Times New Roman" w:hAnsi="Times New Roman"/>
          <w:sz w:val="20"/>
        </w:rPr>
        <w:t xml:space="preserve"> for a transitional period through December 31 of the year in which the Effective Time occurs by providing (x) for Continuing Employees who were FBB Employees immediately prior to the Effective Time, employee benefits under the FBB Benefit Plans in effect as of the Closing and (y) for Continuing Employees who were DXL Employees immediately prior to the Effective Time, employee benefits under the DXL Benefit Plans in effect as of the Closing). Notwithstanding anything in this Agreement to the contrary, with respect to any Continuing Employees who are covered by a collective bargaining agreement or other agreement with a union, DXL’s obligations under this </w:t>
      </w:r>
      <w:r>
        <w:rPr>
          <w:rFonts w:ascii="Times New Roman" w:hAnsi="Times New Roman"/>
          <w:sz w:val="20"/>
          <w:u w:val="single"/>
        </w:rPr>
        <w:t>Section 6.10</w:t>
      </w:r>
      <w:r>
        <w:rPr>
          <w:rFonts w:ascii="Times New Roman" w:hAnsi="Times New Roman"/>
          <w:sz w:val="20"/>
        </w:rPr>
        <w:t xml:space="preserve"> shall be in addition to, and not in contravention of, any obligations under the applicable collective bargaining agreement or union agreement or applicable Law. </w:t>
      </w:r>
    </w:p>
    <w:p>
      <w:pPr>
        <w:pStyle w:val="TextBody"/>
        <w:bidi w:val="0"/>
        <w:spacing w:before="240" w:after="0"/>
        <w:jc w:val="left"/>
        <w:rPr>
          <w:rFonts w:ascii="Times New Roman" w:hAnsi="Times New Roman"/>
          <w:sz w:val="20"/>
        </w:rPr>
      </w:pPr>
      <w:r>
        <w:rPr>
          <w:rFonts w:ascii="Times New Roman" w:hAnsi="Times New Roman"/>
          <w:sz w:val="20"/>
        </w:rPr>
        <w:t>(b) Prior to the Closing, FBB and DXL shall cooperate in reviewing, evaluating and analyzing the DXL Benefit Plans and FBB Benefit Plans with a view towards developing appropriate new benefit plans with respect to Continuing Employees (collectively, the “</w:t>
      </w:r>
      <w:r>
        <w:rPr>
          <w:rFonts w:ascii="Times New Roman" w:hAnsi="Times New Roman"/>
          <w:sz w:val="20"/>
          <w:u w:val="single"/>
        </w:rPr>
        <w:t>New Benefit Plans</w:t>
      </w:r>
      <w:r>
        <w:rPr>
          <w:rFonts w:ascii="Times New Roman" w:hAnsi="Times New Roman"/>
          <w:sz w:val="20"/>
        </w:rPr>
        <w:t xml:space="preserve">”) for the Continuing Employees covered thereby, which New Benefit Plans will, to the extent permitted by applicable law, and among other things, (A) treat similarly situated employees on a substantially equivalent basis, taking into account all relevant factors, including duties, geographic location, tenure, qualifications and abilities, and (B) not discriminate between employees who were covered by DXL Benefit Plans, on the one hand, and those covered by FBB Benefit Plans, on the other hand, at the Effective Time. </w:t>
      </w:r>
    </w:p>
    <w:p>
      <w:pPr>
        <w:pStyle w:val="TextBody"/>
        <w:bidi w:val="0"/>
        <w:spacing w:before="240" w:after="0"/>
        <w:jc w:val="left"/>
        <w:rPr>
          <w:rFonts w:ascii="Times New Roman" w:hAnsi="Times New Roman"/>
          <w:sz w:val="20"/>
        </w:rPr>
      </w:pPr>
      <w:r>
        <w:rPr>
          <w:rFonts w:ascii="Times New Roman" w:hAnsi="Times New Roman"/>
          <w:sz w:val="20"/>
        </w:rPr>
        <w:t>(c) In the event any Continuing Employee first becomes eligible to participate under any employee benefit plan or compensation plan maintained by DXL or a DXL Subsidiary (including, without limitation, the Surviving Company) (each a “</w:t>
      </w:r>
      <w:r>
        <w:rPr>
          <w:rFonts w:ascii="Times New Roman" w:hAnsi="Times New Roman"/>
          <w:sz w:val="20"/>
          <w:u w:val="single"/>
        </w:rPr>
        <w:t>New Plan</w:t>
      </w:r>
      <w:r>
        <w:rPr>
          <w:rFonts w:ascii="Times New Roman" w:hAnsi="Times New Roman"/>
          <w:sz w:val="20"/>
        </w:rPr>
        <w:t xml:space="preserve">”), or any DXL Benefit Plan, following the Effective Time, DXL shall (i) waive any pre-existing condition, exclusions, actively-at-work requirements, and waiting periods with respect to participation and coverage requirements applicable to any Continuing Employee under any Surviving Company or DXL Benefit Plan providing medical, dental or vision benefits to the same extent such limitation would have been waived or satisfied under any similar FBB Benefit Plan in which the Continuing Employees participated immediately prior to coverage under the Surviving Company or DXL Benefit Plan; and (ii) use commercially reasonable efforts to provide each Continuing Employee with full credit for any co-payments, out-of-pocket expenditures and deductibles or similar payments paid or incurred prior to the Continuing Employees’ coverage under New Plan or DXL Benefit Plan during the plan year in which the Effective Time occurs, to the same extent such credit was given under any similar FBB Benefit Plan that Continuing Employees participated in immediately prior to the Effective Time, for the plan year in which the Effective Time occurs. </w:t>
      </w:r>
    </w:p>
    <w:p>
      <w:pPr>
        <w:pStyle w:val="TextBody"/>
        <w:bidi w:val="0"/>
        <w:spacing w:before="240" w:after="0"/>
        <w:jc w:val="left"/>
        <w:rPr>
          <w:rFonts w:ascii="Times New Roman" w:hAnsi="Times New Roman"/>
          <w:sz w:val="20"/>
        </w:rPr>
      </w:pPr>
      <w:r>
        <w:rPr>
          <w:rFonts w:ascii="Times New Roman" w:hAnsi="Times New Roman"/>
          <w:sz w:val="20"/>
        </w:rPr>
        <w:t xml:space="preserve">(d) As of the Closing Date, DXL and DXL Subsidiaries (including, without limitation, the Surviving Company) shall recognize all service of each Continuing Employee prior to the Closing Date to DXL and any of its Subsidiaries or FBB and any of its Subsidiaries, as applicable, to the same extent such service was recognized by DXL and FBB, respectively, for each Continuing Employee immediately prior to the Closing Date for purposes of eligibility, participation, vesting and level of benefits (except not for purposes of benefit accrual under any defined benefit pension plan, vesting under any equity or equity-based compensation plan or to the extent that such credit would result in a duplication of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Prior to making any communications to any employees of either party or their respective Subsidiaries regarding the Transactions or any related compensation or benefit matters, each of DXL and its Subsidiaries and FBB and its Subsidiaries shall provide the other party with copies of the text of the intended communication and the other party must have a reasonable opportunity to review and comment on such communications (and the relevant party must consider any such comments in good faith) prior to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and agree that all provisions contained in this </w:t>
      </w:r>
      <w:r>
        <w:rPr>
          <w:rFonts w:ascii="Times New Roman" w:hAnsi="Times New Roman"/>
          <w:sz w:val="20"/>
          <w:u w:val="single"/>
        </w:rPr>
        <w:t>Section 6.10</w:t>
      </w:r>
      <w:r>
        <w:rPr>
          <w:rFonts w:ascii="Times New Roman" w:hAnsi="Times New Roman"/>
          <w:sz w:val="20"/>
        </w:rPr>
        <w:t xml:space="preserve"> with respect to DXL Employees and FBB Employees are included for the sole benefit of the respective parties to this Agreement and shall not (i) create any right in any other Person, including current employees, former employees, any participant or any beneficiary thereof, under this Agreement, DXL Benefit Plan or in any FBB Benefit Plan, (ii) create any right to continued employment with FBB, DXL, the Surviving Company or their respective Subsidiaries or Affiliates, (iii) prevent or restrict in any way the right of DXL or any DXL Subsidiary (including without limitation, the Surviving Company) to terminate the service of any Continuing Employee at any time following the Closing; (iv) be deemed to establish, amend, modify or cause to be adopted any DXL Benefit Plan, FBB Benefit Plan or any other benefit plan, program, agreement or arrangement maintained or sponsored by DXL or any of its Affiliates, or (v) limit the ability of DXL, any DXL Subsidiary (including without limitation, the Surviving Company) or any of its Affiliates from establishing, amending, modifying or terminating any benefit plan, program, agreement or arrangement at any time assumed, established, sponsored or maintained by any of them, in each case, following the Closing. </w:t>
      </w:r>
    </w:p>
    <w:p>
      <w:pPr>
        <w:pStyle w:val="TextBody"/>
        <w:bidi w:val="0"/>
        <w:spacing w:before="240" w:after="0"/>
        <w:jc w:val="left"/>
        <w:rPr>
          <w:rFonts w:ascii="Times New Roman" w:hAnsi="Times New Roman"/>
          <w:sz w:val="20"/>
        </w:rPr>
      </w:pPr>
      <w:bookmarkStart w:id="187" w:name="anxa76201_84"/>
      <w:bookmarkEnd w:id="187"/>
      <w:r>
        <w:rPr>
          <w:rFonts w:ascii="Times New Roman" w:hAnsi="Times New Roman"/>
          <w:b/>
          <w:sz w:val="20"/>
        </w:rPr>
        <w:t xml:space="preserve">SECTION 6.11 </w:t>
      </w:r>
      <w:r>
        <w:rPr>
          <w:rFonts w:ascii="Times New Roman" w:hAnsi="Times New Roman"/>
          <w:b/>
          <w:sz w:val="20"/>
          <w:u w:val="single"/>
        </w:rPr>
        <w:t>Directors’ and Officers’ Indemnification and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DXL and Merger Sub agree that all rights to indemnification, advancement of expenses and exculpation from liabilities for acts or omissions occurring at or prior to the Effective Time in favor of any Person who was or becomes prior to the Effective Time a current or former director, officer or employee of FBB, including any person who is or was serving at the request of FBB as a current or former officer, director or employee of a Subsidiary of FBB (the “</w:t>
      </w:r>
      <w:r>
        <w:rPr>
          <w:rFonts w:ascii="Times New Roman" w:hAnsi="Times New Roman"/>
          <w:sz w:val="20"/>
          <w:u w:val="single"/>
        </w:rPr>
        <w:t>D&amp;O Indemnified Parties</w:t>
      </w:r>
      <w:r>
        <w:rPr>
          <w:rFonts w:ascii="Times New Roman" w:hAnsi="Times New Roman"/>
          <w:sz w:val="20"/>
        </w:rPr>
        <w:t xml:space="preserve">”) as provided in the FBB Charter or in the Charter Documents of any Subsidiary of FBB (in each case, as in effect on the date of this Agreement) shall survive the Merger and shall continue in full force and effect in accordance with their terms. For a period of six (6) years from the Effective Time, the Surviving Company shall, and DXL shall cause the Surviving Company to, (i) cause the Surviving Company’s Charter Documents and the Charter Documents of any Subsidiary of FBB to contain provisions with respect to indemnification and exculpation of, and advancement of expenses to, D&amp;O Indemnified Parties that are at least as favorable to such D&amp;O Indemnified Parties, in all material respects, as the indemnification, exculpation and advancement of expenses provisions contained in the Charter Documents of FBB, as applicable, as in effect on the date of this Agreement and (ii) maintain any indemnification agreements of FBB and its Subsidiaries with any D&amp;O Indemnified Party existing prior to the date of this Agreement and set forth on </w:t>
      </w:r>
      <w:r>
        <w:rPr>
          <w:rFonts w:ascii="Times New Roman" w:hAnsi="Times New Roman"/>
          <w:sz w:val="20"/>
          <w:u w:val="single"/>
        </w:rPr>
        <w:t>Section 6.11</w:t>
      </w:r>
      <w:r>
        <w:rPr>
          <w:rFonts w:ascii="Times New Roman" w:hAnsi="Times New Roman"/>
          <w:sz w:val="20"/>
        </w:rPr>
        <w:t xml:space="preserve"> of the FBB Disclosure Schedule on the terms set forth in such agreements.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6.11</w:t>
      </w:r>
      <w:r>
        <w:rPr>
          <w:rFonts w:ascii="Times New Roman" w:hAnsi="Times New Roman"/>
          <w:sz w:val="20"/>
        </w:rPr>
        <w:t xml:space="preserve"> and not in limitation thereof, at or prior to the Effective Time, FBB shall, with DXL’s prior written consent (not to be unreasonably withheld), purchase a six (6) year “tail” policy with terms, conditions, and coverage that are no less favorable than the terms, conditions and coverage provided to the D&amp;O Indemnified Parties under FBB’s existing policies as of the date of this Agreement (the “</w:t>
      </w:r>
      <w:r>
        <w:rPr>
          <w:rFonts w:ascii="Times New Roman" w:hAnsi="Times New Roman"/>
          <w:sz w:val="20"/>
          <w:u w:val="single"/>
        </w:rPr>
        <w:t>Tail Policy</w:t>
      </w:r>
      <w:r>
        <w:rPr>
          <w:rFonts w:ascii="Times New Roman" w:hAnsi="Times New Roman"/>
          <w:sz w:val="20"/>
        </w:rPr>
        <w:t xml:space="preserve">”). The Surviving Company and DXL shall cause the Tail Policy to be maintained in full force and effect, for its full term; provided that, if the Tail Policy becomes unavailable, DXL shall cause the Surviving Company to obtain the greatest coverage available for a cost not exceeding an annual premium equal to the foregoing maximum premium. </w:t>
      </w:r>
    </w:p>
    <w:p>
      <w:pPr>
        <w:pStyle w:val="TextBody"/>
        <w:bidi w:val="0"/>
        <w:spacing w:before="240" w:after="0"/>
        <w:jc w:val="left"/>
        <w:rPr>
          <w:rFonts w:ascii="Times New Roman" w:hAnsi="Times New Roman"/>
          <w:sz w:val="20"/>
        </w:rPr>
      </w:pPr>
      <w:r>
        <w:rPr>
          <w:rFonts w:ascii="Times New Roman" w:hAnsi="Times New Roman"/>
          <w:sz w:val="20"/>
        </w:rPr>
        <w:t xml:space="preserve">(c) The covenants contained in this </w:t>
      </w:r>
      <w:r>
        <w:rPr>
          <w:rFonts w:ascii="Times New Roman" w:hAnsi="Times New Roman"/>
          <w:sz w:val="20"/>
          <w:u w:val="single"/>
        </w:rPr>
        <w:t>Section 6.11</w:t>
      </w:r>
      <w:r>
        <w:rPr>
          <w:rFonts w:ascii="Times New Roman" w:hAnsi="Times New Roman"/>
          <w:sz w:val="20"/>
        </w:rPr>
        <w:t xml:space="preserve"> shall survive the consummation of the Merger and are intended to be for the benefit of, and shall be enforceable by, each of the D&amp;O Indemnified Parties and their respective heirs and assigns and shall not be deemed exclusive of any other rights to which any such Person is entitled, whether pursuant to Law, contract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In the event that DXL or the Surviving Company or any of their respective successors or assigns (i) consolidates with or merges into any other Person and shall not be the continuing or surviving corporation or entity of such consolidation or merger, or engages in any division transaction, conversion or redomestication or (ii) transfers or conveys all or substantially all of its properties and assets to any Person, then, in each such case, adequate provision shall be made so that the successors or assigns or transferees of DXL or the Surviving Company, as the case may be, shall assume the obligations with respect to indemnification, exculpation and advancement of expenses to the D&amp;O Indemnified Parties as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88" w:name="anxa76201_85"/>
      <w:bookmarkEnd w:id="188"/>
      <w:r>
        <w:rPr>
          <w:rFonts w:ascii="Times New Roman" w:hAnsi="Times New Roman"/>
          <w:b/>
          <w:sz w:val="20"/>
        </w:rPr>
        <w:t xml:space="preserve">SECTION 6.12 </w:t>
      </w:r>
      <w:r>
        <w:rPr>
          <w:rFonts w:ascii="Times New Roman" w:hAnsi="Times New Roman"/>
          <w:b/>
          <w:sz w:val="20"/>
          <w:u w:val="single"/>
        </w:rPr>
        <w:t>Financial Statements</w:t>
      </w:r>
      <w:r>
        <w:rPr>
          <w:rFonts w:ascii="Times New Roman" w:hAnsi="Times New Roman"/>
          <w:sz w:val="20"/>
        </w:rPr>
        <w:t xml:space="preserve">As soon as available, but in any event within forty-five (45) calendar days after the end of each fiscal quarter prior to the Closing, on an as-reported basis, FBB shall deliver, or cause to be delivered, to DXL unaudited condensed consolidated balance sheets and related statements of operations, statements of stockholders’ equity and statements of cash flows of FBB and its Subsidiaries for the period from the beginning of the fiscal quarter to the end of such fiscal quarter, and all such statements shall be derived from FBB and its Subsidiaries’ financial statements and shall be prepared in accordance with GAAP (except for the absence of footnotes). </w:t>
      </w:r>
    </w:p>
    <w:p>
      <w:pPr>
        <w:pStyle w:val="TextBody"/>
        <w:bidi w:val="0"/>
        <w:spacing w:before="240" w:after="0"/>
        <w:jc w:val="left"/>
        <w:rPr>
          <w:rFonts w:ascii="Times New Roman" w:hAnsi="Times New Roman"/>
          <w:sz w:val="20"/>
        </w:rPr>
      </w:pPr>
      <w:r>
        <w:rPr>
          <w:rFonts w:ascii="Times New Roman" w:hAnsi="Times New Roman"/>
          <w:sz w:val="20"/>
        </w:rPr>
        <w:t xml:space="preserve">(b) As soon as available, but in any event no later than one-hundred and twenty (120) calendar days after the end of each fiscal year prior to Closing, FBB shall deliver, or cause to be delivered, to DXL audited consolidated balance sheets and related statements of operations, statements of stockholders’ equity and statements of cash flows of FBB and its Subsidiaries as of the end of such fiscal year, including the notes thereto, prepared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The financial statements delivered by FBB hereunder shall comply with the applicable accounting requirements and rules and regulations of the SEC, the Exchange Act and Securities Act, as applicable, including Rule 3-05 of Regulation S-X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(d) DXL and FBB shall reasonably cooperate with one another, and each shall cause its officers and employees to reasonably cooperate with the other, in the preparation of any pro forma financial statements required to be included or incorporated by reference in the Proxy Statement or Resale Registration Statement. </w:t>
      </w:r>
    </w:p>
    <w:p>
      <w:pPr>
        <w:pStyle w:val="TextBody"/>
        <w:bidi w:val="0"/>
        <w:spacing w:before="240" w:after="0"/>
        <w:jc w:val="left"/>
        <w:rPr>
          <w:rFonts w:ascii="Times New Roman" w:hAnsi="Times New Roman"/>
          <w:sz w:val="20"/>
        </w:rPr>
      </w:pPr>
      <w:bookmarkStart w:id="189" w:name="anxa76201_86"/>
      <w:bookmarkEnd w:id="189"/>
      <w:r>
        <w:rPr>
          <w:rFonts w:ascii="Times New Roman" w:hAnsi="Times New Roman"/>
          <w:b/>
          <w:sz w:val="20"/>
        </w:rPr>
        <w:t xml:space="preserve">SECTION 6.13 </w:t>
      </w:r>
      <w:r>
        <w:rPr>
          <w:rFonts w:ascii="Times New Roman" w:hAnsi="Times New Roman"/>
          <w:b/>
          <w:sz w:val="20"/>
          <w:u w:val="single"/>
        </w:rPr>
        <w:t>Notification of Certain Matters</w:t>
      </w:r>
      <w:r>
        <w:rPr>
          <w:rFonts w:ascii="Times New Roman" w:hAnsi="Times New Roman"/>
          <w:sz w:val="20"/>
        </w:rPr>
        <w:t xml:space="preserve">. Prior to the Effective Time, DXL shall give prompt notice to FBB, and FBB shall give prompt notice to DXL, of (a) any notice or other communication received from any Person alleging that the consent of such Person is or may be required in connection with the Transactions, if the subject matter of such communication or the failure of such party to obtain such consent could reasonably be expected, individually or in the aggregate, to be material to FBB, the Surviving Company, DXL, Merger Sub or the Merger, (b) any legal proceeding commenced or, to either the Knowledge of FBB or the Knowledge of DXL, threatened in writing against any party that relates to this Agreement or the Transactions and (c) any Change that (i) has had or would reasonably be expected to result in any Material Adverse Effect on FBB or (ii) has resulted in, or could reasonably be expected to result in, the failure of any of the conditions set forth in Article VII to be satisfied; provided that the delivery of any notice pursuant to this </w:t>
      </w:r>
      <w:r>
        <w:rPr>
          <w:rFonts w:ascii="Times New Roman" w:hAnsi="Times New Roman"/>
          <w:sz w:val="20"/>
          <w:u w:val="single"/>
        </w:rPr>
        <w:t>Section 6.13</w:t>
      </w:r>
      <w:r>
        <w:rPr>
          <w:rFonts w:ascii="Times New Roman" w:hAnsi="Times New Roman"/>
          <w:sz w:val="20"/>
        </w:rPr>
        <w:t xml:space="preserve"> shall not limit or otherwise affect any rights or remedies available to the party receiving such notice or be deemed to amend or supplement the FBB Disclosure Schedule or the DXL Disclosure Schedule or prevent or cure any misrepresentation, breach of warranty or breach of covenant. </w:t>
      </w:r>
    </w:p>
    <w:p>
      <w:pPr>
        <w:pStyle w:val="TextBody"/>
        <w:bidi w:val="0"/>
        <w:spacing w:before="240" w:after="0"/>
        <w:jc w:val="left"/>
        <w:rPr>
          <w:rFonts w:ascii="Times New Roman" w:hAnsi="Times New Roman"/>
          <w:sz w:val="20"/>
        </w:rPr>
      </w:pPr>
      <w:bookmarkStart w:id="190" w:name="anxa76201_87"/>
      <w:bookmarkEnd w:id="190"/>
      <w:r>
        <w:rPr>
          <w:rFonts w:ascii="Times New Roman" w:hAnsi="Times New Roman"/>
          <w:b/>
          <w:sz w:val="20"/>
        </w:rPr>
        <w:t xml:space="preserve">SECTION 6.14 </w:t>
      </w:r>
      <w:r>
        <w:rPr>
          <w:rFonts w:ascii="Times New Roman" w:hAnsi="Times New Roman"/>
          <w:b/>
          <w:sz w:val="20"/>
          <w:u w:val="single"/>
        </w:rPr>
        <w:t>Obligations of Merger Sub</w:t>
      </w:r>
      <w:r>
        <w:rPr>
          <w:rFonts w:ascii="Times New Roman" w:hAnsi="Times New Roman"/>
          <w:sz w:val="20"/>
        </w:rPr>
        <w:t xml:space="preserve">. DXL shall take all action necessary to cause Merger Sub to perform its obligations under this Agreement and to consummate the Transactions upon the terms and subject to the conditions set forth in this Agreement. </w:t>
      </w:r>
    </w:p>
    <w:p>
      <w:pPr>
        <w:pStyle w:val="TextBody"/>
        <w:bidi w:val="0"/>
        <w:spacing w:before="240" w:after="0"/>
        <w:jc w:val="left"/>
        <w:rPr>
          <w:rFonts w:ascii="Times New Roman" w:hAnsi="Times New Roman"/>
          <w:sz w:val="20"/>
        </w:rPr>
      </w:pPr>
      <w:bookmarkStart w:id="191" w:name="anxa76201_88"/>
      <w:bookmarkEnd w:id="191"/>
      <w:r>
        <w:rPr>
          <w:rFonts w:ascii="Times New Roman" w:hAnsi="Times New Roman"/>
          <w:b/>
          <w:sz w:val="20"/>
        </w:rPr>
        <w:t xml:space="preserve">SECTION 6.15 </w:t>
      </w:r>
      <w:r>
        <w:rPr>
          <w:rFonts w:ascii="Times New Roman" w:hAnsi="Times New Roman"/>
          <w:b/>
          <w:sz w:val="20"/>
          <w:u w:val="single"/>
        </w:rPr>
        <w:t>Payment for Third Party Consents</w:t>
      </w:r>
      <w:r>
        <w:rPr>
          <w:rFonts w:ascii="Times New Roman" w:hAnsi="Times New Roman"/>
          <w:sz w:val="20"/>
        </w:rPr>
        <w:t xml:space="preserve">. Each of DXL and FBB shall pay all amounts, which payments are expressly required by the terms of any Contract, payable by DXL or FBB, as applicable, in connection with third-party consents, waivers, amendments, and the like, required for the Transactions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2" w:name="anxa76201_89"/>
      <w:bookmarkEnd w:id="192"/>
      <w:r>
        <w:rPr>
          <w:rFonts w:ascii="Times New Roman" w:hAnsi="Times New Roman"/>
          <w:b/>
          <w:sz w:val="20"/>
        </w:rPr>
        <w:t xml:space="preserve">SECTION 6.16 </w:t>
      </w:r>
      <w:r>
        <w:rPr>
          <w:rFonts w:ascii="Times New Roman" w:hAnsi="Times New Roman"/>
          <w:b/>
          <w:sz w:val="20"/>
          <w:u w:val="single"/>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Closing, FBB shall use reasonable best efforts to take, or cause to be taken, all reasonable actions and do, or cause to be done, all things necessary, proper or advisable to consummate the transactions contemplated by the Commitment and Subscription Agreements, including maintaining in effect such Commitment and Subscription Agreements and shall use its reasonable best efforts to: (i) satisfy in all material respects on a timely basis all conditions and covenants applicable to such party in such Commitment and Subscription Agreements and otherwise comply with its obligations thereunder, and (ii) consummate the transactions contemplated by such Commitment and Subscription Agreements at or prior to Closing, and in each case of clauses (i) and (ii), DXL shall cooperate with FBB in such efforts.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all conditions in the Commitment and Subscription Agreements have been satisfied, FBB shall use its reasonable best efforts to take, or to cause to be taken, all actions required, necessary or that it otherwise deems to be proper or advisable to consummate the transactions contemplated by the Commitment and Subscription Agreements on or prior to the Closing on the terms described therein, including (i) to enforce the rights of FBB under the Commitment and Subscription Agreements to cause the FBB Investors to pay to (or as directed by) FBB the applicable purchase price under each FBB Investor’s applicable Commitment and Subscription Agreement in accordance with its terms; (ii) confer with DXL regarding timing of the expected Closing Date (as defined in the Commitment and Subscription Agreements); and (iii) deliver notices to counterparties to the Commitment and Subscription Agreements sufficiently in advance of the Closing to cause them to fund their obligations as far in advance of the Closing as permitted by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(c) Each of DXL and FBB (for the purposes of this </w:t>
      </w:r>
      <w:r>
        <w:rPr>
          <w:rFonts w:ascii="Times New Roman" w:hAnsi="Times New Roman"/>
          <w:sz w:val="20"/>
          <w:u w:val="single"/>
        </w:rPr>
        <w:t>Section 6.16(c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each, a “</w:t>
      </w:r>
      <w:r>
        <w:rPr>
          <w:rFonts w:ascii="Times New Roman" w:hAnsi="Times New Roman"/>
          <w:sz w:val="20"/>
          <w:u w:val="single"/>
        </w:rPr>
        <w:t>Cooperating Party</w:t>
      </w:r>
      <w:r>
        <w:rPr>
          <w:rFonts w:ascii="Times New Roman" w:hAnsi="Times New Roman"/>
          <w:sz w:val="20"/>
        </w:rPr>
        <w:t>”) shall, and shall cause its respective Subsidiaries to, use reasonable best efforts to cooperate with the other Cooperating Party in connection with (i) the amendment and restatement of FBB’s Existing Term Loan Facility (including any related guarantees or security arrangements) to authorize and give effect to the Transactions and the capital structure of the Surviving Company following the Closing (the “</w:t>
      </w:r>
      <w:r>
        <w:rPr>
          <w:rFonts w:ascii="Times New Roman" w:hAnsi="Times New Roman"/>
          <w:sz w:val="20"/>
          <w:u w:val="single"/>
        </w:rPr>
        <w:t>A&amp;R Term Loan Amendment</w:t>
      </w:r>
      <w:r>
        <w:rPr>
          <w:rFonts w:ascii="Times New Roman" w:hAnsi="Times New Roman"/>
          <w:sz w:val="20"/>
        </w:rPr>
        <w:t>”) and (ii) the establishment, documentation and closing of a combined asset-based revolving credit facility for the Surviving Company and its Subsidiaries on the Closing Date, whether through (A) an amendment or amendment and restatement of the Existing FBB ABL Agreement or (B), if reasonably determined by FBB in consultation with DXL, an amendment or amendment and restatement of the Existing DXL ABL Agreement or a new ABL credit agreement (each, the “</w:t>
      </w:r>
      <w:r>
        <w:rPr>
          <w:rFonts w:ascii="Times New Roman" w:hAnsi="Times New Roman"/>
          <w:sz w:val="20"/>
          <w:u w:val="single"/>
        </w:rPr>
        <w:t>Combined ABL Facility</w:t>
      </w:r>
      <w:r>
        <w:rPr>
          <w:rFonts w:ascii="Times New Roman" w:hAnsi="Times New Roman"/>
          <w:sz w:val="20"/>
        </w:rPr>
        <w:t>”, and, together with the Existing Term Loan Facility and A&amp;R Term Loan Facility, the “</w:t>
      </w:r>
      <w:r>
        <w:rPr>
          <w:rFonts w:ascii="Times New Roman" w:hAnsi="Times New Roman"/>
          <w:sz w:val="20"/>
          <w:u w:val="single"/>
        </w:rPr>
        <w:t>Debt</w:t>
      </w:r>
      <w:r>
        <w:rPr>
          <w:rFonts w:ascii="Times New Roman" w:hAnsi="Times New Roman"/>
          <w:sz w:val="20"/>
        </w:rPr>
        <w:t xml:space="preserve"> </w:t>
      </w:r>
      <w:r>
        <w:rPr>
          <w:rFonts w:ascii="Times New Roman" w:hAnsi="Times New Roman"/>
          <w:sz w:val="20"/>
          <w:u w:val="single"/>
        </w:rPr>
        <w:t>Financing</w:t>
      </w:r>
      <w:r>
        <w:rPr>
          <w:rFonts w:ascii="Times New Roman" w:hAnsi="Times New Roman"/>
          <w:sz w:val="20"/>
        </w:rPr>
        <w:t xml:space="preserve">”). For the avoidance of doubt, no Cooperating Party shall be required, in connection with the cooperation contemplated by this </w:t>
      </w:r>
      <w:r>
        <w:rPr>
          <w:rFonts w:ascii="Times New Roman" w:hAnsi="Times New Roman"/>
          <w:sz w:val="20"/>
          <w:u w:val="single"/>
        </w:rPr>
        <w:t>Section 6.16</w:t>
      </w:r>
      <w:r>
        <w:rPr>
          <w:rFonts w:ascii="Times New Roman" w:hAnsi="Times New Roman"/>
          <w:sz w:val="20"/>
        </w:rPr>
        <w:t xml:space="preserve">, to incur incremental out-of-pocket expenses (other than de minimis amounts), prepare financial information not customarily prepared or readily available in the ordinary course, or take any action that would reasonably be expected to conflict with its organizational documents or applicable law. FBB and its advisors shall take the lead in the negotiations of the terms of A&amp;R Term Loan Amendment and the Combined ABL Facility;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(1) the leading Cooperating Party shall reasonably consult with the other Cooperating Party, consider in good faith its comments and keep it reasonably informed of material developments, (2) no material economic or structural term affecting the Surviving Company or its Subsidiaries shall be agreed without DXL’s prior written consent (not to be unreasonably withheld, conditioned or delayed), and (3) the parties shall coordinate in good faith regarding the substance and timing of all lender communications, draft deliverables and closing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w:t>
      </w:r>
      <w:r>
        <w:rPr>
          <w:rFonts w:ascii="Times New Roman" w:hAnsi="Times New Roman"/>
          <w:sz w:val="20"/>
          <w:u w:val="single"/>
        </w:rPr>
        <w:t>Section 6.16(c</w:t>
      </w:r>
      <w:r>
        <w:rPr>
          <w:rFonts w:ascii="Times New Roman" w:hAnsi="Times New Roman"/>
          <w:sz w:val="20"/>
        </w:rPr>
        <w:t xml:space="preserve">), each Cooperating Party, as applicable, shall, and shall cause its Subsidiaries to, use reasonable best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the other Cooperating Party, its Representatives and Debt Financing Sources such financial, corporate, organizational and collateral information regarding such Cooperating Party and its Subsidiaries as is reasonably requested in connection with the preparation, effectiveness and implementation of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(ii) provide customary certificates, organizational documents, schedules, instruments and other deliverables reasonably requested by lenders, including information necessary to add such Cooperating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its Subsidiaries as obligors under the A&amp;R Term Loan Facility and Combined ABL Facility, as applicable, at or following the Closing; provided that such deliverables shall be limited to those necessary for such purpose and shall not require the preparation of financial or other information not customarily prepared or readily available in the ordinary course of the Cooperating Party’s business;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participate in customary diligence and coordination sessions relating to the A&amp;R Term Loan Amendment and the Combined ABL Facility; </w:t>
      </w:r>
    </w:p>
    <w:p>
      <w:pPr>
        <w:pStyle w:val="TextBody"/>
        <w:bidi w:val="0"/>
        <w:spacing w:before="240" w:after="0"/>
        <w:jc w:val="left"/>
        <w:rPr>
          <w:rFonts w:ascii="Times New Roman" w:hAnsi="Times New Roman"/>
          <w:sz w:val="20"/>
        </w:rPr>
      </w:pPr>
      <w:r>
        <w:rPr>
          <w:rFonts w:ascii="Times New Roman" w:hAnsi="Times New Roman"/>
          <w:sz w:val="20"/>
        </w:rPr>
        <w:t xml:space="preserve">(iv) to the extent requested in writing at least eight (8) Business Days prior to the Closing Date, provide to the Debt Financing Sources, at least four (4) Business Days prior to the Closing Date, all documentation and information regarding such Cooperating Party and its Subsidiaries and its beneficial owners that is reasonably requested in connection with applicable “know-your-customer,” and anti-money laundering rules and regulations, including the USA Patriot Act, and the requirements of 31 C.F.R. §1010.230; and </w:t>
      </w:r>
    </w:p>
    <w:p>
      <w:pPr>
        <w:pStyle w:val="TextBody"/>
        <w:bidi w:val="0"/>
        <w:spacing w:before="240" w:after="0"/>
        <w:jc w:val="left"/>
        <w:rPr>
          <w:rFonts w:ascii="Times New Roman" w:hAnsi="Times New Roman"/>
          <w:sz w:val="20"/>
        </w:rPr>
      </w:pPr>
      <w:r>
        <w:rPr>
          <w:rFonts w:ascii="Times New Roman" w:hAnsi="Times New Roman"/>
          <w:sz w:val="20"/>
        </w:rPr>
        <w:t xml:space="preserve">(v) executing and delivering as of Closing (but not prior to Closing) any guarantee, pledge and security documents, other definitive financing documents, or other certificates or documents as may be reasonably requested by the leading Cooperating Party or the Debt Financing Sources; it being understood that such documents shall only be effective at Closing, and otherwise reasonably facilitating the pledging of collateral and the granting of security interests in respect of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anything to the contrary in this Agreement, nothing in </w:t>
      </w:r>
      <w:r>
        <w:rPr>
          <w:rFonts w:ascii="Times New Roman" w:hAnsi="Times New Roman"/>
          <w:sz w:val="20"/>
          <w:u w:val="single"/>
        </w:rPr>
        <w:t>Section 6.16(c)</w:t>
      </w:r>
      <w:r>
        <w:rPr>
          <w:rFonts w:ascii="Times New Roman" w:hAnsi="Times New Roman"/>
          <w:sz w:val="20"/>
        </w:rPr>
        <w:t xml:space="preserve"> or </w:t>
      </w:r>
      <w:r>
        <w:rPr>
          <w:rFonts w:ascii="Times New Roman" w:hAnsi="Times New Roman"/>
          <w:sz w:val="20"/>
          <w:u w:val="single"/>
        </w:rPr>
        <w:t>(d)</w:t>
      </w:r>
      <w:r>
        <w:rPr>
          <w:rFonts w:ascii="Times New Roman" w:hAnsi="Times New Roman"/>
          <w:sz w:val="20"/>
        </w:rPr>
        <w:t xml:space="preserve"> shall require any Cooperating Party or any of its Subsidiaries to (i) pay any commitment, arrangement or similar fee, (ii) incur any liability, guarantee, indemnity or other obligation under any credit or financing agreement prior to the Closing, or (iii) take any action that would materially and unreasonably interfere with the ongoing operations of such Cooperating Party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Each Cooperating Party and their Subsidiaries consent to the reasonable use of their logos in connection with the Debt Financing if such logos are used solely in a customary manner that is not intended to or reasonably likely to harm or disparage either Cooperating Party or any of their respective Affiliates or Subsidiaries or the reputation or goodwill of any of the foregoing. Each Cooperating Party shall be permitted to disclose information subject to the Confidentiality Agreement to rating agencies, the Debt Financing Sources and its other financing sources and prospective lenders, investors and financing sources, subject to the Debt Financing Sources, financing sources and such prospective lenders, investors and financing sources entering into customary confidentiality undertakings with respect to such information. </w:t>
      </w:r>
    </w:p>
    <w:p>
      <w:pPr>
        <w:pStyle w:val="TextBody"/>
        <w:bidi w:val="0"/>
        <w:spacing w:before="240" w:after="0"/>
        <w:jc w:val="left"/>
        <w:rPr>
          <w:rFonts w:ascii="Times New Roman" w:hAnsi="Times New Roman"/>
          <w:sz w:val="20"/>
        </w:rPr>
      </w:pPr>
      <w:bookmarkStart w:id="193" w:name="anxa76201_90"/>
      <w:bookmarkEnd w:id="193"/>
      <w:r>
        <w:rPr>
          <w:rFonts w:ascii="Times New Roman" w:hAnsi="Times New Roman"/>
          <w:b/>
          <w:sz w:val="20"/>
        </w:rPr>
        <w:t xml:space="preserve">SECTION 6.17 </w:t>
      </w:r>
      <w:r>
        <w:rPr>
          <w:rFonts w:ascii="Times New Roman" w:hAnsi="Times New Roman"/>
          <w:b/>
          <w:sz w:val="20"/>
          <w:u w:val="single"/>
        </w:rPr>
        <w:t>Updated Capitalization Information</w:t>
      </w:r>
      <w:r>
        <w:rPr>
          <w:rFonts w:ascii="Times New Roman" w:hAnsi="Times New Roman"/>
          <w:sz w:val="20"/>
        </w:rPr>
        <w:t xml:space="preserve">. At least three (3) Business Days prior to the Closing, and again immediately prior to the Closing, DXL shall deliver to FBB a written document that sets forth all of the information that DXL would have been required to include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the DXL Disclosure Schedule in order to make the representations and warranties set forth in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3.02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3.02</w:t>
      </w:r>
      <w:r>
        <w:rPr>
          <w:rFonts w:ascii="Times New Roman" w:hAnsi="Times New Roman"/>
          <w:sz w:val="20"/>
        </w:rPr>
        <w:t xml:space="preserve"> to the date of this Agreement shall be deemed to be references to the date of the Closing). At least three (3) Business Days prior to the Closing, and again immediately prior to the Closing, FBB shall deliver to DXL a written document that sets forth all of the information that FBB would have been required to include in </w:t>
      </w:r>
      <w:r>
        <w:rPr>
          <w:rFonts w:ascii="Times New Roman" w:hAnsi="Times New Roman"/>
          <w:sz w:val="20"/>
          <w:u w:val="single"/>
        </w:rPr>
        <w:t>Section 4.02</w:t>
      </w:r>
      <w:r>
        <w:rPr>
          <w:rFonts w:ascii="Times New Roman" w:hAnsi="Times New Roman"/>
          <w:sz w:val="20"/>
        </w:rPr>
        <w:t xml:space="preserve"> of the FBB Disclosure Schedule in order to make the representations and warranties set forth in </w:t>
      </w:r>
      <w:r>
        <w:rPr>
          <w:rFonts w:ascii="Times New Roman" w:hAnsi="Times New Roman"/>
          <w:sz w:val="20"/>
          <w:u w:val="single"/>
        </w:rPr>
        <w:t>Section 4.02</w:t>
      </w:r>
      <w:r>
        <w:rPr>
          <w:rFonts w:ascii="Times New Roman" w:hAnsi="Times New Roman"/>
          <w:sz w:val="20"/>
        </w:rPr>
        <w:t xml:space="preserve"> of this Agreement true, correct and complete as of the Closing if such representations and warranties were being made as of the date of the Closing (and, solely for purposes of complying with this </w:t>
      </w:r>
      <w:r>
        <w:rPr>
          <w:rFonts w:ascii="Times New Roman" w:hAnsi="Times New Roman"/>
          <w:sz w:val="20"/>
          <w:u w:val="single"/>
        </w:rPr>
        <w:t>Section 6.17</w:t>
      </w:r>
      <w:r>
        <w:rPr>
          <w:rFonts w:ascii="Times New Roman" w:hAnsi="Times New Roman"/>
          <w:sz w:val="20"/>
        </w:rPr>
        <w:t xml:space="preserve">, all references in </w:t>
      </w:r>
      <w:r>
        <w:rPr>
          <w:rFonts w:ascii="Times New Roman" w:hAnsi="Times New Roman"/>
          <w:sz w:val="20"/>
          <w:u w:val="single"/>
        </w:rPr>
        <w:t>Section 4.02</w:t>
      </w:r>
      <w:r>
        <w:rPr>
          <w:rFonts w:ascii="Times New Roman" w:hAnsi="Times New Roman"/>
          <w:sz w:val="20"/>
        </w:rPr>
        <w:t xml:space="preserve"> to the date of this Agreement shall be deemed to be references to the date of the Closing). Notwithstanding the foregoing, nothing contained in this </w:t>
      </w:r>
      <w:r>
        <w:rPr>
          <w:rFonts w:ascii="Times New Roman" w:hAnsi="Times New Roman"/>
          <w:sz w:val="20"/>
          <w:u w:val="single"/>
        </w:rPr>
        <w:t>Section 6.17</w:t>
      </w:r>
      <w:r>
        <w:rPr>
          <w:rFonts w:ascii="Times New Roman" w:hAnsi="Times New Roman"/>
          <w:sz w:val="20"/>
        </w:rPr>
        <w:t xml:space="preserve">, including the delivery by DXL to FBB and FBB to DXL of the updated capitalization information required by this </w:t>
      </w:r>
      <w:r>
        <w:rPr>
          <w:rFonts w:ascii="Times New Roman" w:hAnsi="Times New Roman"/>
          <w:sz w:val="20"/>
          <w:u w:val="single"/>
        </w:rPr>
        <w:t>Section 6.17</w:t>
      </w:r>
      <w:r>
        <w:rPr>
          <w:rFonts w:ascii="Times New Roman" w:hAnsi="Times New Roman"/>
          <w:sz w:val="20"/>
        </w:rPr>
        <w:t xml:space="preserve">, shall (i) update any information contained in the DXL Disclosure Schedule or the FBB Disclosure Schedule, (ii) modify, amend or affect any representation or warranty contained in this Agreement or (iii) permit action or non-action otherwise prohibited by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5.01</w:t>
      </w:r>
      <w:r>
        <w:rPr>
          <w:rFonts w:ascii="Times New Roman" w:hAnsi="Times New Roman"/>
          <w:sz w:val="20"/>
        </w:rPr>
        <w:t xml:space="preserve">, </w:t>
      </w:r>
      <w:r>
        <w:rPr>
          <w:rFonts w:ascii="Times New Roman" w:hAnsi="Times New Roman"/>
          <w:sz w:val="20"/>
          <w:u w:val="single"/>
        </w:rPr>
        <w:t>Section 5.02</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194" w:name="anxa76201_91"/>
      <w:bookmarkEnd w:id="194"/>
      <w:r>
        <w:rPr>
          <w:rFonts w:ascii="Times New Roman" w:hAnsi="Times New Roman"/>
          <w:b/>
          <w:sz w:val="20"/>
        </w:rPr>
        <w:t xml:space="preserve">SECTION 6.18 </w:t>
      </w:r>
      <w:r>
        <w:rPr>
          <w:rFonts w:ascii="Times New Roman" w:hAnsi="Times New Roman"/>
          <w:b/>
          <w:sz w:val="20"/>
          <w:u w:val="single"/>
        </w:rPr>
        <w:t>Listing of DXL Common Stock on Nasdaq</w:t>
      </w:r>
      <w:r>
        <w:rPr>
          <w:rFonts w:ascii="Times New Roman" w:hAnsi="Times New Roman"/>
          <w:sz w:val="20"/>
        </w:rPr>
        <w:t xml:space="preserve">. Prior to the Effective Time, DXL shall prepare and submit to the Nasdaq a listing application or notification, as applicable, covering the shares of DXL Common Stock to be issued as Merger Consideration, and shall use its reasonable best efforts (including paying all applicable listing fees) to cause the DXL Common Stock to be issued as Merger Consideration to be authorized for listing on Nasdaq, subject to official notice of issuance, and FBB shall reasonably cooperate with DXL in connection with the foregoing, including by providing information reasonably requested by DXL in connection therewith. </w:t>
      </w:r>
    </w:p>
    <w:p>
      <w:pPr>
        <w:pStyle w:val="TextBody"/>
        <w:bidi w:val="0"/>
        <w:spacing w:before="240" w:after="0"/>
        <w:jc w:val="left"/>
        <w:rPr>
          <w:rFonts w:ascii="Times New Roman" w:hAnsi="Times New Roman"/>
          <w:sz w:val="20"/>
        </w:rPr>
      </w:pPr>
      <w:bookmarkStart w:id="195" w:name="anxa76201_92"/>
      <w:bookmarkEnd w:id="195"/>
      <w:r>
        <w:rPr>
          <w:rFonts w:ascii="Times New Roman" w:hAnsi="Times New Roman"/>
          <w:b/>
          <w:sz w:val="20"/>
        </w:rPr>
        <w:t xml:space="preserve">SECTION 6.19 </w:t>
      </w:r>
      <w:r>
        <w:rPr>
          <w:rFonts w:ascii="Times New Roman" w:hAnsi="Times New Roman"/>
          <w:b/>
          <w:sz w:val="20"/>
          <w:u w:val="single"/>
        </w:rPr>
        <w:t>FBB Corporate Actions</w:t>
      </w:r>
      <w:r>
        <w:rPr>
          <w:rFonts w:ascii="Times New Roman" w:hAnsi="Times New Roman"/>
          <w:sz w:val="20"/>
        </w:rPr>
        <w:t>. Prior to the Effective Time, FBB shall (i) amend the FBB Charter to increase the total number of authorized shares sufficient to permit the consummation of the Pre-Closing Investment (the “</w:t>
      </w:r>
      <w:r>
        <w:rPr>
          <w:rFonts w:ascii="Times New Roman" w:hAnsi="Times New Roman"/>
          <w:sz w:val="20"/>
          <w:u w:val="single"/>
        </w:rPr>
        <w:t>FBB Charter Amendment</w:t>
      </w:r>
      <w:r>
        <w:rPr>
          <w:rFonts w:ascii="Times New Roman" w:hAnsi="Times New Roman"/>
          <w:sz w:val="20"/>
        </w:rPr>
        <w:t>”), (ii) amend the certificate of designation of the FBB Preferred Stock (the “</w:t>
      </w:r>
      <w:r>
        <w:rPr>
          <w:rFonts w:ascii="Times New Roman" w:hAnsi="Times New Roman"/>
          <w:sz w:val="20"/>
          <w:u w:val="single"/>
        </w:rPr>
        <w:t>Certificate of Designation</w:t>
      </w:r>
      <w:r>
        <w:rPr>
          <w:rFonts w:ascii="Times New Roman" w:hAnsi="Times New Roman"/>
          <w:sz w:val="20"/>
        </w:rPr>
        <w:t>”) pursuant to an amendment (the “</w:t>
      </w:r>
      <w:r>
        <w:rPr>
          <w:rFonts w:ascii="Times New Roman" w:hAnsi="Times New Roman"/>
          <w:sz w:val="20"/>
          <w:u w:val="single"/>
        </w:rPr>
        <w:t>COD Amendment</w:t>
      </w:r>
      <w:r>
        <w:rPr>
          <w:rFonts w:ascii="Times New Roman" w:hAnsi="Times New Roman"/>
          <w:sz w:val="20"/>
        </w:rPr>
        <w:t xml:space="preserve">”) to cause the conversion of all issued and outstanding shares of FBB Preferred Stock into shares of FBB Common Stock and (iii) take all actions necessary to cause the conversion of all issued and outstanding shares of FBB Preferred Stock into shares of FBB Common Stock. </w:t>
      </w:r>
    </w:p>
    <w:p>
      <w:pPr>
        <w:pStyle w:val="TextBody"/>
        <w:bidi w:val="0"/>
        <w:spacing w:before="480" w:after="0"/>
        <w:jc w:val="center"/>
        <w:rPr>
          <w:rFonts w:ascii="Times New Roman" w:hAnsi="Times New Roman"/>
          <w:b/>
          <w:sz w:val="20"/>
        </w:rPr>
      </w:pPr>
      <w:bookmarkStart w:id="196" w:name="anxa76201_93"/>
      <w:bookmarkEnd w:id="196"/>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u w:val="single"/>
        </w:rPr>
        <w:t>CONDITIONS PRECEDENT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197" w:name="anxa76201_94"/>
      <w:bookmarkEnd w:id="197"/>
      <w:r>
        <w:rPr>
          <w:rFonts w:ascii="Times New Roman" w:hAnsi="Times New Roman"/>
          <w:b/>
          <w:sz w:val="20"/>
        </w:rPr>
        <w:t xml:space="preserve">SECTION 7.01 </w:t>
      </w:r>
      <w:r>
        <w:rPr>
          <w:rFonts w:ascii="Times New Roman" w:hAnsi="Times New Roman"/>
          <w:b/>
          <w:sz w:val="20"/>
          <w:u w:val="single"/>
        </w:rPr>
        <w:t>Conditions to Each Party’s Obligation to Effect the Merger</w:t>
      </w:r>
      <w:r>
        <w:rPr>
          <w:rFonts w:ascii="Times New Roman" w:hAnsi="Times New Roman"/>
          <w:sz w:val="20"/>
        </w:rPr>
        <w:t xml:space="preserve">. The respective obligations of the parties to effect the Merger shall be subject to the satisfaction, or waiver by each of the parties,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FBB Stockholder Approval</w:t>
      </w:r>
      <w:r>
        <w:rPr>
          <w:rFonts w:ascii="Times New Roman" w:hAnsi="Times New Roman"/>
          <w:sz w:val="20"/>
        </w:rPr>
        <w:t xml:space="preserve">. The FBB Stockholder Approval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Required DXL Stockholder Vote</w:t>
      </w:r>
      <w:r>
        <w:rPr>
          <w:rFonts w:ascii="Times New Roman" w:hAnsi="Times New Roman"/>
          <w:sz w:val="20"/>
        </w:rPr>
        <w:t xml:space="preserve">. The Required DXL Stockholder Vote shall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Listing</w:t>
      </w:r>
      <w:r>
        <w:rPr>
          <w:rFonts w:ascii="Times New Roman" w:hAnsi="Times New Roman"/>
          <w:sz w:val="20"/>
        </w:rPr>
        <w:t xml:space="preserve">. The DXL Common Stock to be issued as Merger Consideration shall have been authorized for listing on the Nasdaq, subject to official notice of issuance.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Pre-Closing Investment</w:t>
      </w:r>
      <w:r>
        <w:rPr>
          <w:rFonts w:ascii="Times New Roman" w:hAnsi="Times New Roman"/>
          <w:sz w:val="20"/>
        </w:rPr>
        <w:t xml:space="preserve">. The Pre-Closing Investment shall have been consummated pursuant to, and in the amounts set forth in, the Commitment and Subscription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Injunctions or Restraints; Illegality</w:t>
      </w:r>
      <w:r>
        <w:rPr>
          <w:rFonts w:ascii="Times New Roman" w:hAnsi="Times New Roman"/>
          <w:sz w:val="20"/>
        </w:rPr>
        <w:t xml:space="preserve">. No Injunction preventing the consummation of the Merger or any of the other Transactions shall be in effect. No statute, rule, regulation or Injunction shall have been enacted, entered, promulgated or enforced by any Governmental Entity that prohibits or makes illegal consummation of the Merger. </w:t>
      </w:r>
    </w:p>
    <w:p>
      <w:pPr>
        <w:pStyle w:val="TextBody"/>
        <w:bidi w:val="0"/>
        <w:spacing w:before="240" w:after="0"/>
        <w:jc w:val="left"/>
        <w:rPr>
          <w:rFonts w:ascii="Times New Roman" w:hAnsi="Times New Roman"/>
          <w:sz w:val="20"/>
        </w:rPr>
      </w:pPr>
      <w:bookmarkStart w:id="198" w:name="anxa76201_95"/>
      <w:bookmarkEnd w:id="198"/>
      <w:r>
        <w:rPr>
          <w:rFonts w:ascii="Times New Roman" w:hAnsi="Times New Roman"/>
          <w:b/>
          <w:sz w:val="20"/>
        </w:rPr>
        <w:t xml:space="preserve">SECTION 7.02 </w:t>
      </w:r>
      <w:r>
        <w:rPr>
          <w:rFonts w:ascii="Times New Roman" w:hAnsi="Times New Roman"/>
          <w:b/>
          <w:sz w:val="20"/>
          <w:u w:val="single"/>
        </w:rPr>
        <w:t>Conditions to Obligations of DXL</w:t>
      </w:r>
      <w:r>
        <w:rPr>
          <w:rFonts w:ascii="Times New Roman" w:hAnsi="Times New Roman"/>
          <w:sz w:val="20"/>
        </w:rPr>
        <w:t xml:space="preserve">. The obligation of DXL to effect the Merger is also subject to the satisfaction, or waiver by DXL, at or prior to the Effective Time,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FBB (other than as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4.01(b)</w:t>
      </w:r>
      <w:r>
        <w:rPr>
          <w:rFonts w:ascii="Times New Roman" w:hAnsi="Times New Roman"/>
          <w:sz w:val="20"/>
        </w:rPr>
        <w:t xml:space="preserve"> (Capitalization), </w:t>
      </w:r>
      <w:r>
        <w:rPr>
          <w:rFonts w:ascii="Times New Roman" w:hAnsi="Times New Roman"/>
          <w:sz w:val="20"/>
          <w:u w:val="single"/>
        </w:rPr>
        <w:t>4.03</w:t>
      </w:r>
      <w:r>
        <w:rPr>
          <w:rFonts w:ascii="Times New Roman" w:hAnsi="Times New Roman"/>
          <w:sz w:val="20"/>
        </w:rPr>
        <w:t xml:space="preserve"> (Authority; No Violation), </w:t>
      </w:r>
      <w:r>
        <w:rPr>
          <w:rFonts w:ascii="Times New Roman" w:hAnsi="Times New Roman"/>
          <w:sz w:val="20"/>
          <w:u w:val="single"/>
        </w:rPr>
        <w:t>4.06</w:t>
      </w:r>
      <w:r>
        <w:rPr>
          <w:rFonts w:ascii="Times New Roman" w:hAnsi="Times New Roman"/>
          <w:sz w:val="20"/>
        </w:rPr>
        <w:t xml:space="preserve"> (Advisors’ Fees), and </w:t>
      </w:r>
      <w:r>
        <w:rPr>
          <w:rFonts w:ascii="Times New Roman" w:hAnsi="Times New Roman"/>
          <w:sz w:val="20"/>
          <w:u w:val="single"/>
        </w:rPr>
        <w:t>4.07(a)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FBB, (ii) the representations and warranties of FBB set forth in </w:t>
      </w:r>
      <w:r>
        <w:rPr>
          <w:rFonts w:ascii="Times New Roman" w:hAnsi="Times New Roman"/>
          <w:sz w:val="20"/>
          <w:u w:val="single"/>
        </w:rPr>
        <w:t>Section 4.01</w:t>
      </w:r>
      <w:r>
        <w:rPr>
          <w:rFonts w:ascii="Times New Roman" w:hAnsi="Times New Roman"/>
          <w:sz w:val="20"/>
        </w:rPr>
        <w:t xml:space="preserve"> (Corporate Organization), </w:t>
      </w:r>
      <w:r>
        <w:rPr>
          <w:rFonts w:ascii="Times New Roman" w:hAnsi="Times New Roman"/>
          <w:sz w:val="20"/>
          <w:u w:val="single"/>
        </w:rPr>
        <w:t>4.02</w:t>
      </w:r>
      <w:r>
        <w:rPr>
          <w:rFonts w:ascii="Times New Roman" w:hAnsi="Times New Roman"/>
          <w:sz w:val="20"/>
        </w:rPr>
        <w:t xml:space="preserve"> (Capitalization),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4.03</w:t>
      </w:r>
      <w:r>
        <w:rPr>
          <w:rFonts w:ascii="Times New Roman" w:hAnsi="Times New Roman"/>
          <w:sz w:val="20"/>
        </w:rPr>
        <w:t xml:space="preserve"> (Authority; No Violation) and </w:t>
      </w:r>
      <w:r>
        <w:rPr>
          <w:rFonts w:ascii="Times New Roman" w:hAnsi="Times New Roman"/>
          <w:sz w:val="20"/>
          <w:u w:val="single"/>
        </w:rPr>
        <w:t>4.06</w:t>
      </w:r>
      <w:r>
        <w:rPr>
          <w:rFonts w:ascii="Times New Roman" w:hAnsi="Times New Roman"/>
          <w:sz w:val="20"/>
        </w:rPr>
        <w:t xml:space="preserve"> (Advisors’ Fee)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and, with respect to </w:t>
      </w:r>
      <w:r>
        <w:rPr>
          <w:rFonts w:ascii="Times New Roman" w:hAnsi="Times New Roman"/>
          <w:sz w:val="20"/>
          <w:u w:val="single"/>
        </w:rPr>
        <w:t>Section 4.02</w:t>
      </w:r>
      <w:r>
        <w:rPr>
          <w:rFonts w:ascii="Times New Roman" w:hAnsi="Times New Roman"/>
          <w:sz w:val="20"/>
        </w:rPr>
        <w:t xml:space="preserve"> (Capitalization), subject to any transactions contemplated and permitted under this Agreement), and (iii) the representations and warranties of FBB set forth in </w:t>
      </w:r>
      <w:r>
        <w:rPr>
          <w:rFonts w:ascii="Times New Roman" w:hAnsi="Times New Roman"/>
          <w:sz w:val="20"/>
          <w:u w:val="single"/>
        </w:rPr>
        <w:t>Section 4.07(a)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FBB</w:t>
      </w:r>
      <w:r>
        <w:rPr>
          <w:rFonts w:ascii="Times New Roman" w:hAnsi="Times New Roman"/>
          <w:sz w:val="20"/>
        </w:rPr>
        <w:t xml:space="preserve">. FBB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FBB</w:t>
      </w:r>
      <w:r>
        <w:rPr>
          <w:rFonts w:ascii="Times New Roman" w:hAnsi="Times New Roman"/>
          <w:sz w:val="20"/>
        </w:rPr>
        <w:t xml:space="preserve">. Since the date of this Agreement, no event or events or developments shall have occurred that have had or would reasonably be expected to have, individually or in the aggregate, a Material Adverse Effect on FBB.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FBB shall have delivered to DXL a certificate certifying the satisfaction of the conditions contained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sz w:val="20"/>
          <w:u w:val="single"/>
        </w:rPr>
        <w:t>Section 7.02(b)</w:t>
      </w:r>
      <w:r>
        <w:rPr>
          <w:rFonts w:ascii="Times New Roman" w:hAnsi="Times New Roman"/>
          <w:sz w:val="20"/>
        </w:rPr>
        <w:t xml:space="preserve"> and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Certain FBB Corporate Actions</w:t>
      </w:r>
      <w:r>
        <w:rPr>
          <w:rFonts w:ascii="Times New Roman" w:hAnsi="Times New Roman"/>
          <w:sz w:val="20"/>
        </w:rPr>
        <w:t xml:space="preserve">. The actions set forth in </w:t>
      </w:r>
      <w:r>
        <w:rPr>
          <w:rFonts w:ascii="Times New Roman" w:hAnsi="Times New Roman"/>
          <w:sz w:val="20"/>
          <w:u w:val="single"/>
        </w:rPr>
        <w:t>Section 6.19</w:t>
      </w:r>
      <w:r>
        <w:rPr>
          <w:rFonts w:ascii="Times New Roman" w:hAnsi="Times New Roman"/>
          <w:sz w:val="20"/>
        </w:rPr>
        <w:t xml:space="preserve"> shall have been duly effected. </w:t>
      </w:r>
    </w:p>
    <w:p>
      <w:pPr>
        <w:pStyle w:val="TextBody"/>
        <w:bidi w:val="0"/>
        <w:spacing w:before="240" w:after="0"/>
        <w:jc w:val="left"/>
        <w:rPr>
          <w:rFonts w:ascii="Times New Roman" w:hAnsi="Times New Roman"/>
          <w:sz w:val="20"/>
        </w:rPr>
      </w:pPr>
      <w:bookmarkStart w:id="199" w:name="anxa76201_96"/>
      <w:bookmarkEnd w:id="199"/>
      <w:r>
        <w:rPr>
          <w:rFonts w:ascii="Times New Roman" w:hAnsi="Times New Roman"/>
          <w:b/>
          <w:sz w:val="20"/>
        </w:rPr>
        <w:t xml:space="preserve">SECTION 7.03 </w:t>
      </w:r>
      <w:r>
        <w:rPr>
          <w:rFonts w:ascii="Times New Roman" w:hAnsi="Times New Roman"/>
          <w:b/>
          <w:sz w:val="20"/>
          <w:u w:val="single"/>
        </w:rPr>
        <w:t>Conditions to Obligations of FBB</w:t>
      </w:r>
      <w:r>
        <w:rPr>
          <w:rFonts w:ascii="Times New Roman" w:hAnsi="Times New Roman"/>
          <w:sz w:val="20"/>
        </w:rPr>
        <w:t xml:space="preserve">. The obligation of FBB to effect the Merger is also subject to the satisfaction, or waiver by FBB, at or prior to the Effective Time,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Each of the representations and warranties of DXL (other than as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3.02</w:t>
      </w:r>
      <w:r>
        <w:rPr>
          <w:rFonts w:ascii="Times New Roman" w:hAnsi="Times New Roman"/>
          <w:sz w:val="20"/>
        </w:rPr>
        <w:t xml:space="preserve"> (Capitalization), </w:t>
      </w:r>
      <w:r>
        <w:rPr>
          <w:rFonts w:ascii="Times New Roman" w:hAnsi="Times New Roman"/>
          <w:sz w:val="20"/>
          <w:u w:val="single"/>
        </w:rPr>
        <w:t>3.03</w:t>
      </w:r>
      <w:r>
        <w:rPr>
          <w:rFonts w:ascii="Times New Roman" w:hAnsi="Times New Roman"/>
          <w:sz w:val="20"/>
        </w:rPr>
        <w:t xml:space="preserve"> (Authority; No Violation), </w:t>
      </w:r>
      <w:r>
        <w:rPr>
          <w:rFonts w:ascii="Times New Roman" w:hAnsi="Times New Roman"/>
          <w:sz w:val="20"/>
          <w:u w:val="single"/>
        </w:rPr>
        <w:t>Section 3.07</w:t>
      </w:r>
      <w:r>
        <w:rPr>
          <w:rFonts w:ascii="Times New Roman" w:hAnsi="Times New Roman"/>
          <w:sz w:val="20"/>
        </w:rPr>
        <w:t xml:space="preserve"> (Advisors’ Fees) and </w:t>
      </w:r>
      <w:r>
        <w:rPr>
          <w:rFonts w:ascii="Times New Roman" w:hAnsi="Times New Roman"/>
          <w:sz w:val="20"/>
          <w:u w:val="single"/>
        </w:rPr>
        <w:t>3.08(a)</w:t>
      </w:r>
      <w:r>
        <w:rPr>
          <w:rFonts w:ascii="Times New Roman" w:hAnsi="Times New Roman"/>
          <w:sz w:val="20"/>
        </w:rPr>
        <w:t xml:space="preserve"> (Absence of Certain Changes or Events)) set forth in this Agreement shall be true and correct on the date of this Agreement and as of the Closing Date, as if made at and as of such date (except to the extent expressly made as of an earlier date, in which case as of such date), except where the failure of such representations and warranties to be so true and correct (without giving effect to any limitation as to “materiality” or “Material Adverse Effect” set forth therein), individually or in the aggregate, has not had, and would not reasonably be expected to have, a Material Adverse Effect on DXL, (ii) the representations and warranties of DXL set forth in </w:t>
      </w:r>
      <w:r>
        <w:rPr>
          <w:rFonts w:ascii="Times New Roman" w:hAnsi="Times New Roman"/>
          <w:sz w:val="20"/>
          <w:u w:val="single"/>
        </w:rPr>
        <w:t>Sections 3.01</w:t>
      </w:r>
      <w:r>
        <w:rPr>
          <w:rFonts w:ascii="Times New Roman" w:hAnsi="Times New Roman"/>
          <w:sz w:val="20"/>
        </w:rPr>
        <w:t xml:space="preserve"> (Corporate Organization), </w:t>
      </w:r>
      <w:r>
        <w:rPr>
          <w:rFonts w:ascii="Times New Roman" w:hAnsi="Times New Roman"/>
          <w:sz w:val="20"/>
          <w:u w:val="single"/>
        </w:rPr>
        <w:t>3.03</w:t>
      </w:r>
      <w:r>
        <w:rPr>
          <w:rFonts w:ascii="Times New Roman" w:hAnsi="Times New Roman"/>
          <w:sz w:val="20"/>
        </w:rPr>
        <w:t xml:space="preserve"> (Authority; No Violation) and </w:t>
      </w:r>
      <w:r>
        <w:rPr>
          <w:rFonts w:ascii="Times New Roman" w:hAnsi="Times New Roman"/>
          <w:sz w:val="20"/>
          <w:u w:val="single"/>
        </w:rPr>
        <w:t>Section 3.07</w:t>
      </w:r>
      <w:r>
        <w:rPr>
          <w:rFonts w:ascii="Times New Roman" w:hAnsi="Times New Roman"/>
          <w:sz w:val="20"/>
        </w:rPr>
        <w:t xml:space="preserve"> (Advisors’ Fees) shall be true and correct in all material respects (without giving effect to any limitation as to “materiality” or “Material Adverse Effect” set forth therein) on the date of this Agreement, and as of the Closing Date, as if made at and as of such date (except to the extent expressly made as of an earlier date, in which case as of such date), (iii) the representations and warranties of DXL set forth in </w:t>
      </w:r>
      <w:r>
        <w:rPr>
          <w:rFonts w:ascii="Times New Roman" w:hAnsi="Times New Roman"/>
          <w:sz w:val="20"/>
          <w:u w:val="single"/>
        </w:rPr>
        <w:t>Section 3.02</w:t>
      </w:r>
      <w:r>
        <w:rPr>
          <w:rFonts w:ascii="Times New Roman" w:hAnsi="Times New Roman"/>
          <w:sz w:val="20"/>
        </w:rPr>
        <w:t xml:space="preserve"> (Capitalization) shall be true and correct in all respects on the date of this Agreement and as of the Closing Date, as if made at and as of such date, subject only to </w:t>
      </w:r>
      <w:r>
        <w:rPr>
          <w:rFonts w:ascii="Times New Roman" w:hAnsi="Times New Roman"/>
          <w:i/>
          <w:sz w:val="20"/>
        </w:rPr>
        <w:t>de minimis</w:t>
      </w:r>
      <w:r>
        <w:rPr>
          <w:rFonts w:ascii="Times New Roman" w:hAnsi="Times New Roman"/>
          <w:sz w:val="20"/>
        </w:rPr>
        <w:t xml:space="preserve"> inaccuracies on the date of this Agreement, and as of the Closing Date and (iv) the representations and warranties of DXL set forth in </w:t>
      </w:r>
      <w:r>
        <w:rPr>
          <w:rFonts w:ascii="Times New Roman" w:hAnsi="Times New Roman"/>
          <w:sz w:val="20"/>
          <w:u w:val="single"/>
        </w:rPr>
        <w:t>Section 3.08(a)</w:t>
      </w:r>
      <w:r>
        <w:rPr>
          <w:rFonts w:ascii="Times New Roman" w:hAnsi="Times New Roman"/>
          <w:sz w:val="20"/>
        </w:rPr>
        <w:t xml:space="preserve"> (Absence of Certain Changes or Events) shall be true and correct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DXL</w:t>
      </w:r>
      <w:r>
        <w:rPr>
          <w:rFonts w:ascii="Times New Roman" w:hAnsi="Times New Roman"/>
          <w:sz w:val="20"/>
        </w:rPr>
        <w:t xml:space="preserve">. DXL shall have performed in all material respects all obligations required to be performed by it under this Agreement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Absence of Material Adverse Effect on DXL</w:t>
      </w:r>
      <w:r>
        <w:rPr>
          <w:rFonts w:ascii="Times New Roman" w:hAnsi="Times New Roman"/>
          <w:sz w:val="20"/>
        </w:rPr>
        <w:t xml:space="preserve">. Since the date of this Agreement, no event or events or development or developments shall have occurred that have had or would reasonably be expected to have, individually or in the aggregate, a Material Adverse Effect on DXL.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Chief Executive Officer or Chief Financial Officer of DXL shall have delivered to FBB a certificate certifying the satisfaction of the conditions contained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sz w:val="20"/>
          <w:u w:val="single"/>
        </w:rPr>
        <w:t>Section 7.03(b)</w:t>
      </w:r>
      <w:r>
        <w:rPr>
          <w:rFonts w:ascii="Times New Roman" w:hAnsi="Times New Roman"/>
          <w:sz w:val="20"/>
        </w:rPr>
        <w:t xml:space="preserve">, and </w:t>
      </w:r>
      <w:r>
        <w:rPr>
          <w:rFonts w:ascii="Times New Roman" w:hAnsi="Times New Roman"/>
          <w:sz w:val="20"/>
          <w:u w:val="single"/>
        </w:rPr>
        <w:t>Section 7.03(c)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0" w:name="anxa76201_97"/>
      <w:bookmarkEnd w:id="200"/>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u w:val="single"/>
        </w:rPr>
        <w:t>TERMINATION AND AMENDMENT</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1" w:name="anxa76201_98"/>
      <w:bookmarkEnd w:id="201"/>
      <w:r>
        <w:rPr>
          <w:rFonts w:ascii="Times New Roman" w:hAnsi="Times New Roman"/>
          <w:b/>
          <w:sz w:val="20"/>
        </w:rPr>
        <w:t xml:space="preserve">SECTION 8.01 </w:t>
      </w:r>
      <w:r>
        <w:rPr>
          <w:rFonts w:ascii="Times New Roman" w:hAnsi="Times New Roman"/>
          <w:b/>
          <w:sz w:val="20"/>
          <w:u w:val="single"/>
        </w:rPr>
        <w:t>Termination</w:t>
      </w:r>
      <w:r>
        <w:rPr>
          <w:rFonts w:ascii="Times New Roman" w:hAnsi="Times New Roman"/>
          <w:sz w:val="20"/>
        </w:rPr>
        <w:t xml:space="preserve">. This Agreement may be terminated at any time prior to the Effective Time, whether before or after receipt of the FBB Stockholder Approval or the Required DXL Stockholder Vote, by action taken or authorized by the board of directors of the terminating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consent of DXL and FBB in a written instrument; </w:t>
      </w:r>
    </w:p>
    <w:p>
      <w:pPr>
        <w:pStyle w:val="TextBody"/>
        <w:bidi w:val="0"/>
        <w:spacing w:before="240" w:after="0"/>
        <w:jc w:val="left"/>
        <w:rPr>
          <w:rFonts w:ascii="Times New Roman" w:hAnsi="Times New Roman"/>
          <w:sz w:val="20"/>
        </w:rPr>
      </w:pPr>
      <w:r>
        <w:rPr>
          <w:rFonts w:ascii="Times New Roman" w:hAnsi="Times New Roman"/>
          <w:sz w:val="20"/>
        </w:rPr>
        <w:t xml:space="preserve">(b) by either DXL or FBB if any Governmental Entity of competent jurisdiction shall have issued a final and non-appealable order permanently enjoining or otherwise prohibiting the consummation of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by either DXL or FBB if the Required DXL Stockholder Vote shall not have been obtained at the DXL Stockholders Meeting or any adjournment or postponement thereof at which the vote was taken; provided that DXL may not terminate this Agreement pursuant to this </w:t>
      </w:r>
      <w:r>
        <w:rPr>
          <w:rFonts w:ascii="Times New Roman" w:hAnsi="Times New Roman"/>
          <w:sz w:val="20"/>
          <w:u w:val="single"/>
        </w:rPr>
        <w:t>Section 8.01(c)</w:t>
      </w:r>
      <w:r>
        <w:rPr>
          <w:rFonts w:ascii="Times New Roman" w:hAnsi="Times New Roman"/>
          <w:sz w:val="20"/>
        </w:rPr>
        <w:t xml:space="preserve"> if DXL’s breach of its obligations under this Agreement proximately contributed to the failure to have obtained the Required DXL Stockholder Vote at the DXL Stockholders Meeting or any adjournment or postponement thereof; </w:t>
      </w:r>
    </w:p>
    <w:p>
      <w:pPr>
        <w:pStyle w:val="TextBody"/>
        <w:bidi w:val="0"/>
        <w:spacing w:before="240" w:after="0"/>
        <w:jc w:val="left"/>
        <w:rPr>
          <w:rFonts w:ascii="Times New Roman" w:hAnsi="Times New Roman"/>
          <w:sz w:val="20"/>
        </w:rPr>
      </w:pPr>
      <w:r>
        <w:rPr>
          <w:rFonts w:ascii="Times New Roman" w:hAnsi="Times New Roman"/>
          <w:sz w:val="20"/>
        </w:rPr>
        <w:t xml:space="preserve">(d) by either DXL or FBB if the FBB Stockholder Approval shall not have been obtained within five (5) calendar days of the date hereof; provided that FBB may not terminate this Agreement pursuant to this </w:t>
      </w:r>
      <w:r>
        <w:rPr>
          <w:rFonts w:ascii="Times New Roman" w:hAnsi="Times New Roman"/>
          <w:sz w:val="20"/>
          <w:u w:val="single"/>
        </w:rPr>
        <w:t>Section 8.01(d)</w:t>
      </w:r>
      <w:r>
        <w:rPr>
          <w:rFonts w:ascii="Times New Roman" w:hAnsi="Times New Roman"/>
          <w:sz w:val="20"/>
        </w:rPr>
        <w:t xml:space="preserve"> if FBB’s breach of its obligations under this Agreement proximately contributed to the failure to have obtained the FBB Stockholder Approval; </w:t>
      </w:r>
    </w:p>
    <w:p>
      <w:pPr>
        <w:pStyle w:val="TextBody"/>
        <w:bidi w:val="0"/>
        <w:spacing w:before="240" w:after="0"/>
        <w:jc w:val="left"/>
        <w:rPr>
          <w:rFonts w:ascii="Times New Roman" w:hAnsi="Times New Roman"/>
          <w:sz w:val="20"/>
        </w:rPr>
      </w:pPr>
      <w:r>
        <w:rPr>
          <w:rFonts w:ascii="Times New Roman" w:hAnsi="Times New Roman"/>
          <w:sz w:val="20"/>
        </w:rPr>
        <w:t>(e) by either DXL or FBB if the Merger shall not have been consummated on or before September 11, 2026 (the “</w:t>
      </w:r>
      <w:r>
        <w:rPr>
          <w:rFonts w:ascii="Times New Roman" w:hAnsi="Times New Roman"/>
          <w:sz w:val="20"/>
          <w:u w:val="single"/>
        </w:rPr>
        <w:t>End Date</w:t>
      </w:r>
      <w:r>
        <w:rPr>
          <w:rFonts w:ascii="Times New Roman" w:hAnsi="Times New Roman"/>
          <w:sz w:val="20"/>
        </w:rPr>
        <w:t xml:space="preserve">”), subject to extension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provided that no party may terminate this Agreement pursuant to this </w:t>
      </w:r>
      <w:r>
        <w:rPr>
          <w:rFonts w:ascii="Times New Roman" w:hAnsi="Times New Roman"/>
          <w:sz w:val="20"/>
          <w:u w:val="single"/>
        </w:rPr>
        <w:t>Section 8.01(e)</w:t>
      </w:r>
      <w:r>
        <w:rPr>
          <w:rFonts w:ascii="Times New Roman" w:hAnsi="Times New Roman"/>
          <w:sz w:val="20"/>
        </w:rPr>
        <w:t xml:space="preserve"> if such party’s breach of its obligations under this Agreement proximately contributed to the failure of the Closing to occur by the End Date (or any extension of the End Date in accordance with the provisions set forth in this </w:t>
      </w:r>
      <w:r>
        <w:rPr>
          <w:rFonts w:ascii="Times New Roman" w:hAnsi="Times New Roman"/>
          <w:sz w:val="20"/>
          <w:u w:val="single"/>
        </w:rPr>
        <w:t>Section 8.01(e)</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04); </w:t>
      </w:r>
    </w:p>
    <w:p>
      <w:pPr>
        <w:pStyle w:val="TextBody"/>
        <w:bidi w:val="0"/>
        <w:spacing w:before="240" w:after="0"/>
        <w:jc w:val="left"/>
        <w:rPr>
          <w:rFonts w:ascii="Times New Roman" w:hAnsi="Times New Roman"/>
          <w:sz w:val="20"/>
        </w:rPr>
      </w:pPr>
      <w:r>
        <w:rPr>
          <w:rFonts w:ascii="Times New Roman" w:hAnsi="Times New Roman"/>
          <w:sz w:val="20"/>
        </w:rPr>
        <w:t xml:space="preserve">(f) by DXL if there shall have been a breach of any of the covenants or agreements or any inaccuracy of any of the representations or warranties set forth in this Agreement on the part of FBB,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(g) by FBB if there shall have been a breach of any of the covenants or agreements or any inaccuracy of any of the representations or warranties set forth in this Agreement on the part of DXL, which breach or inaccuracy, either individually or in the aggregate, would result in, if occurring or continuing on the Closing Date, the failure of the conditions set forth in </w:t>
      </w:r>
      <w:r>
        <w:rPr>
          <w:rFonts w:ascii="Times New Roman" w:hAnsi="Times New Roman"/>
          <w:sz w:val="20"/>
          <w:u w:val="single"/>
        </w:rPr>
        <w:t>Section 7.03(a)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and such breach or inaccuracy is incapable of being cured, or is not cured, by DXL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DXL shall not have commenced good faith efforts to cure the breach or inaccuracy within ten (10) calendar days following receipt of written notice from FBB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(h) by DXL if there shall have been a breach or failure to perform on the part of FBB in any material respect any of its covenants and agreements set forth in </w:t>
      </w:r>
      <w:r>
        <w:rPr>
          <w:rFonts w:ascii="Times New Roman" w:hAnsi="Times New Roman"/>
          <w:sz w:val="20"/>
          <w:u w:val="single"/>
        </w:rPr>
        <w:t>Section 6.16</w:t>
      </w:r>
      <w:r>
        <w:rPr>
          <w:rFonts w:ascii="Times New Roman" w:hAnsi="Times New Roman"/>
          <w:sz w:val="20"/>
        </w:rPr>
        <w:t xml:space="preserve">(a), </w:t>
      </w:r>
      <w:r>
        <w:rPr>
          <w:rFonts w:ascii="Times New Roman" w:hAnsi="Times New Roman"/>
          <w:sz w:val="20"/>
          <w:u w:val="single"/>
        </w:rPr>
        <w:t>Section 6.16(b)</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6.19</w:t>
      </w:r>
      <w:r>
        <w:rPr>
          <w:rFonts w:ascii="Times New Roman" w:hAnsi="Times New Roman"/>
          <w:sz w:val="20"/>
        </w:rPr>
        <w:t xml:space="preserve">, which breach or failure, either individually or in the aggregate, would result in, if occurring or continuing on the Closing Date, the failure of the condition set forth in </w:t>
      </w:r>
      <w:r>
        <w:rPr>
          <w:rFonts w:ascii="Times New Roman" w:hAnsi="Times New Roman"/>
          <w:sz w:val="20"/>
          <w:u w:val="single"/>
        </w:rPr>
        <w:t>Section 7.01(d)</w:t>
      </w:r>
      <w:r>
        <w:rPr>
          <w:rFonts w:ascii="Times New Roman" w:hAnsi="Times New Roman"/>
          <w:sz w:val="20"/>
        </w:rPr>
        <w:t xml:space="preserve"> , and such breach or failure to perform is incapable of being cured, or is not cured, by FBB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or, if capable of being cured by the End Date (as the End Date may be extended in accordance with </w:t>
      </w:r>
      <w:r>
        <w:rPr>
          <w:rFonts w:ascii="Times New Roman" w:hAnsi="Times New Roman"/>
          <w:sz w:val="20"/>
          <w:u w:val="single"/>
        </w:rPr>
        <w:t>Section 8.01(e)</w:t>
      </w:r>
      <w:r>
        <w:rPr>
          <w:rFonts w:ascii="Times New Roman" w:hAnsi="Times New Roman"/>
          <w:sz w:val="20"/>
        </w:rPr>
        <w:t xml:space="preserve">), FBB shall not have commenced good faith efforts to cure the breach or inaccuracy within ten (10) calendar days following receipt of written notice from DXL and thereafter be continuing such good faith efforts; </w:t>
      </w:r>
    </w:p>
    <w:p>
      <w:pPr>
        <w:pStyle w:val="TextBody"/>
        <w:bidi w:val="0"/>
        <w:spacing w:before="240" w:after="0"/>
        <w:jc w:val="left"/>
        <w:rPr>
          <w:rFonts w:ascii="Times New Roman" w:hAnsi="Times New Roman"/>
          <w:sz w:val="20"/>
        </w:rPr>
      </w:pPr>
      <w:r>
        <w:rPr>
          <w:rFonts w:ascii="Times New Roman" w:hAnsi="Times New Roman"/>
          <w:sz w:val="20"/>
        </w:rPr>
        <w:t xml:space="preserve">(i) by FBB if Nasdaq shall have informed FBB or DXL, whether orally or in writing, that Nasdaq will not list the Merger Consideration upon consummation of the Merger and otherwise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(j) by DXL, at any time prior to the receipt of the Required DXL Stockholder Vote in connection with entering into a DXL Acquisition Agreement in accordance with </w:t>
      </w:r>
      <w:r>
        <w:rPr>
          <w:rFonts w:ascii="Times New Roman" w:hAnsi="Times New Roman"/>
          <w:sz w:val="20"/>
          <w:u w:val="single"/>
        </w:rPr>
        <w:t>Section 5.06(f)</w:t>
      </w:r>
      <w:r>
        <w:rPr>
          <w:rFonts w:ascii="Times New Roman" w:hAnsi="Times New Roman"/>
          <w:sz w:val="20"/>
        </w:rPr>
        <w:t xml:space="preserve">; provided, that DXL concurrently pays FBB the DXL Termination Fee in accordance with </w:t>
      </w:r>
      <w:r>
        <w:rPr>
          <w:rFonts w:ascii="Times New Roman" w:hAnsi="Times New Roman"/>
          <w:sz w:val="20"/>
          <w:u w:val="single"/>
        </w:rPr>
        <w:t>Section 6.07(b)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(k) by FBB, at any time prior to the receipt of the Required DXL Stockholder Vote in the event of a DXL Adverse Recommendation Change. </w:t>
      </w:r>
    </w:p>
    <w:p>
      <w:pPr>
        <w:pStyle w:val="TextBody"/>
        <w:bidi w:val="0"/>
        <w:spacing w:before="240" w:after="0"/>
        <w:jc w:val="left"/>
        <w:rPr>
          <w:rFonts w:ascii="Times New Roman" w:hAnsi="Times New Roman"/>
          <w:sz w:val="20"/>
        </w:rPr>
      </w:pPr>
      <w:bookmarkStart w:id="202" w:name="anxa76201_99"/>
      <w:bookmarkEnd w:id="202"/>
      <w:r>
        <w:rPr>
          <w:rFonts w:ascii="Times New Roman" w:hAnsi="Times New Roman"/>
          <w:b/>
          <w:sz w:val="20"/>
        </w:rPr>
        <w:t xml:space="preserve">SECTION 8.02 </w:t>
      </w:r>
      <w:r>
        <w:rPr>
          <w:rFonts w:ascii="Times New Roman" w:hAnsi="Times New Roman"/>
          <w:b/>
          <w:sz w:val="20"/>
          <w:u w:val="single"/>
        </w:rPr>
        <w:t>Effect of Termination</w:t>
      </w:r>
      <w:r>
        <w:rPr>
          <w:rFonts w:ascii="Times New Roman" w:hAnsi="Times New Roman"/>
          <w:sz w:val="20"/>
        </w:rPr>
        <w:t xml:space="preserve">. In the event of termination of this Agreement by either DXL or FBB in accordance with </w:t>
      </w:r>
      <w:r>
        <w:rPr>
          <w:rFonts w:ascii="Times New Roman" w:hAnsi="Times New Roman"/>
          <w:sz w:val="20"/>
          <w:u w:val="single"/>
        </w:rPr>
        <w:t>Section 8.01</w:t>
      </w:r>
      <w:r>
        <w:rPr>
          <w:rFonts w:ascii="Times New Roman" w:hAnsi="Times New Roman"/>
          <w:sz w:val="20"/>
        </w:rPr>
        <w:t>, this Agreement shall forthwith become void and have no effect, and none of DXL, FBB, any of their respective Subsidiaries or Affiliates or any of the officers or directors of any of the foregoing shall have any liability of any nature whatsoever under this Agreement, or in connection with the Merger and the other Transactions, except that (a) </w:t>
      </w:r>
      <w:r>
        <w:rPr>
          <w:rFonts w:ascii="Times New Roman" w:hAnsi="Times New Roman"/>
          <w:sz w:val="20"/>
          <w:u w:val="single"/>
        </w:rPr>
        <w:t>Section 6.07</w:t>
      </w:r>
      <w:r>
        <w:rPr>
          <w:rFonts w:ascii="Times New Roman" w:hAnsi="Times New Roman"/>
          <w:sz w:val="20"/>
        </w:rPr>
        <w:t xml:space="preserve">,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9.13</w:t>
      </w:r>
      <w:r>
        <w:rPr>
          <w:rFonts w:ascii="Times New Roman" w:hAnsi="Times New Roman"/>
          <w:sz w:val="20"/>
        </w:rPr>
        <w:t xml:space="preserve">) and the last sentence of </w:t>
      </w:r>
      <w:r>
        <w:rPr>
          <w:rFonts w:ascii="Times New Roman" w:hAnsi="Times New Roman"/>
          <w:sz w:val="20"/>
          <w:u w:val="single"/>
        </w:rPr>
        <w:t>Section 6.03</w:t>
      </w:r>
      <w:r>
        <w:rPr>
          <w:rFonts w:ascii="Times New Roman" w:hAnsi="Times New Roman"/>
          <w:sz w:val="20"/>
        </w:rPr>
        <w:t xml:space="preserve">, as well as the Confidentiality Agreement, shall survive any termination of this Agreement and (b) notwithstanding any termination or any contrary provision contained in this Agreement, neither DXL nor FBB shall be relieved or released from liability resulting from the willful and material breach by such party of any of its representations, warranties, covenants or agreements set forth in this Agreement or for fraud. </w:t>
      </w:r>
    </w:p>
    <w:p>
      <w:pPr>
        <w:pStyle w:val="TextBody"/>
        <w:bidi w:val="0"/>
        <w:spacing w:before="240" w:after="0"/>
        <w:jc w:val="left"/>
        <w:rPr>
          <w:rFonts w:ascii="Times New Roman" w:hAnsi="Times New Roman"/>
          <w:sz w:val="20"/>
        </w:rPr>
      </w:pPr>
      <w:bookmarkStart w:id="203" w:name="anxa76201_100"/>
      <w:bookmarkEnd w:id="203"/>
      <w:r>
        <w:rPr>
          <w:rFonts w:ascii="Times New Roman" w:hAnsi="Times New Roman"/>
          <w:b/>
          <w:sz w:val="20"/>
        </w:rPr>
        <w:t xml:space="preserve">SECTION 8.03 </w:t>
      </w:r>
      <w:r>
        <w:rPr>
          <w:rFonts w:ascii="Times New Roman" w:hAnsi="Times New Roman"/>
          <w:b/>
          <w:sz w:val="20"/>
          <w:u w:val="single"/>
        </w:rPr>
        <w:t>Amendment</w:t>
      </w:r>
      <w:r>
        <w:rPr>
          <w:rFonts w:ascii="Times New Roman" w:hAnsi="Times New Roman"/>
          <w:sz w:val="20"/>
        </w:rPr>
        <w:t xml:space="preserve">. Subject to compliance with applicable Law, this Agreement may be amended by DXL, Merger Sub and FBB, by action taken or authorized by their respective boards of directors, at any time before or after the FBB Stockholder Approval or the Required DXL Stockholder Vote; provided that (1) after the FBB Stockholder Approval has been obtained, any amendment of this Agreement that by applicable Law requires the further approval by the stockholders of FBB shall be effective only with the approval of such stockholders and (2) after the Required DXL Stockholder Vote has been obtained, any amendment of this Agreement that by applicable Law requires the further approval by the stockholders of DXL shall be effective only with the approval of such stockholders. This Agreement may not be amended except by an instrument in writing signed on behalf of each of the parties. Notwithstanding anything herein to the contrary, any amendment to this </w:t>
      </w:r>
      <w:r>
        <w:rPr>
          <w:rFonts w:ascii="Times New Roman" w:hAnsi="Times New Roman"/>
          <w:sz w:val="20"/>
          <w:u w:val="single"/>
        </w:rPr>
        <w:t>Section 8.03</w:t>
      </w:r>
      <w:r>
        <w:rPr>
          <w:rFonts w:ascii="Times New Roman" w:hAnsi="Times New Roman"/>
          <w:sz w:val="20"/>
        </w:rPr>
        <w:t xml:space="preserve"> or </w:t>
      </w:r>
      <w:r>
        <w:rPr>
          <w:rFonts w:ascii="Times New Roman" w:hAnsi="Times New Roman"/>
          <w:sz w:val="20"/>
          <w:u w:val="single"/>
        </w:rPr>
        <w:t>Section 9.14</w:t>
      </w:r>
      <w:r>
        <w:rPr>
          <w:rFonts w:ascii="Times New Roman" w:hAnsi="Times New Roman"/>
          <w:sz w:val="20"/>
        </w:rPr>
        <w:t xml:space="preserve"> (and, in each case, the related definitions in this Agreement used therein) that is adverse to any Financing Related Party shall not be made without the prior written consent of the affiliated Financing Source (to the extent there is any). </w:t>
      </w:r>
    </w:p>
    <w:p>
      <w:pPr>
        <w:pStyle w:val="TextBody"/>
        <w:bidi w:val="0"/>
        <w:spacing w:before="240" w:after="0"/>
        <w:jc w:val="left"/>
        <w:rPr>
          <w:rFonts w:ascii="Times New Roman" w:hAnsi="Times New Roman"/>
          <w:sz w:val="20"/>
        </w:rPr>
      </w:pPr>
      <w:bookmarkStart w:id="204" w:name="anxa76201_101"/>
      <w:bookmarkEnd w:id="204"/>
      <w:r>
        <w:rPr>
          <w:rFonts w:ascii="Times New Roman" w:hAnsi="Times New Roman"/>
          <w:b/>
          <w:sz w:val="20"/>
        </w:rPr>
        <w:t xml:space="preserve">SECTION 8.04 </w:t>
      </w:r>
      <w:r>
        <w:rPr>
          <w:rFonts w:ascii="Times New Roman" w:hAnsi="Times New Roman"/>
          <w:b/>
          <w:sz w:val="20"/>
          <w:u w:val="single"/>
        </w:rPr>
        <w:t>Extension; Waiver</w:t>
      </w:r>
      <w:r>
        <w:rPr>
          <w:rFonts w:ascii="Times New Roman" w:hAnsi="Times New Roman"/>
          <w:sz w:val="20"/>
        </w:rPr>
        <w:t xml:space="preserve">. At any time prior to the Effective Time, DXL (on behalf of itself and Merger Sub) and FBB may, to the extent legally allowed, (a) extend the time for the performance of any of the obligations or other acts of DXL or Merger Sub, in the case of FBB, or FBB, in the case of DXL, (b) waive any inaccuracies in the representations and warranties of DXL or Merger Sub, in the case of FBB, or FBB, in the case of DXL, contained in this Agreement, and (c) waive compliance by DXL or Merger Sub, in the case of FBB, or FBB, in the case of DXL, with any of the agreements or conditions contained in this Agreement. Any agreement on the part of a party to any such extension or waiver will be valid only if set forth in a written instrument signed by an authorized officer on behalf of such party,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5" w:name="anxa76201_102"/>
      <w:bookmarkEnd w:id="205"/>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bookmarkStart w:id="206" w:name="anxa76201_103"/>
      <w:bookmarkEnd w:id="206"/>
      <w:r>
        <w:rPr>
          <w:rFonts w:ascii="Times New Roman" w:hAnsi="Times New Roman"/>
          <w:b/>
          <w:sz w:val="20"/>
        </w:rPr>
        <w:t xml:space="preserve">SECTION 9.01 </w:t>
      </w:r>
      <w:r>
        <w:rPr>
          <w:rFonts w:ascii="Times New Roman" w:hAnsi="Times New Roman"/>
          <w:b/>
          <w:sz w:val="20"/>
          <w:u w:val="single"/>
        </w:rPr>
        <w:t>Non-survival of Representations and Warranties</w:t>
      </w:r>
      <w:r>
        <w:rPr>
          <w:rFonts w:ascii="Times New Roman" w:hAnsi="Times New Roman"/>
          <w:sz w:val="20"/>
        </w:rPr>
        <w:t xml:space="preserve">. None of the representations, warranties, covenants and agreements in this Agreement or in any instrument delivered pursuant to this Agreement shall survive the Effective Time; provided that this </w:t>
      </w:r>
      <w:r>
        <w:rPr>
          <w:rFonts w:ascii="Times New Roman" w:hAnsi="Times New Roman"/>
          <w:sz w:val="20"/>
          <w:u w:val="single"/>
        </w:rPr>
        <w:t>Section 9.01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bookmarkStart w:id="207" w:name="anxa76201_104"/>
      <w:bookmarkEnd w:id="207"/>
      <w:r>
        <w:rPr>
          <w:rFonts w:ascii="Times New Roman" w:hAnsi="Times New Roman"/>
          <w:b/>
          <w:sz w:val="20"/>
        </w:rPr>
        <w:t xml:space="preserve">SECTION 9.02 </w:t>
      </w:r>
      <w:r>
        <w:rPr>
          <w:rFonts w:ascii="Times New Roman" w:hAnsi="Times New Roman"/>
          <w:b/>
          <w:sz w:val="20"/>
          <w:u w:val="single"/>
        </w:rPr>
        <w:t>Notices</w:t>
      </w:r>
      <w:r>
        <w:rPr>
          <w:rFonts w:ascii="Times New Roman" w:hAnsi="Times New Roman"/>
          <w:sz w:val="20"/>
        </w:rPr>
        <w:t xml:space="preserve">. To be effective under this Agreement, all notices, requests, claims, demands and other communications under this Agreement shall be sent by facsimile transmission or email of a .pdf (or similar) attachment (providing confirmation of transmission), by reliable overnight delivery service (with proof of service) or by hand delivery, and shall be deemed given upon receipt by the parties at the following addresses (or at such other address for a party as shall be specified by like notice); provided, however, that any notice received by facsimile or email transmission or otherwise at the addressee’s location on any Business Day after 6:00 p.m. (addressee’s local time) shall be deemed to have been received at 9:00 a.m. (addressee’s local time) on the next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508"/>
        <w:gridCol w:w="8575"/>
      </w:tblGrid>
      <w:tr>
        <w:trPr/>
        <w:tc>
          <w:tcPr>
            <w:tcW w:w="112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DXL or Merger Sub,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0" w:after="0"/>
        <w:jc w:val="left"/>
        <w:rPr>
          <w:rFonts w:ascii="Times New Roman" w:hAnsi="Times New Roman"/>
          <w:sz w:val="20"/>
        </w:rPr>
      </w:pPr>
      <w:r>
        <w:rPr>
          <w:rFonts w:ascii="Times New Roman" w:hAnsi="Times New Roman"/>
          <w:sz w:val="20"/>
        </w:rPr>
        <w:t xml:space="preserve">Attn: Harvey S. Kanter </w:t>
      </w:r>
    </w:p>
    <w:p>
      <w:pPr>
        <w:pStyle w:val="TextBody"/>
        <w:bidi w:val="0"/>
        <w:spacing w:before="0" w:after="0"/>
        <w:jc w:val="left"/>
        <w:rPr>
          <w:rFonts w:ascii="Times New Roman" w:hAnsi="Times New Roman"/>
          <w:sz w:val="20"/>
        </w:rPr>
      </w:pPr>
      <w:r>
        <w:rPr>
          <w:rFonts w:ascii="Times New Roman" w:hAnsi="Times New Roman"/>
          <w:sz w:val="20"/>
        </w:rPr>
        <w:t xml:space="preserve">Email: hkanter@dxlg.com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2375 E. Camelback Rd., Suite 800 </w:t>
      </w:r>
    </w:p>
    <w:p>
      <w:pPr>
        <w:pStyle w:val="TextBody"/>
        <w:bidi w:val="0"/>
        <w:spacing w:before="0" w:after="0"/>
        <w:jc w:val="left"/>
        <w:rPr>
          <w:rFonts w:ascii="Times New Roman" w:hAnsi="Times New Roman"/>
          <w:sz w:val="20"/>
        </w:rPr>
      </w:pPr>
      <w:r>
        <w:rPr>
          <w:rFonts w:ascii="Times New Roman" w:hAnsi="Times New Roman"/>
          <w:sz w:val="20"/>
        </w:rPr>
        <w:t xml:space="preserve">Phoenix, AZ 85016 </w:t>
      </w:r>
    </w:p>
    <w:p>
      <w:pPr>
        <w:pStyle w:val="TextBody"/>
        <w:bidi w:val="0"/>
        <w:spacing w:before="0" w:after="0"/>
        <w:jc w:val="left"/>
        <w:rPr>
          <w:rFonts w:ascii="Times New Roman" w:hAnsi="Times New Roman"/>
          <w:sz w:val="20"/>
        </w:rPr>
      </w:pPr>
      <w:r>
        <w:rPr>
          <w:rFonts w:ascii="Times New Roman" w:hAnsi="Times New Roman"/>
          <w:sz w:val="20"/>
        </w:rPr>
        <w:t xml:space="preserve">Attention: Brian H. Blaney </w:t>
      </w:r>
    </w:p>
    <w:p>
      <w:pPr>
        <w:pStyle w:val="TextBody"/>
        <w:bidi w:val="0"/>
        <w:spacing w:before="0" w:after="0"/>
        <w:jc w:val="left"/>
        <w:rPr>
          <w:rFonts w:ascii="Times New Roman" w:hAnsi="Times New Roman"/>
          <w:sz w:val="20"/>
        </w:rPr>
      </w:pPr>
      <w:r>
        <w:rPr>
          <w:rFonts w:ascii="Times New Roman" w:hAnsi="Times New Roman"/>
          <w:sz w:val="20"/>
        </w:rPr>
        <w:t xml:space="preserve">E-mail: blaneyb@gtlaw.com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510"/>
        <w:gridCol w:w="8574"/>
      </w:tblGrid>
      <w:tr>
        <w:trPr/>
        <w:tc>
          <w:tcPr>
            <w:tcW w:w="1121"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FBB,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FBB Holdings I, Inc. </w:t>
      </w:r>
    </w:p>
    <w:p>
      <w:pPr>
        <w:pStyle w:val="TextBody"/>
        <w:bidi w:val="0"/>
        <w:spacing w:before="0" w:after="0"/>
        <w:jc w:val="left"/>
        <w:rPr>
          <w:rFonts w:ascii="Times New Roman" w:hAnsi="Times New Roman"/>
          <w:sz w:val="20"/>
        </w:rPr>
      </w:pPr>
      <w:r>
        <w:rPr>
          <w:rFonts w:ascii="Times New Roman" w:hAnsi="Times New Roman"/>
          <w:sz w:val="20"/>
        </w:rPr>
        <w:t xml:space="preserve">One New York Plaza </w:t>
      </w:r>
    </w:p>
    <w:p>
      <w:pPr>
        <w:pStyle w:val="TextBody"/>
        <w:bidi w:val="0"/>
        <w:spacing w:before="0" w:after="0"/>
        <w:jc w:val="left"/>
        <w:rPr>
          <w:rFonts w:ascii="Times New Roman" w:hAnsi="Times New Roman"/>
          <w:sz w:val="20"/>
        </w:rPr>
      </w:pPr>
      <w:r>
        <w:rPr>
          <w:rFonts w:ascii="Times New Roman" w:hAnsi="Times New Roman"/>
          <w:sz w:val="20"/>
        </w:rPr>
        <w:t xml:space="preserve">Attn: Jim Fogarty (CEO);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jfogarty@fbbrands.com; generalcounsel@fbbrands.com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One Liberty Plaza </w:t>
      </w:r>
    </w:p>
    <w:p>
      <w:pPr>
        <w:pStyle w:val="TextBody"/>
        <w:bidi w:val="0"/>
        <w:spacing w:before="0" w:after="0"/>
        <w:jc w:val="left"/>
        <w:rPr>
          <w:rFonts w:ascii="Times New Roman" w:hAnsi="Times New Roman"/>
          <w:sz w:val="20"/>
        </w:rPr>
      </w:pPr>
      <w:r>
        <w:rPr>
          <w:rFonts w:ascii="Times New Roman" w:hAnsi="Times New Roman"/>
          <w:sz w:val="20"/>
        </w:rPr>
        <w:t xml:space="preserve">New York, NY 10006 </w:t>
      </w:r>
    </w:p>
    <w:p>
      <w:pPr>
        <w:pStyle w:val="TextBody"/>
        <w:bidi w:val="0"/>
        <w:spacing w:before="0" w:after="0"/>
        <w:jc w:val="left"/>
        <w:rPr>
          <w:rFonts w:ascii="Times New Roman" w:hAnsi="Times New Roman"/>
          <w:sz w:val="20"/>
        </w:rPr>
      </w:pPr>
      <w:r>
        <w:rPr>
          <w:rFonts w:ascii="Times New Roman" w:hAnsi="Times New Roman"/>
          <w:sz w:val="20"/>
        </w:rPr>
        <w:t xml:space="preserve">Attn: Paul J. Shim </w:t>
      </w:r>
    </w:p>
    <w:p>
      <w:pPr>
        <w:pStyle w:val="TextBody"/>
        <w:bidi w:val="0"/>
        <w:spacing w:before="0" w:after="0"/>
        <w:jc w:val="left"/>
        <w:rPr>
          <w:rFonts w:ascii="Times New Roman" w:hAnsi="Times New Roman"/>
          <w:sz w:val="20"/>
        </w:rPr>
      </w:pPr>
      <w:r>
        <w:rPr>
          <w:rFonts w:ascii="Times New Roman" w:hAnsi="Times New Roman"/>
          <w:sz w:val="20"/>
        </w:rPr>
        <w:t xml:space="preserve">E-mail: pshim@cgsh.com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w:t>
      </w:r>
    </w:p>
    <w:p>
      <w:pPr>
        <w:pStyle w:val="TextBody"/>
        <w:bidi w:val="0"/>
        <w:spacing w:before="0" w:after="0"/>
        <w:jc w:val="left"/>
        <w:rPr>
          <w:rFonts w:ascii="Times New Roman" w:hAnsi="Times New Roman"/>
          <w:sz w:val="20"/>
        </w:rPr>
      </w:pPr>
      <w:r>
        <w:rPr>
          <w:rFonts w:ascii="Times New Roman" w:hAnsi="Times New Roman"/>
          <w:sz w:val="20"/>
        </w:rPr>
        <w:t xml:space="preserve">650 California St, Suite 2400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94108 </w:t>
      </w:r>
    </w:p>
    <w:p>
      <w:pPr>
        <w:pStyle w:val="TextBody"/>
        <w:bidi w:val="0"/>
        <w:spacing w:before="0" w:after="0"/>
        <w:jc w:val="left"/>
        <w:rPr>
          <w:rFonts w:ascii="Times New Roman" w:hAnsi="Times New Roman"/>
          <w:sz w:val="20"/>
        </w:rPr>
      </w:pPr>
      <w:r>
        <w:rPr>
          <w:rFonts w:ascii="Times New Roman" w:hAnsi="Times New Roman"/>
          <w:sz w:val="20"/>
        </w:rPr>
        <w:t xml:space="preserve">Attn: Benet J. O’Reilly </w:t>
      </w:r>
    </w:p>
    <w:p>
      <w:pPr>
        <w:pStyle w:val="TextBody"/>
        <w:bidi w:val="0"/>
        <w:spacing w:before="0" w:after="0"/>
        <w:jc w:val="left"/>
        <w:rPr>
          <w:rFonts w:ascii="Times New Roman" w:hAnsi="Times New Roman"/>
          <w:sz w:val="20"/>
        </w:rPr>
      </w:pPr>
      <w:r>
        <w:rPr>
          <w:rFonts w:ascii="Times New Roman" w:hAnsi="Times New Roman"/>
          <w:sz w:val="20"/>
        </w:rPr>
        <w:t xml:space="preserve">E-mail: boreilly@cgsh.com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08" w:name="anxa76201_105"/>
      <w:bookmarkEnd w:id="208"/>
      <w:r>
        <w:rPr>
          <w:rFonts w:ascii="Times New Roman" w:hAnsi="Times New Roman"/>
          <w:b/>
          <w:sz w:val="20"/>
        </w:rPr>
        <w:t xml:space="preserve">SECTION 9.03 </w:t>
      </w:r>
      <w:r>
        <w:rPr>
          <w:rFonts w:ascii="Times New Roman" w:hAnsi="Times New Roman"/>
          <w:b/>
          <w:sz w:val="20"/>
          <w:u w:val="single"/>
        </w:rPr>
        <w:t>Definitions</w:t>
      </w:r>
      <w:r>
        <w:rPr>
          <w:rFonts w:ascii="Times New Roman" w:hAnsi="Times New Roman"/>
          <w:sz w:val="20"/>
        </w:rPr>
        <w:t xml:space="preserve">. As used in this Agreement, the following terms shall have the respective meanings set forth below: </w:t>
      </w:r>
    </w:p>
    <w:p>
      <w:pPr>
        <w:pStyle w:val="TextBody"/>
        <w:bidi w:val="0"/>
        <w:spacing w:before="240" w:after="0"/>
        <w:jc w:val="left"/>
        <w:rPr/>
      </w:pPr>
      <w:r>
        <w:rPr/>
        <w:t>“</w:t>
      </w:r>
      <w:r>
        <w:rPr>
          <w:rFonts w:ascii="Times New Roman" w:hAnsi="Times New Roman"/>
          <w:sz w:val="20"/>
          <w:u w:val="single"/>
        </w:rPr>
        <w:t>A&amp;R Term Loan Facility</w:t>
      </w:r>
      <w:r>
        <w:rPr>
          <w:rFonts w:ascii="Times New Roman" w:hAnsi="Times New Roman"/>
          <w:sz w:val="20"/>
        </w:rPr>
        <w:t xml:space="preserve">” means that certain First Lien Term Loan Credit Agreement, dated as of August 2, 2022, among the FBB Holdings III, Inc., as borrower, FBB Holdings II, Inc., as holdings, the lenders from time to time party thereto and CB Corporate Finance, LLC as administrative agent (the “Existing Term Loan Facility”); as amended and restated pursuant to the A&amp;R Term Loan Amendment, as in effect immediately following the Closing. </w:t>
      </w:r>
    </w:p>
    <w:p>
      <w:pPr>
        <w:pStyle w:val="TextBody"/>
        <w:bidi w:val="0"/>
        <w:spacing w:before="24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with respect to </w:t>
      </w:r>
      <w:r>
        <w:rPr>
          <w:rFonts w:ascii="Times New Roman" w:hAnsi="Times New Roman"/>
          <w:sz w:val="20"/>
          <w:u w:val="single"/>
        </w:rPr>
        <w:t>Section 5.06</w:t>
      </w:r>
      <w:r>
        <w:rPr>
          <w:rFonts w:ascii="Times New Roman" w:hAnsi="Times New Roman"/>
          <w:sz w:val="20"/>
        </w:rPr>
        <w:t xml:space="preserve"> a confidentiality agreement determined by the DXL Board in good faith to provide for terms substantially no less restrictive to DXL’s counterparty thereto than those contained in the Confidentiality Agreement that are applicable to FBB (it being understood that such confidentiality agreement need not include any “standstill” or similar provision). </w:t>
      </w:r>
    </w:p>
    <w:p>
      <w:pPr>
        <w:pStyle w:val="TextBody"/>
        <w:bidi w:val="0"/>
        <w:spacing w:before="240" w:after="0"/>
        <w:jc w:val="left"/>
        <w:rPr/>
      </w:pPr>
      <w:r>
        <w:rPr/>
        <w:t>“</w:t>
      </w:r>
      <w:r>
        <w:rPr>
          <w:rFonts w:ascii="Times New Roman" w:hAnsi="Times New Roman"/>
          <w:sz w:val="20"/>
          <w:u w:val="single"/>
        </w:rPr>
        <w:t>Accredited Investor</w:t>
      </w:r>
      <w:r>
        <w:rPr>
          <w:rFonts w:ascii="Times New Roman" w:hAnsi="Times New Roman"/>
          <w:sz w:val="20"/>
        </w:rPr>
        <w:t xml:space="preserve">” means a Person that FBB reasonably believes is an “accredited investor” as that term is defined in Rule 501 of Regulation D of the Securities Act.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is controlled by, or is under common control with, such Person. For the purpose of this definition, “control” (including with correlative meanings, “controlled by” and “under common control with”), when used with respect to any specified Person means the possession, directly or indirectly, of the power to direct or cause the direction of the management and policies of such Person, whether through the ownership of voting securities, by Contract or otherwise.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a Saturday or a Sunday or (b) a day on which banking and savings and loan institutions are authorized or required by Law to be closed in New York, New York. </w:t>
      </w:r>
    </w:p>
    <w:p>
      <w:pPr>
        <w:pStyle w:val="TextBody"/>
        <w:bidi w:val="0"/>
        <w:spacing w:before="240" w:after="0"/>
        <w:jc w:val="left"/>
        <w:rPr/>
      </w:pPr>
      <w:r>
        <w:rPr/>
        <w:t>“</w:t>
      </w:r>
      <w:r>
        <w:rPr>
          <w:rFonts w:ascii="Times New Roman" w:hAnsi="Times New Roman"/>
          <w:sz w:val="20"/>
          <w:u w:val="single"/>
        </w:rPr>
        <w:t>Charter Documents</w:t>
      </w:r>
      <w:r>
        <w:rPr>
          <w:rFonts w:ascii="Times New Roman" w:hAnsi="Times New Roman"/>
          <w:sz w:val="20"/>
        </w:rPr>
        <w:t xml:space="preserve">”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Commitment and Subscription Agreement</w:t>
      </w:r>
      <w:r>
        <w:rPr>
          <w:rFonts w:ascii="Times New Roman" w:hAnsi="Times New Roman"/>
          <w:sz w:val="20"/>
        </w:rPr>
        <w:t xml:space="preserve">” means a Contract executed by an FBB Investor in connection with the Pre-Closing Investment.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binding commitment, note, bond, mortgage, indenture, lease, license, sublicense, franchise or other legally binding instrument, obligation or arrangement, whether oral or in writing. </w:t>
      </w:r>
    </w:p>
    <w:p>
      <w:pPr>
        <w:pStyle w:val="TextBody"/>
        <w:bidi w:val="0"/>
        <w:spacing w:before="240" w:after="0"/>
        <w:jc w:val="left"/>
        <w:rPr/>
      </w:pPr>
      <w:r>
        <w:rPr/>
        <w:t>“</w:t>
      </w:r>
      <w:r>
        <w:rPr>
          <w:rFonts w:ascii="Times New Roman" w:hAnsi="Times New Roman"/>
          <w:sz w:val="20"/>
          <w:u w:val="single"/>
        </w:rPr>
        <w:t>Debt Documents</w:t>
      </w:r>
      <w:r>
        <w:rPr>
          <w:rFonts w:ascii="Times New Roman" w:hAnsi="Times New Roman"/>
          <w:sz w:val="20"/>
        </w:rPr>
        <w:t xml:space="preserve">” means any definitive agreement with respect to the Debt Financing.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any agent, arranger, lender or other entity that has committed to provide, arrange, underwrite or place, or has entered into definitive agreements related to, the Debt Financing, and the parties to any joinder agreements, amendments or credit agreements entered into pursuant thereto or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DXL Bylaws</w:t>
      </w:r>
      <w:r>
        <w:rPr>
          <w:rFonts w:ascii="Times New Roman" w:hAnsi="Times New Roman"/>
          <w:sz w:val="20"/>
        </w:rPr>
        <w:t xml:space="preserve">” means the Fourth Amended and Restated Bylaws of DXL, as amended and in effect as of the date hereof. </w:t>
      </w:r>
    </w:p>
    <w:p>
      <w:pPr>
        <w:pStyle w:val="TextBody"/>
        <w:bidi w:val="0"/>
        <w:spacing w:before="240" w:after="0"/>
        <w:jc w:val="left"/>
        <w:rPr/>
      </w:pPr>
      <w:r>
        <w:rPr/>
        <w:t>“</w:t>
      </w:r>
      <w:r>
        <w:rPr>
          <w:rFonts w:ascii="Times New Roman" w:hAnsi="Times New Roman"/>
          <w:sz w:val="20"/>
          <w:u w:val="single"/>
        </w:rPr>
        <w:t>DXL CapEx Budget</w:t>
      </w:r>
      <w:r>
        <w:rPr>
          <w:rFonts w:ascii="Times New Roman" w:hAnsi="Times New Roman"/>
          <w:sz w:val="20"/>
        </w:rPr>
        <w:t xml:space="preserve">” means that certain capital expenditures budget of DXL and its Subsidiaries set forth in </w:t>
      </w:r>
      <w:r>
        <w:rPr>
          <w:rFonts w:ascii="Times New Roman" w:hAnsi="Times New Roman"/>
          <w:sz w:val="20"/>
          <w:u w:val="single"/>
        </w:rPr>
        <w:t>Section 5.02(i)</w:t>
      </w:r>
      <w:r>
        <w:rPr>
          <w:rFonts w:ascii="Times New Roman" w:hAnsi="Times New Roman"/>
          <w:sz w:val="20"/>
        </w:rPr>
        <w:t xml:space="preserve"> of the DXL Disclosure Schedule. </w:t>
      </w:r>
    </w:p>
    <w:p>
      <w:pPr>
        <w:pStyle w:val="TextBody"/>
        <w:bidi w:val="0"/>
        <w:spacing w:before="240" w:after="0"/>
        <w:jc w:val="left"/>
        <w:rPr/>
      </w:pPr>
      <w:r>
        <w:rPr/>
        <w:t>“</w:t>
      </w:r>
      <w:r>
        <w:rPr>
          <w:rFonts w:ascii="Times New Roman" w:hAnsi="Times New Roman"/>
          <w:sz w:val="20"/>
          <w:u w:val="single"/>
        </w:rPr>
        <w:t>DXL Charter</w:t>
      </w:r>
      <w:r>
        <w:rPr>
          <w:rFonts w:ascii="Times New Roman" w:hAnsi="Times New Roman"/>
          <w:sz w:val="20"/>
        </w:rPr>
        <w:t xml:space="preserve">” means the Restated Certificate of Incorporation of DXL, as amended and in effect as of the date hereof. </w:t>
      </w:r>
    </w:p>
    <w:p>
      <w:pPr>
        <w:pStyle w:val="TextBody"/>
        <w:bidi w:val="0"/>
        <w:spacing w:before="240" w:after="0"/>
        <w:jc w:val="left"/>
        <w:rPr/>
      </w:pPr>
      <w:r>
        <w:rPr/>
        <w:t>“</w:t>
      </w:r>
      <w:r>
        <w:rPr>
          <w:rFonts w:ascii="Times New Roman" w:hAnsi="Times New Roman"/>
          <w:sz w:val="20"/>
          <w:u w:val="single"/>
        </w:rPr>
        <w:t>DXL Common Stock</w:t>
      </w:r>
      <w:r>
        <w:rPr>
          <w:rFonts w:ascii="Times New Roman" w:hAnsi="Times New Roman"/>
          <w:sz w:val="20"/>
        </w:rPr>
        <w:t xml:space="preserve">” means the common stock of DXL, par value $0.01 per share. </w:t>
      </w:r>
    </w:p>
    <w:p>
      <w:pPr>
        <w:pStyle w:val="TextBody"/>
        <w:bidi w:val="0"/>
        <w:spacing w:before="240" w:after="0"/>
        <w:jc w:val="left"/>
        <w:rPr/>
      </w:pPr>
      <w:r>
        <w:rPr/>
        <w:t>“</w:t>
      </w:r>
      <w:r>
        <w:rPr>
          <w:rFonts w:ascii="Times New Roman" w:hAnsi="Times New Roman"/>
          <w:sz w:val="20"/>
          <w:u w:val="single"/>
        </w:rPr>
        <w:t>DXL Deferred Stock Award</w:t>
      </w:r>
      <w:r>
        <w:rPr>
          <w:rFonts w:ascii="Times New Roman" w:hAnsi="Times New Roman"/>
          <w:sz w:val="20"/>
        </w:rPr>
        <w:t xml:space="preserve">” means each award of deferred DXL Common Stock granted to non-employee directors under the DXL Equity Plans. </w:t>
      </w:r>
    </w:p>
    <w:p>
      <w:pPr>
        <w:pStyle w:val="TextBody"/>
        <w:bidi w:val="0"/>
        <w:spacing w:before="240" w:after="0"/>
        <w:jc w:val="left"/>
        <w:rPr/>
      </w:pPr>
      <w:r>
        <w:rPr/>
        <w:t>“</w:t>
      </w:r>
      <w:r>
        <w:rPr>
          <w:rFonts w:ascii="Times New Roman" w:hAnsi="Times New Roman"/>
          <w:sz w:val="20"/>
          <w:u w:val="single"/>
        </w:rPr>
        <w:t>DXL Disclosure Schedule</w:t>
      </w:r>
      <w:r>
        <w:rPr>
          <w:rFonts w:ascii="Times New Roman" w:hAnsi="Times New Roman"/>
          <w:sz w:val="20"/>
        </w:rPr>
        <w:t xml:space="preserve">” means the disclosure schedule delivered by DXL and Merger Sub to FBB in connection with the execution of this Agreement. </w:t>
      </w:r>
    </w:p>
    <w:p>
      <w:pPr>
        <w:pStyle w:val="TextBody"/>
        <w:bidi w:val="0"/>
        <w:spacing w:before="240" w:after="0"/>
        <w:jc w:val="left"/>
        <w:rPr/>
      </w:pPr>
      <w:r>
        <w:rPr/>
        <w:t>“</w:t>
      </w:r>
      <w:r>
        <w:rPr>
          <w:rFonts w:ascii="Times New Roman" w:hAnsi="Times New Roman"/>
          <w:sz w:val="20"/>
          <w:u w:val="single"/>
        </w:rPr>
        <w:t>DXL Equity Plans</w:t>
      </w:r>
      <w:r>
        <w:rPr>
          <w:rFonts w:ascii="Times New Roman" w:hAnsi="Times New Roman"/>
          <w:sz w:val="20"/>
        </w:rPr>
        <w:t xml:space="preserve">” means (i) the 2006 Incentive Compensation Plan, as amended and/or restated from time to time, and any successor plan thereto, (ii) the Second Amended and Restated 2016 Incentive Compensation Plan, as amended and/or restated from time to time, and any successor plan thereto, (iii) the Fourth Amended and Restated Long Term Incentive Plan, and (iv) the Seventh Amended and Restated Non-Employee Director Compensation Plan, as amended and/or restated from time to time, and any successor plan thereto. </w:t>
      </w:r>
    </w:p>
    <w:p>
      <w:pPr>
        <w:pStyle w:val="TextBody"/>
        <w:bidi w:val="0"/>
        <w:spacing w:before="240" w:after="0"/>
        <w:jc w:val="left"/>
        <w:rPr/>
      </w:pPr>
      <w:r>
        <w:rPr/>
        <w:t>“</w:t>
      </w:r>
      <w:r>
        <w:rPr>
          <w:rFonts w:ascii="Times New Roman" w:hAnsi="Times New Roman"/>
          <w:sz w:val="20"/>
          <w:u w:val="single"/>
        </w:rPr>
        <w:t>DXL ERISA Affiliate</w:t>
      </w:r>
      <w:r>
        <w:rPr>
          <w:rFonts w:ascii="Times New Roman" w:hAnsi="Times New Roman"/>
          <w:sz w:val="20"/>
        </w:rPr>
        <w:t xml:space="preserve">” means all employers (whether or not incorporated) that would be treated together with DXL or any of its Subsidiaries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DXL IP Rights</w:t>
      </w:r>
      <w:r>
        <w:rPr>
          <w:rFonts w:ascii="Times New Roman" w:hAnsi="Times New Roman"/>
          <w:sz w:val="20"/>
        </w:rPr>
        <w:t xml:space="preserve">” means all Intellectual Property Rights owned or purported to be owned by DXL or any of the DXL Subsidiaries. </w:t>
      </w:r>
    </w:p>
    <w:p>
      <w:pPr>
        <w:pStyle w:val="TextBody"/>
        <w:bidi w:val="0"/>
        <w:spacing w:before="240" w:after="0"/>
        <w:jc w:val="left"/>
        <w:rPr/>
      </w:pPr>
      <w:r>
        <w:rPr/>
        <w:t>“</w:t>
      </w:r>
      <w:r>
        <w:rPr>
          <w:rFonts w:ascii="Times New Roman" w:hAnsi="Times New Roman"/>
          <w:sz w:val="20"/>
          <w:u w:val="single"/>
        </w:rPr>
        <w:t>DXL Option</w:t>
      </w:r>
      <w:r>
        <w:rPr>
          <w:rFonts w:ascii="Times New Roman" w:hAnsi="Times New Roman"/>
          <w:sz w:val="20"/>
        </w:rPr>
        <w:t xml:space="preserve">” means each option to purchase shares of DXL Common Stock granted under the DXL Equity Plans. </w:t>
      </w:r>
    </w:p>
    <w:p>
      <w:pPr>
        <w:pStyle w:val="TextBody"/>
        <w:bidi w:val="0"/>
        <w:spacing w:before="240" w:after="0"/>
        <w:jc w:val="left"/>
        <w:rPr/>
      </w:pPr>
      <w:r>
        <w:rPr/>
        <w:t>“</w:t>
      </w:r>
      <w:r>
        <w:rPr>
          <w:rFonts w:ascii="Times New Roman" w:hAnsi="Times New Roman"/>
          <w:sz w:val="20"/>
          <w:u w:val="single"/>
        </w:rPr>
        <w:t>DXL Performance Share Award</w:t>
      </w:r>
      <w:r>
        <w:rPr>
          <w:rFonts w:ascii="Times New Roman" w:hAnsi="Times New Roman"/>
          <w:sz w:val="20"/>
        </w:rPr>
        <w:t xml:space="preserve">” means each performance share award with respect to shares of DXL Common Stock granted under the DXL Equity Plans. </w:t>
      </w:r>
    </w:p>
    <w:p>
      <w:pPr>
        <w:pStyle w:val="TextBody"/>
        <w:bidi w:val="0"/>
        <w:spacing w:before="240" w:after="0"/>
        <w:jc w:val="left"/>
        <w:rPr/>
      </w:pPr>
      <w:r>
        <w:rPr/>
        <w:t>“</w:t>
      </w:r>
      <w:r>
        <w:rPr>
          <w:rFonts w:ascii="Times New Roman" w:hAnsi="Times New Roman"/>
          <w:sz w:val="20"/>
          <w:u w:val="single"/>
        </w:rPr>
        <w:t>DXL Preferred Stock</w:t>
      </w:r>
      <w:r>
        <w:rPr>
          <w:rFonts w:ascii="Times New Roman" w:hAnsi="Times New Roman"/>
          <w:sz w:val="20"/>
        </w:rPr>
        <w:t xml:space="preserve">” means the preferred stock of DXL, par value $0.01 per share. </w:t>
      </w:r>
    </w:p>
    <w:p>
      <w:pPr>
        <w:pStyle w:val="TextBody"/>
        <w:bidi w:val="0"/>
        <w:spacing w:before="240" w:after="0"/>
        <w:jc w:val="left"/>
        <w:rPr/>
      </w:pPr>
      <w:r>
        <w:rPr/>
        <w:t>“</w:t>
      </w:r>
      <w:r>
        <w:rPr>
          <w:rFonts w:ascii="Times New Roman" w:hAnsi="Times New Roman"/>
          <w:sz w:val="20"/>
          <w:u w:val="single"/>
        </w:rPr>
        <w:t>DXL Restricted Employee</w:t>
      </w:r>
      <w:r>
        <w:rPr>
          <w:rFonts w:ascii="Times New Roman" w:hAnsi="Times New Roman"/>
          <w:sz w:val="20"/>
        </w:rPr>
        <w:t xml:space="preserve">” means any employee of DXL whose annual base compensation is excess of $300,000, that is an “officer” as defined under Section 16(a) of the Exchange Act, or any other employee of DXL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DXL Restricted Stock Unit Award</w:t>
      </w:r>
      <w:r>
        <w:rPr>
          <w:rFonts w:ascii="Times New Roman" w:hAnsi="Times New Roman"/>
          <w:sz w:val="20"/>
        </w:rPr>
        <w:t xml:space="preserve"> “ means each time-vesting restricted stock unit award in respect of DXL Common Stock granted under the DXL Equity Plans. </w:t>
      </w:r>
    </w:p>
    <w:p>
      <w:pPr>
        <w:pStyle w:val="TextBody"/>
        <w:bidi w:val="0"/>
        <w:spacing w:before="240" w:after="0"/>
        <w:jc w:val="left"/>
        <w:rPr/>
      </w:pPr>
      <w:r>
        <w:rPr/>
        <w:t>“</w:t>
      </w:r>
      <w:r>
        <w:rPr>
          <w:rFonts w:ascii="Times New Roman" w:hAnsi="Times New Roman"/>
          <w:sz w:val="20"/>
          <w:u w:val="single"/>
        </w:rPr>
        <w:t>DXL Stock Price</w:t>
      </w:r>
      <w:r>
        <w:rPr>
          <w:rFonts w:ascii="Times New Roman" w:hAnsi="Times New Roman"/>
          <w:sz w:val="20"/>
        </w:rPr>
        <w:t xml:space="preserve">” means the dollar value of the average of the daily volume-weighted average sales price per share of DXL Common Stock, as such daily volume-weighted average sales price per share is reported by Bloomberg L.P., calculated to four decimal places and determined without regard to after-hours trading or any other trading outside the regular trading session trading hours, for each of the ten (10) consecutive trading days immediately preceding the trading day two (2) days prior to the Closing Date. </w:t>
      </w:r>
    </w:p>
    <w:p>
      <w:pPr>
        <w:pStyle w:val="TextBody"/>
        <w:bidi w:val="0"/>
        <w:spacing w:before="240" w:after="0"/>
        <w:jc w:val="left"/>
        <w:rPr/>
      </w:pPr>
      <w:r>
        <w:rPr/>
        <w:t>“</w:t>
      </w:r>
      <w:r>
        <w:rPr>
          <w:rFonts w:ascii="Times New Roman" w:hAnsi="Times New Roman"/>
          <w:sz w:val="20"/>
          <w:u w:val="single"/>
        </w:rPr>
        <w:t>DXL Top Supplier</w:t>
      </w:r>
      <w:r>
        <w:rPr>
          <w:rFonts w:ascii="Times New Roman" w:hAnsi="Times New Roman"/>
          <w:sz w:val="20"/>
        </w:rPr>
        <w:t xml:space="preserve">” shall mean a top twenty vendor or supplier of DXL and its Subsidiaries, taken as a whole, based on expenditures during the twelve months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Equity Documents</w:t>
      </w:r>
      <w:r>
        <w:rPr>
          <w:rFonts w:ascii="Times New Roman" w:hAnsi="Times New Roman"/>
          <w:sz w:val="20"/>
        </w:rPr>
        <w:t xml:space="preserve">” means any definitive agreement with respect to the Pre-Closing Investment, including the Commitment and Subscription Agreements. </w:t>
      </w:r>
    </w:p>
    <w:p>
      <w:pPr>
        <w:pStyle w:val="TextBody"/>
        <w:bidi w:val="0"/>
        <w:spacing w:before="240" w:after="0"/>
        <w:jc w:val="left"/>
        <w:rPr/>
      </w:pPr>
      <w:r>
        <w:rPr/>
        <w:t>“</w:t>
      </w:r>
      <w:r>
        <w:rPr>
          <w:rFonts w:ascii="Times New Roman" w:hAnsi="Times New Roman"/>
          <w:sz w:val="20"/>
          <w:u w:val="single"/>
        </w:rPr>
        <w:t>Equity Interest</w:t>
      </w:r>
      <w:r>
        <w:rPr>
          <w:rFonts w:ascii="Times New Roman" w:hAnsi="Times New Roman"/>
          <w:sz w:val="20"/>
        </w:rPr>
        <w:t xml:space="preserve">” of any Person means any (i) capital stock, membership or partnership interest, unit or other ownership interest of or in such Person, (ii) securities directly or indirectly convertible into or exchangeable for any for the foregoing, (iii) options, warrants or other rights directly or indirectly to purchase or subscribe for any of the foregoing or securities convertible into or exchangeable for any of the foregoing or (iv) Contracts, commitments, and agreements relating to the issuance of any of the foregoing or giving any Person the right to participate in or receive any payment based on the profits or performance of such Person (including any equity appreciation, phantom equity or similar plan or right).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Exchange Ratio</w:t>
      </w:r>
      <w:r>
        <w:rPr>
          <w:rFonts w:ascii="Times New Roman" w:hAnsi="Times New Roman"/>
          <w:sz w:val="20"/>
        </w:rPr>
        <w:t xml:space="preserve">” means the New Issuance divided by the number of shares of FBB Common Stock issued and outstanding immediately prior to the Effective Time. </w:t>
      </w:r>
    </w:p>
    <w:p>
      <w:pPr>
        <w:pStyle w:val="TextBody"/>
        <w:bidi w:val="0"/>
        <w:spacing w:before="240" w:after="0"/>
        <w:jc w:val="left"/>
        <w:rPr/>
      </w:pPr>
      <w:r>
        <w:rPr/>
        <w:t>“</w:t>
      </w:r>
      <w:r>
        <w:rPr>
          <w:rFonts w:ascii="Times New Roman" w:hAnsi="Times New Roman"/>
          <w:sz w:val="20"/>
          <w:u w:val="single"/>
        </w:rPr>
        <w:t>Existing DXL ABL Agreement</w:t>
      </w:r>
      <w:r>
        <w:rPr>
          <w:rFonts w:ascii="Times New Roman" w:hAnsi="Times New Roman"/>
          <w:sz w:val="20"/>
        </w:rPr>
        <w:t xml:space="preserve">” means that certain Credit Agreement, dated as of October 28, 2021, among Destination XL Group, Inc., as Lead Borrower, the other Borrowers and Guarantors party thereto, the lenders from time to time party thereto, and Citizens Bank, N.A., as Administrative Agent and Collateral Agent (as amended, restated, supplemented or otherwise modified from time to time prior to the date of this Agreement). </w:t>
      </w:r>
    </w:p>
    <w:p>
      <w:pPr>
        <w:pStyle w:val="TextBody"/>
        <w:bidi w:val="0"/>
        <w:spacing w:before="240" w:after="0"/>
        <w:jc w:val="left"/>
        <w:rPr/>
      </w:pPr>
      <w:r>
        <w:rPr/>
        <w:t>“</w:t>
      </w:r>
      <w:r>
        <w:rPr>
          <w:rFonts w:ascii="Times New Roman" w:hAnsi="Times New Roman"/>
          <w:sz w:val="20"/>
          <w:u w:val="single"/>
        </w:rPr>
        <w:t>Existing FBB ABL Agreement</w:t>
      </w:r>
      <w:r>
        <w:rPr>
          <w:rFonts w:ascii="Times New Roman" w:hAnsi="Times New Roman"/>
          <w:sz w:val="20"/>
        </w:rPr>
        <w:t xml:space="preserve">” means that certain ABL Credit Agreement, dated as of February 7, 2019, among FBB Holdings III, Inc., the other borrowers party thereto, FBB Holdings II, Inc., the lenders party thereto and Citizens Bank, N.A., as administrative agent and collateral agent, as amended, restated, supplemented or otherwise modified prior to the date of this Agreement. </w:t>
      </w:r>
    </w:p>
    <w:p>
      <w:pPr>
        <w:pStyle w:val="TextBody"/>
        <w:bidi w:val="0"/>
        <w:spacing w:before="240" w:after="0"/>
        <w:jc w:val="left"/>
        <w:rPr/>
      </w:pPr>
      <w:r>
        <w:rPr/>
        <w:t>“</w:t>
      </w:r>
      <w:r>
        <w:rPr>
          <w:rFonts w:ascii="Times New Roman" w:hAnsi="Times New Roman"/>
          <w:sz w:val="20"/>
          <w:u w:val="single"/>
        </w:rPr>
        <w:t>Existing Term Loan Facility</w:t>
      </w:r>
      <w:r>
        <w:rPr>
          <w:rFonts w:ascii="Times New Roman" w:hAnsi="Times New Roman"/>
          <w:sz w:val="20"/>
        </w:rPr>
        <w:t>” has the meaning set forth in the definition of “</w:t>
      </w:r>
      <w:r>
        <w:rPr>
          <w:rFonts w:ascii="Times New Roman" w:hAnsi="Times New Roman"/>
          <w:sz w:val="20"/>
          <w:u w:val="single"/>
        </w:rPr>
        <w:t>A&amp;R Term Loan Facility</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FBB Bylaws</w:t>
      </w:r>
      <w:r>
        <w:rPr>
          <w:rFonts w:ascii="Times New Roman" w:hAnsi="Times New Roman"/>
          <w:sz w:val="20"/>
        </w:rPr>
        <w:t xml:space="preserve">” means the Amended and Restated Bylaws of FBB, as amended and in effect as of the date hereof. </w:t>
      </w:r>
    </w:p>
    <w:p>
      <w:pPr>
        <w:pStyle w:val="TextBody"/>
        <w:bidi w:val="0"/>
        <w:spacing w:before="240" w:after="0"/>
        <w:jc w:val="left"/>
        <w:rPr/>
      </w:pPr>
      <w:r>
        <w:rPr/>
        <w:t>“</w:t>
      </w:r>
      <w:r>
        <w:rPr>
          <w:rFonts w:ascii="Times New Roman" w:hAnsi="Times New Roman"/>
          <w:sz w:val="20"/>
          <w:u w:val="single"/>
        </w:rPr>
        <w:t>FBB CapEx Budget</w:t>
      </w:r>
      <w:r>
        <w:rPr>
          <w:rFonts w:ascii="Times New Roman" w:hAnsi="Times New Roman"/>
          <w:sz w:val="20"/>
        </w:rPr>
        <w:t xml:space="preserve">” means that certain capital expenditures budget of FBB and its Subsidiaries set forth in </w:t>
      </w:r>
      <w:r>
        <w:rPr>
          <w:rFonts w:ascii="Times New Roman" w:hAnsi="Times New Roman"/>
          <w:sz w:val="20"/>
          <w:u w:val="single"/>
        </w:rPr>
        <w:t>Section 5.03(i)</w:t>
      </w:r>
      <w:r>
        <w:rPr>
          <w:rFonts w:ascii="Times New Roman" w:hAnsi="Times New Roman"/>
          <w:sz w:val="20"/>
        </w:rPr>
        <w:t xml:space="preserve"> of the FBB Disclosure Schedule. </w:t>
      </w:r>
    </w:p>
    <w:p>
      <w:pPr>
        <w:pStyle w:val="TextBody"/>
        <w:bidi w:val="0"/>
        <w:spacing w:before="240" w:after="0"/>
        <w:jc w:val="left"/>
        <w:rPr/>
      </w:pPr>
      <w:r>
        <w:rPr/>
        <w:t>“</w:t>
      </w:r>
      <w:r>
        <w:rPr>
          <w:rFonts w:ascii="Times New Roman" w:hAnsi="Times New Roman"/>
          <w:sz w:val="20"/>
          <w:u w:val="single"/>
        </w:rPr>
        <w:t>FBB Charter</w:t>
      </w:r>
      <w:r>
        <w:rPr>
          <w:rFonts w:ascii="Times New Roman" w:hAnsi="Times New Roman"/>
          <w:sz w:val="20"/>
        </w:rPr>
        <w:t xml:space="preserve">” means the Amended and Restated Certificate of Incorporation of FBB, as amended and in effect as of the date hereof. </w:t>
      </w:r>
    </w:p>
    <w:p>
      <w:pPr>
        <w:pStyle w:val="TextBody"/>
        <w:bidi w:val="0"/>
        <w:spacing w:before="240" w:after="0"/>
        <w:jc w:val="left"/>
        <w:rPr/>
      </w:pPr>
      <w:r>
        <w:rPr/>
        <w:t>“</w:t>
      </w:r>
      <w:r>
        <w:rPr>
          <w:rFonts w:ascii="Times New Roman" w:hAnsi="Times New Roman"/>
          <w:sz w:val="20"/>
          <w:u w:val="single"/>
        </w:rPr>
        <w:t>FBB Common Stock</w:t>
      </w:r>
      <w:r>
        <w:rPr>
          <w:rFonts w:ascii="Times New Roman" w:hAnsi="Times New Roman"/>
          <w:sz w:val="20"/>
        </w:rPr>
        <w:t xml:space="preserve">” means the common stock of FBB, par value $0.01 per share. </w:t>
      </w:r>
    </w:p>
    <w:p>
      <w:pPr>
        <w:pStyle w:val="TextBody"/>
        <w:bidi w:val="0"/>
        <w:spacing w:before="240" w:after="0"/>
        <w:jc w:val="left"/>
        <w:rPr/>
      </w:pPr>
      <w:r>
        <w:rPr/>
        <w:t>“</w:t>
      </w:r>
      <w:r>
        <w:rPr>
          <w:rFonts w:ascii="Times New Roman" w:hAnsi="Times New Roman"/>
          <w:sz w:val="20"/>
          <w:u w:val="single"/>
        </w:rPr>
        <w:t>FBB Disclosure Schedule</w:t>
      </w:r>
      <w:r>
        <w:rPr>
          <w:rFonts w:ascii="Times New Roman" w:hAnsi="Times New Roman"/>
          <w:sz w:val="20"/>
        </w:rPr>
        <w:t xml:space="preserve">” means the disclosure schedule delivered by FBB to DXL and Merger Sub in connection with the execution of this Agreement. </w:t>
      </w:r>
    </w:p>
    <w:p>
      <w:pPr>
        <w:pStyle w:val="TextBody"/>
        <w:bidi w:val="0"/>
        <w:spacing w:before="240" w:after="0"/>
        <w:jc w:val="left"/>
        <w:rPr/>
      </w:pPr>
      <w:r>
        <w:rPr/>
        <w:t>“</w:t>
      </w:r>
      <w:r>
        <w:rPr>
          <w:rFonts w:ascii="Times New Roman" w:hAnsi="Times New Roman"/>
          <w:sz w:val="20"/>
          <w:u w:val="single"/>
        </w:rPr>
        <w:t>FBB Equity Plan</w:t>
      </w:r>
      <w:r>
        <w:rPr>
          <w:rFonts w:ascii="Times New Roman" w:hAnsi="Times New Roman"/>
          <w:sz w:val="20"/>
        </w:rPr>
        <w:t xml:space="preserve">” means the 2019 Management Incentive Plan of FBB Holdings I, Inc., as amended and in effect as of the date hereof. </w:t>
      </w:r>
    </w:p>
    <w:p>
      <w:pPr>
        <w:pStyle w:val="TextBody"/>
        <w:bidi w:val="0"/>
        <w:spacing w:before="240" w:after="0"/>
        <w:jc w:val="left"/>
        <w:rPr/>
      </w:pPr>
      <w:r>
        <w:rPr/>
        <w:t>“</w:t>
      </w:r>
      <w:r>
        <w:rPr>
          <w:rFonts w:ascii="Times New Roman" w:hAnsi="Times New Roman"/>
          <w:sz w:val="20"/>
          <w:u w:val="single"/>
        </w:rPr>
        <w:t>FBB ERISA Affiliate</w:t>
      </w:r>
      <w:r>
        <w:rPr>
          <w:rFonts w:ascii="Times New Roman" w:hAnsi="Times New Roman"/>
          <w:sz w:val="20"/>
        </w:rPr>
        <w:t xml:space="preserve">” means all employers (whether or not incorporated) that would be treated together with FBB as a “single employer” within the meaning of Section 414 of the Code and/or Section 4001(b)(1) of ERISA. </w:t>
      </w:r>
    </w:p>
    <w:p>
      <w:pPr>
        <w:pStyle w:val="TextBody"/>
        <w:bidi w:val="0"/>
        <w:spacing w:before="240" w:after="0"/>
        <w:jc w:val="left"/>
        <w:rPr/>
      </w:pPr>
      <w:r>
        <w:rPr/>
        <w:t>“</w:t>
      </w:r>
      <w:r>
        <w:rPr>
          <w:rFonts w:ascii="Times New Roman" w:hAnsi="Times New Roman"/>
          <w:sz w:val="20"/>
          <w:u w:val="single"/>
        </w:rPr>
        <w:t>FBB Investors</w:t>
      </w:r>
      <w:r>
        <w:rPr>
          <w:rFonts w:ascii="Times New Roman" w:hAnsi="Times New Roman"/>
          <w:sz w:val="20"/>
        </w:rPr>
        <w:t xml:space="preserve">” means Persons that have entered into Commitment and Subscription Agreements to acquire shares of FBB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FBB IP Rights</w:t>
      </w:r>
      <w:r>
        <w:rPr>
          <w:rFonts w:ascii="Times New Roman" w:hAnsi="Times New Roman"/>
          <w:sz w:val="20"/>
        </w:rPr>
        <w:t xml:space="preserve">” means all Intellectual Property Rights owned or purported to be owned by FBB or any of the FBB Subsidiaries. </w:t>
      </w:r>
    </w:p>
    <w:p>
      <w:pPr>
        <w:pStyle w:val="TextBody"/>
        <w:bidi w:val="0"/>
        <w:spacing w:before="240" w:after="0"/>
        <w:jc w:val="left"/>
        <w:rPr/>
      </w:pPr>
      <w:r>
        <w:rPr/>
        <w:t>“</w:t>
      </w:r>
      <w:r>
        <w:rPr>
          <w:rFonts w:ascii="Times New Roman" w:hAnsi="Times New Roman"/>
          <w:sz w:val="20"/>
          <w:u w:val="single"/>
        </w:rPr>
        <w:t>FBB Preferred Stock</w:t>
      </w:r>
      <w:r>
        <w:rPr>
          <w:rFonts w:ascii="Times New Roman" w:hAnsi="Times New Roman"/>
          <w:sz w:val="20"/>
        </w:rPr>
        <w:t xml:space="preserve">” means the preferred stock of FBB, par value $0.01 per share. </w:t>
      </w:r>
    </w:p>
    <w:p>
      <w:pPr>
        <w:pStyle w:val="TextBody"/>
        <w:bidi w:val="0"/>
        <w:spacing w:before="240" w:after="0"/>
        <w:jc w:val="left"/>
        <w:rPr/>
      </w:pPr>
      <w:r>
        <w:rPr/>
        <w:t>“</w:t>
      </w:r>
      <w:r>
        <w:rPr>
          <w:rFonts w:ascii="Times New Roman" w:hAnsi="Times New Roman"/>
          <w:sz w:val="20"/>
          <w:u w:val="single"/>
        </w:rPr>
        <w:t>FBB Restricted Employee</w:t>
      </w:r>
      <w:r>
        <w:rPr>
          <w:rFonts w:ascii="Times New Roman" w:hAnsi="Times New Roman"/>
          <w:sz w:val="20"/>
        </w:rPr>
        <w:t xml:space="preserve">” means any employee of FBB whose annual base compensation is excess of $300,000 or any other employee of FBB with the title of “senior vice president” or a substantially equivalent title. </w:t>
      </w:r>
    </w:p>
    <w:p>
      <w:pPr>
        <w:pStyle w:val="TextBody"/>
        <w:bidi w:val="0"/>
        <w:spacing w:before="240" w:after="0"/>
        <w:jc w:val="left"/>
        <w:rPr/>
      </w:pPr>
      <w:r>
        <w:rPr/>
        <w:t>“</w:t>
      </w:r>
      <w:r>
        <w:rPr>
          <w:rFonts w:ascii="Times New Roman" w:hAnsi="Times New Roman"/>
          <w:sz w:val="20"/>
          <w:u w:val="single"/>
        </w:rPr>
        <w:t>FBB Restricted Stock Award</w:t>
      </w:r>
      <w:r>
        <w:rPr>
          <w:rFonts w:ascii="Times New Roman" w:hAnsi="Times New Roman"/>
          <w:sz w:val="20"/>
        </w:rPr>
        <w:t xml:space="preserve">” means each award in respect of a share of FBB Common Stock subject to vesting, repurchase or other lapse restriction. </w:t>
      </w:r>
    </w:p>
    <w:p>
      <w:pPr>
        <w:pStyle w:val="TextBody"/>
        <w:bidi w:val="0"/>
        <w:spacing w:before="240" w:after="0"/>
        <w:jc w:val="left"/>
        <w:rPr/>
      </w:pPr>
      <w:r>
        <w:rPr/>
        <w:t>“</w:t>
      </w:r>
      <w:r>
        <w:rPr>
          <w:rFonts w:ascii="Times New Roman" w:hAnsi="Times New Roman"/>
          <w:sz w:val="20"/>
          <w:u w:val="single"/>
        </w:rPr>
        <w:t>FBB Significant Stockholders</w:t>
      </w:r>
      <w:r>
        <w:rPr>
          <w:rFonts w:ascii="Times New Roman" w:hAnsi="Times New Roman"/>
          <w:sz w:val="20"/>
        </w:rPr>
        <w:t xml:space="preserve">” means, collectively, the FBB Investors. </w:t>
      </w:r>
    </w:p>
    <w:p>
      <w:pPr>
        <w:pStyle w:val="TextBody"/>
        <w:bidi w:val="0"/>
        <w:spacing w:before="240" w:after="0"/>
        <w:jc w:val="left"/>
        <w:rPr/>
      </w:pPr>
      <w:r>
        <w:rPr/>
        <w:t>“</w:t>
      </w:r>
      <w:r>
        <w:rPr>
          <w:rFonts w:ascii="Times New Roman" w:hAnsi="Times New Roman"/>
          <w:sz w:val="20"/>
          <w:u w:val="single"/>
        </w:rPr>
        <w:t>FBB Stockholder</w:t>
      </w:r>
      <w:r>
        <w:rPr>
          <w:rFonts w:ascii="Times New Roman" w:hAnsi="Times New Roman"/>
          <w:sz w:val="20"/>
        </w:rPr>
        <w:t xml:space="preserve">” means any Person who is a holder of FBB Common Stock. </w:t>
      </w:r>
    </w:p>
    <w:p>
      <w:pPr>
        <w:pStyle w:val="TextBody"/>
        <w:bidi w:val="0"/>
        <w:spacing w:before="240" w:after="0"/>
        <w:jc w:val="left"/>
        <w:rPr/>
      </w:pPr>
      <w:r>
        <w:rPr/>
        <w:t>“</w:t>
      </w:r>
      <w:r>
        <w:rPr>
          <w:rFonts w:ascii="Times New Roman" w:hAnsi="Times New Roman"/>
          <w:sz w:val="20"/>
          <w:u w:val="single"/>
        </w:rPr>
        <w:t>FBB Stockholders Agreement</w:t>
      </w:r>
      <w:r>
        <w:rPr>
          <w:rFonts w:ascii="Times New Roman" w:hAnsi="Times New Roman"/>
          <w:sz w:val="20"/>
        </w:rPr>
        <w:t xml:space="preserve">” means that certain Stockholders Agreement of FBB, dated as of February 7, 2019, as amended from time to time. </w:t>
      </w:r>
    </w:p>
    <w:p>
      <w:pPr>
        <w:pStyle w:val="TextBody"/>
        <w:bidi w:val="0"/>
        <w:spacing w:before="240" w:after="0"/>
        <w:jc w:val="left"/>
        <w:rPr/>
      </w:pPr>
      <w:r>
        <w:rPr/>
        <w:t>“</w:t>
      </w:r>
      <w:r>
        <w:rPr>
          <w:rFonts w:ascii="Times New Roman" w:hAnsi="Times New Roman"/>
          <w:sz w:val="20"/>
          <w:u w:val="single"/>
        </w:rPr>
        <w:t>FBB Top Customer</w:t>
      </w:r>
      <w:r>
        <w:rPr>
          <w:rFonts w:ascii="Times New Roman" w:hAnsi="Times New Roman"/>
          <w:sz w:val="20"/>
        </w:rPr>
        <w:t xml:space="preserve">” shall mean a top twenty customer of FBB and its Subsidiaries, taken as a whole, based on revenues during the twelve months ended December 31, 2025. </w:t>
      </w:r>
    </w:p>
    <w:p>
      <w:pPr>
        <w:pStyle w:val="TextBody"/>
        <w:bidi w:val="0"/>
        <w:spacing w:before="240" w:after="0"/>
        <w:jc w:val="left"/>
        <w:rPr/>
      </w:pPr>
      <w:r>
        <w:rPr/>
        <w:t>“</w:t>
      </w:r>
      <w:r>
        <w:rPr>
          <w:rFonts w:ascii="Times New Roman" w:hAnsi="Times New Roman"/>
          <w:sz w:val="20"/>
          <w:u w:val="single"/>
        </w:rPr>
        <w:t>FBB Top Supplier</w:t>
      </w:r>
      <w:r>
        <w:rPr>
          <w:rFonts w:ascii="Times New Roman" w:hAnsi="Times New Roman"/>
          <w:sz w:val="20"/>
        </w:rPr>
        <w:t xml:space="preserve">” shall mean a top twenty vendor or supplier of FBB and its Subsidiaries, taken as a whole, based on expenditures during the twelve months ended December 31, 2025. </w:t>
      </w:r>
    </w:p>
    <w:p>
      <w:pPr>
        <w:pStyle w:val="TextBody"/>
        <w:bidi w:val="0"/>
        <w:spacing w:before="240" w:after="0"/>
        <w:jc w:val="left"/>
        <w:rPr/>
      </w:pPr>
      <w:r>
        <w:rPr/>
        <w:t>“</w:t>
      </w:r>
      <w:r>
        <w:rPr>
          <w:rFonts w:ascii="Times New Roman" w:hAnsi="Times New Roman"/>
          <w:sz w:val="20"/>
          <w:u w:val="single"/>
        </w:rPr>
        <w:t>FBB Warrants</w:t>
      </w:r>
      <w:r>
        <w:rPr>
          <w:rFonts w:ascii="Times New Roman" w:hAnsi="Times New Roman"/>
          <w:sz w:val="20"/>
        </w:rPr>
        <w:t xml:space="preserve">” means each warrant to purchase shares of FBB Common Stock.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(i) the Debt Financing and (ii) the Pre-Closing Investment. </w:t>
      </w:r>
    </w:p>
    <w:p>
      <w:pPr>
        <w:pStyle w:val="TextBody"/>
        <w:bidi w:val="0"/>
        <w:spacing w:before="240" w:after="0"/>
        <w:jc w:val="left"/>
        <w:rPr/>
      </w:pPr>
      <w:r>
        <w:rPr/>
        <w:t>“</w:t>
      </w:r>
      <w:r>
        <w:rPr>
          <w:rFonts w:ascii="Times New Roman" w:hAnsi="Times New Roman"/>
          <w:sz w:val="20"/>
          <w:u w:val="single"/>
        </w:rPr>
        <w:t>Financing Related Parties</w:t>
      </w:r>
      <w:r>
        <w:rPr>
          <w:rFonts w:ascii="Times New Roman" w:hAnsi="Times New Roman"/>
          <w:sz w:val="20"/>
        </w:rPr>
        <w:t xml:space="preserve">” means the Financing Sources and any of such Person’s Affiliates or its or their respective officers, directors, employees or representatives, partners, trustees, shareholders, controlling Persons, agents, successors or assigns. </w:t>
      </w:r>
    </w:p>
    <w:p>
      <w:pPr>
        <w:pStyle w:val="TextBody"/>
        <w:bidi w:val="0"/>
        <w:spacing w:before="240" w:after="0"/>
        <w:jc w:val="left"/>
        <w:rPr/>
      </w:pPr>
      <w:r>
        <w:rPr/>
        <w:t>“</w:t>
      </w:r>
      <w:r>
        <w:rPr>
          <w:rFonts w:ascii="Times New Roman" w:hAnsi="Times New Roman"/>
          <w:sz w:val="20"/>
          <w:u w:val="single"/>
        </w:rPr>
        <w:t>Financing Sources</w:t>
      </w:r>
      <w:r>
        <w:rPr>
          <w:rFonts w:ascii="Times New Roman" w:hAnsi="Times New Roman"/>
          <w:sz w:val="20"/>
        </w:rPr>
        <w:t xml:space="preserve">” means, collectively, (i) the Debt Financing Sources and (ii) the FBB Investors. </w:t>
      </w:r>
    </w:p>
    <w:p>
      <w:pPr>
        <w:pStyle w:val="TextBody"/>
        <w:bidi w:val="0"/>
        <w:spacing w:before="240" w:after="0"/>
        <w:jc w:val="left"/>
        <w:rPr/>
      </w:pPr>
      <w:r>
        <w:rPr/>
        <w:t>“</w:t>
      </w:r>
      <w:r>
        <w:rPr>
          <w:rFonts w:ascii="Times New Roman" w:hAnsi="Times New Roman"/>
          <w:sz w:val="20"/>
          <w:u w:val="single"/>
        </w:rPr>
        <w:t>Fully Diluted DXL Shares</w:t>
      </w:r>
      <w:r>
        <w:rPr>
          <w:rFonts w:ascii="Times New Roman" w:hAnsi="Times New Roman"/>
          <w:sz w:val="20"/>
        </w:rPr>
        <w:t xml:space="preserve">” means the number of outstanding shares of DXL Common Stock as of immediately before the Effective Time on a fully- diluted, as converted and as exercised basis in accordance with the treasury stock method, including (i) shares of DXL Common Stock underlying outstanding exercisable DXL Options, (ii) shares of DXL Common Stock underlying outstanding DXL Restricted Stock Unit Awards, (iii) shares of DXL Common Stock underlying outstanding DXL Performance Share Awards and (iv) any other outstanding securities convertible into or exercisable for shares of DXL Common Stock.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all obligations (including all obligations in respect of principal, accrued interest, penalties, fees and premiums) of such Person, whether direct or indirect, (a) for borrowed money (including overdraft facilities), (b) for liabilities secured by any Lien existing on property owned or acquired and subject thereto, (c) evidenced by notes, bonds, debentures or similar Contracts, (d) for the deferred purchase price of property, goods or services, including in connection with the acquisition of any business or non-competition agreement (other than trade payables or accruals incurred in the ordinary course of business), (e) under capital leases (in accordance with GAAP), (f) in respect of letters of credit and bankers’ acceptances, (g) for Contracts relating to interest rate protection, swap agreements, factoring, hedging and collar agreements, (h) in the nature of premiums (prepayment or otherwise) or penalties in connection with the obligations described in clauses (a) through (g) above, and (i) in the nature of guarantees of the obligations described in clauses (a) through (g) above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Intellectual Property Rights</w:t>
      </w:r>
      <w:r>
        <w:rPr>
          <w:rFonts w:ascii="Times New Roman" w:hAnsi="Times New Roman"/>
          <w:sz w:val="20"/>
        </w:rPr>
        <w:t xml:space="preserve">” means all intellectual property and associated rights in any jurisdiction, including all (a) trademarks, service marks, trade names, corporate names, company names, </w:t>
      </w:r>
    </w:p>
    <w:p>
      <w:pPr>
        <w:pStyle w:val="TextBody"/>
        <w:bidi w:val="0"/>
        <w:spacing w:before="0" w:after="0"/>
        <w:jc w:val="left"/>
        <w:rPr>
          <w:rFonts w:ascii="Times New Roman" w:hAnsi="Times New Roman"/>
          <w:sz w:val="20"/>
        </w:rPr>
      </w:pPr>
      <w:r>
        <w:rPr>
          <w:rFonts w:ascii="Times New Roman" w:hAnsi="Times New Roman"/>
          <w:sz w:val="20"/>
        </w:rPr>
        <w:t xml:space="preserve">business names, fictitious business names, trade styles, logos, slogans, trade dress and all other source or business identifiers and all applications and registrations and renewals for, and goodwill associated with and symbolized by, any of the foregoing, (b) Internet domain names (including top level domain names and </w:t>
      </w:r>
    </w:p>
    <w:p>
      <w:pPr>
        <w:pStyle w:val="TextBody"/>
        <w:bidi w:val="0"/>
        <w:spacing w:before="0" w:after="0"/>
        <w:jc w:val="left"/>
        <w:rPr>
          <w:rFonts w:ascii="Times New Roman" w:hAnsi="Times New Roman"/>
          <w:sz w:val="20"/>
        </w:rPr>
      </w:pPr>
      <w:r>
        <w:rPr>
          <w:rFonts w:ascii="Times New Roman" w:hAnsi="Times New Roman"/>
          <w:sz w:val="20"/>
        </w:rPr>
        <w:t xml:space="preserve">global top level domain names) and social media identifiers, handles and tags, (c) patent disclosures, patent applications, patents and inventions (whether or not patentable) and all registrations, continuations, </w:t>
      </w:r>
    </w:p>
    <w:p>
      <w:pPr>
        <w:pStyle w:val="TextBody"/>
        <w:bidi w:val="0"/>
        <w:spacing w:before="0" w:after="0"/>
        <w:jc w:val="left"/>
        <w:rPr>
          <w:rFonts w:ascii="Times New Roman" w:hAnsi="Times New Roman"/>
          <w:sz w:val="20"/>
        </w:rPr>
      </w:pPr>
      <w:r>
        <w:rPr>
          <w:rFonts w:ascii="Times New Roman" w:hAnsi="Times New Roman"/>
          <w:sz w:val="20"/>
        </w:rPr>
        <w:t xml:space="preserve">continuations-in- part, divisionals, re-examinations, renewals, extensions and reissues and counterparts thereof, (d) trade secrets and know-how, including all proprietary or confidential inventions, improvements, processes, methods, techniques, protocols, formulae, recipes, compositions, models, layouts, designs, </w:t>
      </w:r>
    </w:p>
    <w:p>
      <w:pPr>
        <w:pStyle w:val="TextBody"/>
        <w:bidi w:val="0"/>
        <w:spacing w:before="0" w:after="0"/>
        <w:jc w:val="left"/>
        <w:rPr>
          <w:rFonts w:ascii="Times New Roman" w:hAnsi="Times New Roman"/>
          <w:sz w:val="20"/>
        </w:rPr>
      </w:pPr>
      <w:r>
        <w:rPr>
          <w:rFonts w:ascii="Times New Roman" w:hAnsi="Times New Roman"/>
          <w:sz w:val="20"/>
        </w:rPr>
        <w:t>drawings, plans, specifications, methodologies and other proprietary or other confidential information (collectively, “</w:t>
      </w:r>
      <w:r>
        <w:rPr>
          <w:rFonts w:ascii="Times New Roman" w:hAnsi="Times New Roman"/>
          <w:sz w:val="20"/>
          <w:u w:val="single"/>
        </w:rPr>
        <w:t>Trade Secrets</w:t>
      </w:r>
      <w:r>
        <w:rPr>
          <w:rFonts w:ascii="Times New Roman" w:hAnsi="Times New Roman"/>
          <w:sz w:val="20"/>
        </w:rPr>
        <w:t xml:space="preserve">”), (e) works of authorship (whether or not copyrightable), copyrights and </w:t>
      </w:r>
    </w:p>
    <w:p>
      <w:pPr>
        <w:pStyle w:val="TextBody"/>
        <w:bidi w:val="0"/>
        <w:spacing w:before="0" w:after="0"/>
        <w:jc w:val="left"/>
        <w:rPr>
          <w:rFonts w:ascii="Times New Roman" w:hAnsi="Times New Roman"/>
          <w:sz w:val="20"/>
        </w:rPr>
      </w:pPr>
      <w:r>
        <w:rPr>
          <w:rFonts w:ascii="Times New Roman" w:hAnsi="Times New Roman"/>
          <w:sz w:val="20"/>
        </w:rPr>
        <w:t xml:space="preserve">registrations and applications therefor, and all renewals, extensions, restorations and reversions thereof, including website content, product artwork, promotion and marketing materials, copyrights in software, databases and database rights, and (f) rights of publicity.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U.S.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all computers, computer software, computer programs and applications (including mobile applications), and computerized databases in any form, including all source code and object code, firmware, hardware (including computers, servers, databases, telecommunications equipment), middleware, workstations, routers, hubs, switches, data communications lines, networks, platforms and other information technology equipment or systems.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or “</w:t>
      </w:r>
      <w:r>
        <w:rPr>
          <w:rFonts w:ascii="Times New Roman" w:hAnsi="Times New Roman"/>
          <w:sz w:val="20"/>
          <w:u w:val="single"/>
        </w:rPr>
        <w:t>knowledge</w:t>
      </w:r>
      <w:r>
        <w:rPr>
          <w:rFonts w:ascii="Times New Roman" w:hAnsi="Times New Roman"/>
          <w:sz w:val="20"/>
        </w:rPr>
        <w:t xml:space="preserve">” means (i) with respect to FBB, the actual knowledge of those persons set forth on </w:t>
      </w:r>
      <w:r>
        <w:rPr>
          <w:rFonts w:ascii="Times New Roman" w:hAnsi="Times New Roman"/>
          <w:sz w:val="20"/>
          <w:u w:val="single"/>
        </w:rPr>
        <w:t>Section 9.03</w:t>
      </w:r>
      <w:r>
        <w:rPr>
          <w:rFonts w:ascii="Times New Roman" w:hAnsi="Times New Roman"/>
          <w:sz w:val="20"/>
        </w:rPr>
        <w:t xml:space="preserve"> of the FBB Disclosure Schedule and (ii) with respect to DXL, the actual knowledge of those persons set forth on </w:t>
      </w:r>
      <w:r>
        <w:rPr>
          <w:rFonts w:ascii="Times New Roman" w:hAnsi="Times New Roman"/>
          <w:sz w:val="20"/>
          <w:u w:val="single"/>
        </w:rPr>
        <w:t>Section 9.03</w:t>
      </w:r>
      <w:r>
        <w:rPr>
          <w:rFonts w:ascii="Times New Roman" w:hAnsi="Times New Roman"/>
          <w:sz w:val="20"/>
        </w:rPr>
        <w:t xml:space="preserve"> of the DXL Disclosure Schedule, in each case after reasonable inquiry of those employees who would reasonably be expected to have actual knowledge of the matter in question.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pledge, mortgage, option, right of first refusal, deed of trust, security interest or any similar encumbrance.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with respect to any Person means any change, event, violation, effect inaccuracy, circumstance or developments (a “</w:t>
      </w:r>
      <w:r>
        <w:rPr>
          <w:rFonts w:ascii="Times New Roman" w:hAnsi="Times New Roman"/>
          <w:sz w:val="20"/>
          <w:u w:val="single"/>
        </w:rPr>
        <w:t>Change</w:t>
      </w:r>
      <w:r>
        <w:rPr>
          <w:rFonts w:ascii="Times New Roman" w:hAnsi="Times New Roman"/>
          <w:sz w:val="20"/>
        </w:rPr>
        <w:t xml:space="preserve">”) that, individually or in the aggregate with all other Changes that have occurred on or prior to the date of determination of the occurrence of the Material Adverse Effect, and regardless of whether or not such Change constitutes a breach of the representations or warranties made by such Person, have, or are reasonably expected to have, a material adverse effect on the business, properties, assets (including intangible assets), condition (financial or otherwise), prospects, capitalization, liabilities, financial condition or results of operations of such Person and its Subsidiaries, taken as a whole; provided, however, that none of the following (by itself or when aggregated) will be deemed to be or constitute a Material Adverse Effect or will be taken into account when determining whether a Material Adverse Effect has occurred or may, would or could occur (subject to the limitations set forth below): (i) changes in general economic conditions in the United States or any other country or region in the world, or changes in conditions in the global economy generally; (ii) changes in conditions in the financial markets, credit markets or capital markets in the United States or any other country or region in the world, including (1) changes in interest rates or credit ratings in the United States or any other country; (2) changes in exchange rates for the currencies of any country; or (3) any suspension of trading in securities (whether equity, debt, derivative or hybrid securities) generally on any securities exchange or over-the-counter market operating in the United States or any other country or region in the world; (iii) changes in conditions in the industries in which such Persons generally conduct business; (iv) changes in regulatory, legislative or political conditions in the United States or any other country or region in the world; (v) any geopolitical conditions, outbreak of hostilities, acts of war, sabotage, terrorism (including cyberattacks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cyberterrorism) or military actions (including any escalation or general worsening of any such hostilities, acts of war, sabotage, terrorism or military actions) in the United States or any other country or region in the world; (vi) earthquakes, hurricanes, tsunamis, tornadoes, floods, mudslides, wild fires or other natural disasters, weather conditions, epidemics, pandemics or disease outbreaks and other force majeure events in the United States or any other country or region in the world; (vii) any Change resulting from the announcement of this Agreement or the pendency of the Merger and the Transactions, including the impact thereof on the relationships, contractual or otherwise, of such Persons with employees, labor unions, suppliers, customers, lessors, partners, vendors or any other third Person; (viii) the compliance by any party with the terms of this Agreement, including any action taken or refrained from being taken pursuant to or in accordance with this Agreement; (ix) any action taken or refrained from being taken, in each case which such Person has expressly approved, consented to or requested in writing following the date hereof; (x) changes or proposed changes in GAAP or other accounting standards or in any applicable laws or regulations (or the enforcement or interpretation of any of the foregoing); (xi) changes in the price or trading volume of the DXL Common Stock, in and of itself (it being understood that any cause of such change may be deemed to constitute, in and of itself, a Material Adverse Effect and may be taken into consideration when determining whether a Material Adverse Effect has occurred, to the extent not otherwise excluded hereunder); and (xii) any failure, in and of itself, by such Person to meet (A) any public estimates or expectations of revenue, earnings or other financial performance or results of operations for any period; or (B) any internal budgets, plans, projections or forecasts of its revenues, earnings or other financial performance or results of operations (it being understood that any cause of any such failure may be deemed to constitute, in and of itself, a Material Adverse Effect and may be taken into consideration when determining whether a Material Adverse Effect has occurred, to the extent not otherwise excluded hereunder) except, with respect to clauses (i), (ii), (iv), (v), (vi) and (x), to the extent that such Change has had a disproportionate adverse effect on such Person relative to other companies of a similar size operating in the industries in which such Person conducted business, in which case only the incremental disproportionate adverse impact may be taken into account in determining whether there has occurred a Material Adverse Effect. </w:t>
      </w:r>
    </w:p>
    <w:p>
      <w:pPr>
        <w:pStyle w:val="TextBody"/>
        <w:bidi w:val="0"/>
        <w:spacing w:before="240" w:after="0"/>
        <w:jc w:val="left"/>
        <w:rPr/>
      </w:pPr>
      <w:r>
        <w:rPr/>
        <w:t>“</w:t>
      </w:r>
      <w:r>
        <w:rPr>
          <w:rFonts w:ascii="Times New Roman" w:hAnsi="Times New Roman"/>
          <w:sz w:val="20"/>
          <w:u w:val="single"/>
        </w:rPr>
        <w:t>Maximum Number of Takedowns</w:t>
      </w:r>
      <w:r>
        <w:rPr>
          <w:rFonts w:ascii="Times New Roman" w:hAnsi="Times New Roman"/>
          <w:sz w:val="20"/>
        </w:rPr>
        <w:t xml:space="preserve">” means, as to each FBB Significant Stockholder, a number equal to the quotient of (a) the percent of the total DXL Common Stock held by such FBB Significant Stockholder immediately after the Effective Time divided by (b) five percent (5%). </w:t>
      </w:r>
    </w:p>
    <w:p>
      <w:pPr>
        <w:pStyle w:val="TextBody"/>
        <w:bidi w:val="0"/>
        <w:spacing w:before="240" w:after="0"/>
        <w:jc w:val="left"/>
        <w:rPr/>
      </w:pPr>
      <w:r>
        <w:rPr/>
        <w:t>“</w:t>
      </w:r>
      <w:r>
        <w:rPr>
          <w:rFonts w:ascii="Times New Roman" w:hAnsi="Times New Roman"/>
          <w:sz w:val="20"/>
          <w:u w:val="single"/>
        </w:rPr>
        <w:t>New Issuance</w:t>
      </w:r>
      <w:r>
        <w:rPr>
          <w:rFonts w:ascii="Times New Roman" w:hAnsi="Times New Roman"/>
          <w:sz w:val="20"/>
        </w:rPr>
        <w:t xml:space="preserve">” means a number of shares equal to (a) the Fully Diluted DXL Shares multiplied by (b) the quotient of fifty five percent (55%) divided by forty five percent (45%). </w:t>
      </w:r>
    </w:p>
    <w:p>
      <w:pPr>
        <w:pStyle w:val="TextBody"/>
        <w:bidi w:val="0"/>
        <w:spacing w:before="240" w:after="0"/>
        <w:jc w:val="left"/>
        <w:rPr/>
      </w:pPr>
      <w:r>
        <w:rPr/>
        <w:t>“</w:t>
      </w:r>
      <w:r>
        <w:rPr>
          <w:rFonts w:ascii="Times New Roman" w:hAnsi="Times New Roman"/>
          <w:sz w:val="20"/>
          <w:u w:val="single"/>
        </w:rPr>
        <w:t>Permitted Lien</w:t>
      </w:r>
      <w:r>
        <w:rPr>
          <w:rFonts w:ascii="Times New Roman" w:hAnsi="Times New Roman"/>
          <w:sz w:val="20"/>
        </w:rPr>
        <w:t xml:space="preserve">” means (i) cashiers’, landlords’, mechanics’, materialmens’, carriers’, workmens’, repairmens’, contractors’ and warehousemens’ Liens imposed by Law and arising or incurred in the ordinary course of business and for amounts which are not yet due and payable or delinquent, and for which appropriate reserves have been established in accordance with GAAP, (ii) easements, rights of way, covenants, conditions, restrictions and other similar non-monetary charges and encumbrances of record, including those identified on title policies or preliminary title reports, in each case, which (a) individually or in the aggregate, are not violated in any material respect and do not and would not reasonably be expected to interfere materially with the ordinary course of business of the applicable company or the use, value, marketability or occupancy of any real property, (b) do not secure the payment of a sum of money and (c) are not violated and, (iii) Liens for Taxes not yet due and payable or delinquent or for Taxes that the taxpayer is contesting in good faith by appropriate action or proceeding and for which appropriate reserves have been established in the financial statements in accordance with GAAP, (iv) purchase money Liens securing rental payments under capital lease arrangements, (v) zoning, building and other generally applicable land use Laws imposed by any Governmental Entity having jurisdiction over such parcel of real property which are not violated in any material respect, and (vi) non-exclusive licenses of Intellectual Property Rights granted to contractors or service providers in the ordinary course of business.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firm, corporation, partnership, company, limited liability company, trust, joint venture, association, Governmental Entity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Personal Information</w:t>
      </w:r>
      <w:r>
        <w:rPr>
          <w:rFonts w:ascii="Times New Roman" w:hAnsi="Times New Roman"/>
          <w:sz w:val="20"/>
        </w:rPr>
        <w:t xml:space="preserve">” means all data and information that, alone or in combination with other information, identifies, relates to, describes, is reasonably capable of being associated with, or could reasonably be linked, directly or indirectly, to a particular individual or household or any other information that constitutes “personal data,” “personal information”, “personal health information,” or any similar defined term. </w:t>
      </w:r>
    </w:p>
    <w:p>
      <w:pPr>
        <w:pStyle w:val="TextBody"/>
        <w:bidi w:val="0"/>
        <w:spacing w:before="240" w:after="0"/>
        <w:jc w:val="left"/>
        <w:rPr/>
      </w:pPr>
      <w:r>
        <w:rPr/>
        <w:t>“</w:t>
      </w:r>
      <w:r>
        <w:rPr>
          <w:rFonts w:ascii="Times New Roman" w:hAnsi="Times New Roman"/>
          <w:sz w:val="20"/>
          <w:u w:val="single"/>
        </w:rPr>
        <w:t>Pre-Closing Investment</w:t>
      </w:r>
      <w:r>
        <w:rPr>
          <w:rFonts w:ascii="Times New Roman" w:hAnsi="Times New Roman"/>
          <w:sz w:val="20"/>
        </w:rPr>
        <w:t xml:space="preserve">” means the issuance and sale by FBB to the FBB Investors of an aggregate number of shares of FBB Common Stock pursuant to those certain Commitment and Subscription Agreements for an aggregate purchase price as set forth in such Commitment and Subscription Agreements (as may be reduced as set forth therein), in one or more private placements to be consummated substantially concurrently with, but immediately prior to, the Closing, on the terms and subject to the conditions set forth in the Commitment and Subscription Agreements, and including any preemptive rights or rights offering that may, at FBB’s sole discretion, be conducted for additional sales of FBB Common Stock.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xml:space="preserve">” means all data protection, privacy and other applicable Laws that concern the Processing of any Personal Information. </w:t>
      </w:r>
    </w:p>
    <w:p>
      <w:pPr>
        <w:pStyle w:val="TextBody"/>
        <w:bidi w:val="0"/>
        <w:spacing w:before="240" w:after="0"/>
        <w:jc w:val="left"/>
        <w:rPr/>
      </w:pPr>
      <w:r>
        <w:rPr/>
        <w:t>“</w:t>
      </w:r>
      <w:r>
        <w:rPr>
          <w:rFonts w:ascii="Times New Roman" w:hAnsi="Times New Roman"/>
          <w:sz w:val="20"/>
          <w:u w:val="single"/>
        </w:rPr>
        <w:t>Processing</w:t>
      </w:r>
      <w:r>
        <w:rPr>
          <w:rFonts w:ascii="Times New Roman" w:hAnsi="Times New Roman"/>
          <w:sz w:val="20"/>
        </w:rPr>
        <w:t xml:space="preserve">” means any operation or set of operations which is performed upon Personal Information, by any means, such as collection, recording, organization, storage, adaptation or alteration, retrieval, consultation, use, disclosure by transmission,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Registration Expenses</w:t>
      </w:r>
      <w:r>
        <w:rPr>
          <w:rFonts w:ascii="Times New Roman" w:hAnsi="Times New Roman"/>
          <w:sz w:val="20"/>
        </w:rPr>
        <w:t xml:space="preserve">” means all expenses incurred in connection with the performance of or compliance with </w:t>
      </w:r>
      <w:r>
        <w:rPr>
          <w:rFonts w:ascii="Times New Roman" w:hAnsi="Times New Roman"/>
          <w:sz w:val="20"/>
          <w:u w:val="single"/>
        </w:rPr>
        <w:t>Section 6.02</w:t>
      </w:r>
      <w:r>
        <w:rPr>
          <w:rFonts w:ascii="Times New Roman" w:hAnsi="Times New Roman"/>
          <w:sz w:val="20"/>
        </w:rPr>
        <w:t xml:space="preserve">, including (a) all SEC, stock exchange or FINRA registration and filing fees (excluding, if applicable, the fees and expenses of any “qualified independent underwriter,” as such term is defined in Rule 5121 of FINRA, and of its counsel); (b) all fees and expenses of complying with securities or blue sky laws (including fees and disbursements of counsel for the underwriters in connection with blue sky qualifications and FINRA registration of the Registrable Securities); (c) all printing, messenger and delivery expenses, and fees and expenses of DXL’s transfer agent; (d) all fees and expenses incurred in connection with the listing of the Registrable Securities on any securities exchange; (e) the reasonable fees and disbursements of counsel for DXL and of its independent public accountants, including any comfort letters required by or incident to such performance and compliance; and (f) the costs and expenses of DXL relating to analyst and investor presentations or any “road show” undertaken in connection with the registration and/or marketing of the Registrable Securities. </w:t>
      </w:r>
    </w:p>
    <w:p>
      <w:pPr>
        <w:pStyle w:val="TextBody"/>
        <w:bidi w:val="0"/>
        <w:spacing w:before="240" w:after="0"/>
        <w:jc w:val="left"/>
        <w:rPr/>
      </w:pPr>
      <w:r>
        <w:rPr/>
        <w:t>“</w:t>
      </w:r>
      <w:r>
        <w:rPr>
          <w:rFonts w:ascii="Times New Roman" w:hAnsi="Times New Roman"/>
          <w:sz w:val="20"/>
          <w:u w:val="single"/>
        </w:rPr>
        <w:t>Registered IP</w:t>
      </w:r>
      <w:r>
        <w:rPr>
          <w:rFonts w:ascii="Times New Roman" w:hAnsi="Times New Roman"/>
          <w:sz w:val="20"/>
        </w:rPr>
        <w:t xml:space="preserve">” means all Intellectual Property Rights that are registered, applied-for, issued or granted under the authority of, with or by any Governmental Entity or registrar (in the case of internet domain names). </w:t>
      </w:r>
    </w:p>
    <w:p>
      <w:pPr>
        <w:pStyle w:val="TextBody"/>
        <w:bidi w:val="0"/>
        <w:spacing w:before="240" w:after="0"/>
        <w:jc w:val="left"/>
        <w:rPr/>
      </w:pPr>
      <w:r>
        <w:rPr/>
        <w:t>“</w:t>
      </w:r>
      <w:r>
        <w:rPr>
          <w:rFonts w:ascii="Times New Roman" w:hAnsi="Times New Roman"/>
          <w:sz w:val="20"/>
          <w:u w:val="single"/>
        </w:rPr>
        <w:t>Representative</w:t>
      </w:r>
      <w:r>
        <w:rPr>
          <w:rFonts w:ascii="Times New Roman" w:hAnsi="Times New Roman"/>
          <w:sz w:val="20"/>
        </w:rPr>
        <w:t xml:space="preserve">” means, with respect to any Person, such Person’s and each of its respective Subsidiaries’ and controlled Affiliates’ directors, officers, employees, investment bankers, financial advisors, attorneys, accountants or other advisors, agents or representatives.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including the rules and regulations promulgated thereunder. </w:t>
      </w:r>
    </w:p>
    <w:p>
      <w:pPr>
        <w:pStyle w:val="TextBody"/>
        <w:bidi w:val="0"/>
        <w:spacing w:before="240" w:after="0"/>
        <w:jc w:val="left"/>
        <w:rPr/>
      </w:pPr>
      <w:r>
        <w:rPr/>
        <w:t>“</w:t>
      </w:r>
      <w:r>
        <w:rPr>
          <w:rFonts w:ascii="Times New Roman" w:hAnsi="Times New Roman"/>
          <w:sz w:val="20"/>
          <w:u w:val="single"/>
        </w:rPr>
        <w:t>Selling Expenses</w:t>
      </w:r>
      <w:r>
        <w:rPr>
          <w:rFonts w:ascii="Times New Roman" w:hAnsi="Times New Roman"/>
          <w:sz w:val="20"/>
        </w:rPr>
        <w:t xml:space="preserve">” means all underwriting discounts, selling commissions and stock transfer taxes applicable to the sale of Registrable Securities, any fees and disbursements of underwriters and fees and expenses of legal counsel engaged by any FBB Significant Stockholder in respect of the sale of Registrable Securities. </w:t>
      </w:r>
    </w:p>
    <w:p>
      <w:pPr>
        <w:pStyle w:val="TextBody"/>
        <w:bidi w:val="0"/>
        <w:spacing w:before="240" w:after="0"/>
        <w:jc w:val="left"/>
        <w:rPr/>
      </w:pPr>
      <w:r>
        <w:rPr/>
        <w:t>“</w:t>
      </w:r>
      <w:r>
        <w:rPr>
          <w:rFonts w:ascii="Times New Roman" w:hAnsi="Times New Roman"/>
          <w:sz w:val="20"/>
          <w:u w:val="single"/>
        </w:rPr>
        <w:t>Subsequent Transaction</w:t>
      </w:r>
      <w:r>
        <w:rPr>
          <w:rFonts w:ascii="Times New Roman" w:hAnsi="Times New Roman"/>
          <w:sz w:val="20"/>
        </w:rPr>
        <w:t xml:space="preserve">” means, as applicable a transaction with respect to or pursuant to a DXL Takeover Proposal (with all references to 20% in the definition of “DXL Takeover Proposal” being treated as references to 50% for these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Subsidiary</w:t>
      </w:r>
      <w:r>
        <w:rPr>
          <w:rFonts w:ascii="Times New Roman" w:hAnsi="Times New Roman"/>
          <w:sz w:val="20"/>
        </w:rPr>
        <w:t>,” when used with respect to any Person, means any other Person,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 majority of the Equity Interests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 The term “</w:t>
      </w:r>
      <w:r>
        <w:rPr>
          <w:rFonts w:ascii="Times New Roman" w:hAnsi="Times New Roman"/>
          <w:sz w:val="20"/>
          <w:u w:val="single"/>
        </w:rPr>
        <w:t>DXL Subsidiary</w:t>
      </w:r>
      <w:r>
        <w:rPr>
          <w:rFonts w:ascii="Times New Roman" w:hAnsi="Times New Roman"/>
          <w:sz w:val="20"/>
        </w:rPr>
        <w:t>” means any direct or indirect Subsidiary of DXL and the term “</w:t>
      </w:r>
      <w:r>
        <w:rPr>
          <w:rFonts w:ascii="Times New Roman" w:hAnsi="Times New Roman"/>
          <w:sz w:val="20"/>
          <w:u w:val="single"/>
        </w:rPr>
        <w:t>FBB Subsidiary</w:t>
      </w:r>
      <w:r>
        <w:rPr>
          <w:rFonts w:ascii="Times New Roman" w:hAnsi="Times New Roman"/>
          <w:sz w:val="20"/>
        </w:rPr>
        <w:t xml:space="preserve">” means any direct or indirect Subsidiary of FBB.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xml:space="preserve">” means (a) any taxes (including foreign, federal, state, county or local income, sales and use, excise, franchise, real and personal property, gross receipt, capital gains, land betterment, purchase, alternative minimum, profit, value added, net worth, documentary stamp, production, business and occupation, disability, employment, health tax, national insurance, payroll or severance), levies, imposts, duties, deductions, withholdings (including backup withholding), assessments, fees or other similar charges imposed by any Governmental Entity, including any interest, linkage differentials, indexing, additions to tax or penalties applicable thereto, (b) any liability for Taxes described in </w:t>
      </w:r>
      <w:r>
        <w:rPr>
          <w:rFonts w:ascii="Times New Roman" w:hAnsi="Times New Roman"/>
          <w:sz w:val="20"/>
          <w:u w:val="single"/>
        </w:rPr>
        <w:t>clause (a)</w:t>
      </w:r>
      <w:r>
        <w:rPr>
          <w:rFonts w:ascii="Times New Roman" w:hAnsi="Times New Roman"/>
          <w:sz w:val="20"/>
        </w:rPr>
        <w:t xml:space="preserve"> under Treasury Regulation Section 1.1502-6 (or any similar provision of state, local or foreign Law) and (c) any liability for Taxes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 transferee or successor. </w:t>
      </w:r>
    </w:p>
    <w:p>
      <w:pPr>
        <w:pStyle w:val="TextBody"/>
        <w:bidi w:val="0"/>
        <w:spacing w:before="240" w:after="0"/>
        <w:jc w:val="left"/>
        <w:rPr/>
      </w:pPr>
      <w:r>
        <w:rPr/>
        <w:t>“</w:t>
      </w:r>
      <w:r>
        <w:rPr>
          <w:rFonts w:ascii="Times New Roman" w:hAnsi="Times New Roman"/>
          <w:sz w:val="20"/>
          <w:u w:val="single"/>
        </w:rPr>
        <w:t>Tax Authority</w:t>
      </w:r>
      <w:r>
        <w:rPr>
          <w:rFonts w:ascii="Times New Roman" w:hAnsi="Times New Roman"/>
          <w:sz w:val="20"/>
        </w:rPr>
        <w:t xml:space="preserve">” means the IRS and any other Governmental Entity responsible for the administration of Tax. </w:t>
      </w:r>
    </w:p>
    <w:p>
      <w:pPr>
        <w:pStyle w:val="TextBody"/>
        <w:bidi w:val="0"/>
        <w:spacing w:before="120" w:after="0"/>
        <w:jc w:val="left"/>
        <w:rPr/>
      </w:pPr>
      <w:r>
        <w:rPr/>
        <w:t>“</w:t>
      </w:r>
      <w:r>
        <w:rPr>
          <w:rFonts w:ascii="Times New Roman" w:hAnsi="Times New Roman"/>
          <w:sz w:val="20"/>
          <w:u w:val="single"/>
        </w:rPr>
        <w:t>Tax Return</w:t>
      </w:r>
      <w:r>
        <w:rPr>
          <w:rFonts w:ascii="Times New Roman" w:hAnsi="Times New Roman"/>
          <w:sz w:val="20"/>
        </w:rPr>
        <w:t xml:space="preserve">” means any return, filing, report, questionnaire, information statement or other document (including elections, declarations, disclosures, schedules, estimates, claims for refund and information returns) relating to Taxes, including any amendments thereof.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Merger and the other transactions contemplated by this Agreement. </w:t>
      </w:r>
    </w:p>
    <w:p>
      <w:pPr>
        <w:pStyle w:val="TextBody"/>
        <w:bidi w:val="0"/>
        <w:spacing w:before="240" w:after="0"/>
        <w:jc w:val="left"/>
        <w:rPr/>
      </w:pPr>
      <w:r>
        <w:rPr/>
        <w:t>“</w:t>
      </w:r>
      <w:r>
        <w:rPr>
          <w:rFonts w:ascii="Times New Roman" w:hAnsi="Times New Roman"/>
          <w:sz w:val="20"/>
          <w:u w:val="single"/>
        </w:rPr>
        <w:t>Unaccredited Investor</w:t>
      </w:r>
      <w:r>
        <w:rPr>
          <w:rFonts w:ascii="Times New Roman" w:hAnsi="Times New Roman"/>
          <w:sz w:val="20"/>
        </w:rPr>
        <w:t xml:space="preserve">” means any FBB Stockholder that is not an Accredited Investor. </w:t>
      </w:r>
    </w:p>
    <w:p>
      <w:pPr>
        <w:pStyle w:val="TextBody"/>
        <w:bidi w:val="0"/>
        <w:spacing w:before="240" w:after="0"/>
        <w:jc w:val="left"/>
        <w:rPr/>
      </w:pPr>
      <w:r>
        <w:rPr/>
        <w:t>“</w:t>
      </w:r>
      <w:r>
        <w:rPr>
          <w:rFonts w:ascii="Times New Roman" w:hAnsi="Times New Roman"/>
          <w:sz w:val="20"/>
          <w:u w:val="single"/>
        </w:rPr>
        <w:t>Unaccredited Investor Cash Consideration</w:t>
      </w:r>
      <w:r>
        <w:rPr>
          <w:rFonts w:ascii="Times New Roman" w:hAnsi="Times New Roman"/>
          <w:sz w:val="20"/>
        </w:rPr>
        <w:t xml:space="preserve">” means, with respect to each share of FBB Common Stock owned by a FBB Stockholder that is an Unaccredited Investor, an amount in cash equal to the product of (a) the Exchange Ratio and (b) the DXL Stock Price. </w:t>
      </w:r>
    </w:p>
    <w:p>
      <w:pPr>
        <w:pStyle w:val="TextBody"/>
        <w:bidi w:val="0"/>
        <w:spacing w:before="240" w:after="0"/>
        <w:jc w:val="left"/>
        <w:rPr/>
      </w:pPr>
      <w:r>
        <w:rPr/>
        <w:t>“</w:t>
      </w:r>
      <w:r>
        <w:rPr>
          <w:rFonts w:ascii="Times New Roman" w:hAnsi="Times New Roman"/>
          <w:sz w:val="20"/>
          <w:u w:val="single"/>
        </w:rPr>
        <w:t>Underwritten Offering</w:t>
      </w:r>
      <w:r>
        <w:rPr>
          <w:rFonts w:ascii="Times New Roman" w:hAnsi="Times New Roman"/>
          <w:sz w:val="20"/>
        </w:rPr>
        <w:t xml:space="preserve">” means a sale of Registrable Securities to an underwriter or underwriters for reoffering to the public, including in a block trade or overnight “bought deal” offered and sold through an underwriter or underwriters. </w:t>
      </w:r>
    </w:p>
    <w:p>
      <w:pPr>
        <w:pStyle w:val="TextBody"/>
        <w:bidi w:val="0"/>
        <w:spacing w:before="240" w:after="0"/>
        <w:jc w:val="left"/>
        <w:rPr>
          <w:rFonts w:ascii="Times New Roman" w:hAnsi="Times New Roman"/>
          <w:sz w:val="20"/>
        </w:rPr>
      </w:pPr>
      <w:bookmarkStart w:id="209" w:name="anxa76201_106"/>
      <w:bookmarkEnd w:id="209"/>
      <w:r>
        <w:rPr>
          <w:rFonts w:ascii="Times New Roman" w:hAnsi="Times New Roman"/>
          <w:b/>
          <w:sz w:val="20"/>
        </w:rPr>
        <w:t xml:space="preserve">SECTION 9.04 </w:t>
      </w:r>
      <w:r>
        <w:rPr>
          <w:rFonts w:ascii="Times New Roman" w:hAnsi="Times New Roman"/>
          <w:sz w:val="20"/>
          <w:u w:val="single"/>
        </w:rPr>
        <w:t>Other Defined Terms</w:t>
      </w:r>
      <w:r>
        <w:rPr>
          <w:rFonts w:ascii="Times New Roman" w:hAnsi="Times New Roman"/>
          <w:sz w:val="20"/>
        </w:rPr>
        <w:t xml:space="preserve">. The following capitalized terms have the meanings in the locations within this Agreement indicated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21"/>
        <w:gridCol w:w="203"/>
        <w:gridCol w:w="3981"/>
      </w:tblGrid>
      <w:tr>
        <w:trPr/>
        <w:tc>
          <w:tcPr>
            <w:tcW w:w="602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Advisor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Agreement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Anti-Corruption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Section3.23</w:t>
            </w:r>
          </w:p>
        </w:tc>
      </w:tr>
      <w:tr>
        <w:trPr/>
        <w:tc>
          <w:tcPr>
            <w:tcW w:w="6021" w:type="dxa"/>
            <w:tcBorders/>
          </w:tcPr>
          <w:p>
            <w:pPr>
              <w:pStyle w:val="TableContents"/>
              <w:bidi w:val="0"/>
              <w:spacing w:before="0" w:after="283"/>
              <w:jc w:val="left"/>
              <w:rPr/>
            </w:pPr>
            <w:r>
              <w:rPr/>
              <w:t>Antitrust Laws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Appraisal Shares</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2.01(b)</w:t>
            </w:r>
          </w:p>
        </w:tc>
      </w:tr>
      <w:tr>
        <w:trPr/>
        <w:tc>
          <w:tcPr>
            <w:tcW w:w="6021" w:type="dxa"/>
            <w:tcBorders/>
          </w:tcPr>
          <w:p>
            <w:pPr>
              <w:pStyle w:val="TableContents"/>
              <w:bidi w:val="0"/>
              <w:spacing w:before="0" w:after="283"/>
              <w:jc w:val="left"/>
              <w:rPr/>
            </w:pPr>
            <w:r>
              <w:rPr/>
              <w:t>Automatic Shelf Registration Statement</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Book-Entry Share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Section2.01(a)(i)</w:t>
            </w:r>
          </w:p>
        </w:tc>
      </w:tr>
      <w:tr>
        <w:trPr/>
        <w:tc>
          <w:tcPr>
            <w:tcW w:w="6021" w:type="dxa"/>
            <w:tcBorders/>
          </w:tcPr>
          <w:p>
            <w:pPr>
              <w:pStyle w:val="TableContents"/>
              <w:bidi w:val="0"/>
              <w:spacing w:before="0" w:after="283"/>
              <w:jc w:val="left"/>
              <w:rPr/>
            </w:pPr>
            <w:r>
              <w:rPr/>
              <w:t>Certificate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Certificate of Designation</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Certificate of Merger</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Clearance Date</w:t>
            </w:r>
          </w:p>
        </w:tc>
        <w:tc>
          <w:tcPr>
            <w:tcW w:w="203" w:type="dxa"/>
            <w:tcBorders/>
            <w:vAlign w:val="bottom"/>
          </w:tcPr>
          <w:p>
            <w:pPr>
              <w:pStyle w:val="TableContents"/>
              <w:bidi w:val="0"/>
              <w:spacing w:before="0" w:after="283"/>
              <w:jc w:val="left"/>
              <w:rPr/>
            </w:pPr>
            <w:r>
              <w:rPr/>
              <w:t>  </w:t>
            </w:r>
          </w:p>
        </w:tc>
        <w:tc>
          <w:tcPr>
            <w:tcW w:w="3981" w:type="dxa"/>
            <w:tcBorders/>
          </w:tcPr>
          <w:p>
            <w:pPr>
              <w:pStyle w:val="TableContents"/>
              <w:bidi w:val="0"/>
              <w:spacing w:before="0" w:after="283"/>
              <w:jc w:val="center"/>
              <w:rPr/>
            </w:pPr>
            <w:r>
              <w:rPr/>
              <w:t>Section 6.01(b)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1.02</w:t>
            </w:r>
          </w:p>
        </w:tc>
      </w:tr>
      <w:tr>
        <w:trPr/>
        <w:tc>
          <w:tcPr>
            <w:tcW w:w="6021" w:type="dxa"/>
            <w:tcBorders/>
          </w:tcPr>
          <w:p>
            <w:pPr>
              <w:pStyle w:val="TableContents"/>
              <w:bidi w:val="0"/>
              <w:spacing w:before="0" w:after="283"/>
              <w:jc w:val="left"/>
              <w:rPr/>
            </w:pPr>
            <w:r>
              <w:rPr/>
              <w:t>COD Amendment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6.19</w:t>
            </w:r>
          </w:p>
        </w:tc>
      </w:tr>
      <w:tr>
        <w:trPr/>
        <w:tc>
          <w:tcPr>
            <w:tcW w:w="6021" w:type="dxa"/>
            <w:tcBorders/>
          </w:tcPr>
          <w:p>
            <w:pPr>
              <w:pStyle w:val="TableContents"/>
              <w:bidi w:val="0"/>
              <w:spacing w:before="0" w:after="283"/>
              <w:jc w:val="left"/>
              <w:rPr/>
            </w:pPr>
            <w:r>
              <w:rPr/>
              <w:t>Confidentiality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w:t>
            </w:r>
          </w:p>
        </w:tc>
      </w:tr>
      <w:tr>
        <w:trPr/>
        <w:tc>
          <w:tcPr>
            <w:tcW w:w="6021" w:type="dxa"/>
            <w:tcBorders/>
          </w:tcPr>
          <w:p>
            <w:pPr>
              <w:pStyle w:val="TableContents"/>
              <w:bidi w:val="0"/>
              <w:spacing w:before="0" w:after="283"/>
              <w:jc w:val="left"/>
              <w:rPr/>
            </w:pPr>
            <w:r>
              <w:rPr/>
              <w:t>Consents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6.04(a)</w:t>
            </w:r>
          </w:p>
        </w:tc>
      </w:tr>
      <w:tr>
        <w:trPr/>
        <w:tc>
          <w:tcPr>
            <w:tcW w:w="6021" w:type="dxa"/>
            <w:tcBorders/>
          </w:tcPr>
          <w:p>
            <w:pPr>
              <w:pStyle w:val="TableContents"/>
              <w:bidi w:val="0"/>
              <w:spacing w:before="0" w:after="283"/>
              <w:jc w:val="left"/>
              <w:rPr/>
            </w:pPr>
            <w:r>
              <w:rPr/>
              <w:t>Demand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6.02(d)</w:t>
            </w:r>
          </w:p>
        </w:tc>
      </w:tr>
      <w:tr>
        <w:trPr/>
        <w:tc>
          <w:tcPr>
            <w:tcW w:w="6021" w:type="dxa"/>
            <w:tcBorders/>
          </w:tcPr>
          <w:p>
            <w:pPr>
              <w:pStyle w:val="TableContents"/>
              <w:bidi w:val="0"/>
              <w:spacing w:before="0" w:after="283"/>
              <w:jc w:val="left"/>
              <w:rPr/>
            </w:pPr>
            <w:r>
              <w:rPr/>
              <w:t>DGCL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Dispute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9.09</w:t>
            </w:r>
          </w:p>
        </w:tc>
      </w:tr>
      <w:tr>
        <w:trPr/>
        <w:tc>
          <w:tcPr>
            <w:tcW w:w="6021" w:type="dxa"/>
            <w:tcBorders/>
          </w:tcPr>
          <w:p>
            <w:pPr>
              <w:pStyle w:val="TableContents"/>
              <w:bidi w:val="0"/>
              <w:spacing w:before="0" w:after="283"/>
              <w:jc w:val="left"/>
              <w:rPr/>
            </w:pPr>
            <w:r>
              <w:rPr/>
              <w:t>DXL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DXL Acquisition Agreement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5.06(a)</w:t>
            </w:r>
          </w:p>
        </w:tc>
      </w:tr>
      <w:tr>
        <w:trPr/>
        <w:tc>
          <w:tcPr>
            <w:tcW w:w="6021" w:type="dxa"/>
            <w:tcBorders/>
          </w:tcPr>
          <w:p>
            <w:pPr>
              <w:pStyle w:val="TableContents"/>
              <w:bidi w:val="0"/>
              <w:spacing w:before="0" w:after="283"/>
              <w:jc w:val="left"/>
              <w:rPr/>
            </w:pPr>
            <w:r>
              <w:rPr/>
              <w:t>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DXL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DXL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DXL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3.02(a)(i)</w:t>
            </w:r>
          </w:p>
        </w:tc>
      </w:tr>
      <w:tr>
        <w:trPr/>
        <w:tc>
          <w:tcPr>
            <w:tcW w:w="6021" w:type="dxa"/>
            <w:tcBorders/>
          </w:tcPr>
          <w:p>
            <w:pPr>
              <w:pStyle w:val="TableContents"/>
              <w:bidi w:val="0"/>
              <w:spacing w:before="0" w:after="283"/>
              <w:jc w:val="left"/>
              <w:rPr/>
            </w:pPr>
            <w:r>
              <w:rPr/>
              <w:t>DXL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DXL Fairness Opinion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3.24</w:t>
            </w:r>
          </w:p>
        </w:tc>
      </w:tr>
      <w:tr>
        <w:trPr/>
        <w:tc>
          <w:tcPr>
            <w:tcW w:w="6021" w:type="dxa"/>
            <w:tcBorders/>
          </w:tcPr>
          <w:p>
            <w:pPr>
              <w:pStyle w:val="TableContents"/>
              <w:bidi w:val="0"/>
              <w:spacing w:before="0" w:after="283"/>
              <w:jc w:val="left"/>
              <w:rPr/>
            </w:pPr>
            <w:r>
              <w:rPr/>
              <w:t>DXL Initiated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DXL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DXL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3.15(a)</w:t>
            </w:r>
          </w:p>
        </w:tc>
      </w:tr>
      <w:tr>
        <w:trPr/>
        <w:tc>
          <w:tcPr>
            <w:tcW w:w="6021" w:type="dxa"/>
            <w:tcBorders/>
          </w:tcPr>
          <w:p>
            <w:pPr>
              <w:pStyle w:val="TableContents"/>
              <w:bidi w:val="0"/>
              <w:spacing w:before="0" w:after="283"/>
              <w:jc w:val="left"/>
              <w:rPr/>
            </w:pPr>
            <w:r>
              <w:rPr/>
              <w:t>DXL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DXL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3.22(a)</w:t>
            </w:r>
          </w:p>
        </w:tc>
      </w:tr>
      <w:tr>
        <w:trPr/>
        <w:tc>
          <w:tcPr>
            <w:tcW w:w="6021" w:type="dxa"/>
            <w:tcBorders/>
          </w:tcPr>
          <w:p>
            <w:pPr>
              <w:pStyle w:val="TableContents"/>
              <w:bidi w:val="0"/>
              <w:spacing w:before="0" w:after="283"/>
              <w:jc w:val="left"/>
              <w:rPr/>
            </w:pPr>
            <w:r>
              <w:rPr/>
              <w:t>DXL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3.22(b)</w:t>
            </w:r>
          </w:p>
        </w:tc>
      </w:tr>
      <w:tr>
        <w:trPr/>
        <w:tc>
          <w:tcPr>
            <w:tcW w:w="6021" w:type="dxa"/>
            <w:tcBorders/>
          </w:tcPr>
          <w:p>
            <w:pPr>
              <w:pStyle w:val="TableContents"/>
              <w:bidi w:val="0"/>
              <w:spacing w:before="0" w:after="283"/>
              <w:jc w:val="left"/>
              <w:rPr/>
            </w:pPr>
            <w:r>
              <w:rPr/>
              <w:t>DXL SEC Reports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DXL Stockholder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Stockholders Meeting</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DXL Superior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5.06(e)</w:t>
            </w:r>
          </w:p>
        </w:tc>
      </w:tr>
      <w:tr>
        <w:trPr/>
        <w:tc>
          <w:tcPr>
            <w:tcW w:w="6021" w:type="dxa"/>
            <w:tcBorders/>
          </w:tcPr>
          <w:p>
            <w:pPr>
              <w:pStyle w:val="TableContents"/>
              <w:bidi w:val="0"/>
              <w:spacing w:before="0" w:after="283"/>
              <w:jc w:val="left"/>
              <w:rPr/>
            </w:pPr>
            <w:r>
              <w:rPr/>
              <w:t>DXL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5.06(b)</w:t>
            </w:r>
          </w:p>
        </w:tc>
      </w:tr>
      <w:tr>
        <w:trPr/>
        <w:tc>
          <w:tcPr>
            <w:tcW w:w="6021" w:type="dxa"/>
            <w:tcBorders/>
          </w:tcPr>
          <w:p>
            <w:pPr>
              <w:pStyle w:val="TableContents"/>
              <w:bidi w:val="0"/>
              <w:spacing w:before="0" w:after="283"/>
              <w:jc w:val="left"/>
              <w:rPr/>
            </w:pPr>
            <w:r>
              <w:rPr/>
              <w:t>DXL Termination Fee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6.07(b)</w:t>
            </w:r>
          </w:p>
        </w:tc>
      </w:tr>
      <w:tr>
        <w:trPr/>
        <w:tc>
          <w:tcPr>
            <w:tcW w:w="6021" w:type="dxa"/>
            <w:tcBorders/>
          </w:tcPr>
          <w:p>
            <w:pPr>
              <w:pStyle w:val="TableContents"/>
              <w:bidi w:val="0"/>
              <w:spacing w:before="0" w:after="283"/>
              <w:jc w:val="left"/>
              <w:rPr/>
            </w:pPr>
            <w:r>
              <w:rPr/>
              <w:t>DXL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3.02(b)</w:t>
            </w:r>
          </w:p>
        </w:tc>
      </w:tr>
      <w:tr>
        <w:trPr/>
        <w:tc>
          <w:tcPr>
            <w:tcW w:w="6021" w:type="dxa"/>
            <w:tcBorders/>
          </w:tcPr>
          <w:p>
            <w:pPr>
              <w:pStyle w:val="TableContents"/>
              <w:bidi w:val="0"/>
              <w:spacing w:before="0" w:after="283"/>
              <w:jc w:val="left"/>
              <w:rPr/>
            </w:pPr>
            <w:r>
              <w:rPr/>
              <w:t>DXL’s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3.07</w:t>
            </w:r>
          </w:p>
        </w:tc>
      </w:tr>
      <w:tr>
        <w:trPr/>
        <w:tc>
          <w:tcPr>
            <w:tcW w:w="6021" w:type="dxa"/>
            <w:tcBorders/>
          </w:tcPr>
          <w:p>
            <w:pPr>
              <w:pStyle w:val="TableContents"/>
              <w:bidi w:val="0"/>
              <w:spacing w:before="0" w:after="283"/>
              <w:jc w:val="left"/>
              <w:rPr/>
            </w:pPr>
            <w:r>
              <w:rPr/>
              <w:t>D&amp;O Indemnified Parties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6.11(a)</w:t>
            </w:r>
          </w:p>
        </w:tc>
      </w:tr>
      <w:tr>
        <w:trPr/>
        <w:tc>
          <w:tcPr>
            <w:tcW w:w="6021" w:type="dxa"/>
            <w:tcBorders/>
          </w:tcPr>
          <w:p>
            <w:pPr>
              <w:pStyle w:val="TableContents"/>
              <w:bidi w:val="0"/>
              <w:spacing w:before="0" w:after="283"/>
              <w:jc w:val="left"/>
              <w:rPr/>
            </w:pPr>
            <w:r>
              <w:rPr/>
              <w:t>Effective Time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1.03</w:t>
            </w:r>
          </w:p>
        </w:tc>
      </w:tr>
      <w:tr>
        <w:trPr/>
        <w:tc>
          <w:tcPr>
            <w:tcW w:w="6021" w:type="dxa"/>
            <w:tcBorders/>
          </w:tcPr>
          <w:p>
            <w:pPr>
              <w:pStyle w:val="TableContents"/>
              <w:bidi w:val="0"/>
              <w:spacing w:before="0" w:after="283"/>
              <w:jc w:val="left"/>
              <w:rPr/>
            </w:pPr>
            <w:r>
              <w:rPr/>
              <w:t>Employment Matters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3.12(d)</w:t>
            </w:r>
          </w:p>
        </w:tc>
      </w:tr>
      <w:tr>
        <w:trPr/>
        <w:tc>
          <w:tcPr>
            <w:tcW w:w="6021" w:type="dxa"/>
            <w:tcBorders/>
          </w:tcPr>
          <w:p>
            <w:pPr>
              <w:pStyle w:val="TableContents"/>
              <w:bidi w:val="0"/>
              <w:spacing w:before="0" w:after="283"/>
              <w:jc w:val="left"/>
              <w:rPr/>
            </w:pPr>
            <w:r>
              <w:rPr/>
              <w:t>End Date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8.01(e)</w:t>
            </w:r>
          </w:p>
        </w:tc>
      </w:tr>
      <w:tr>
        <w:trPr/>
        <w:tc>
          <w:tcPr>
            <w:tcW w:w="6021" w:type="dxa"/>
            <w:tcBorders/>
          </w:tcPr>
          <w:p>
            <w:pPr>
              <w:pStyle w:val="TableContents"/>
              <w:bidi w:val="0"/>
              <w:spacing w:before="0" w:after="283"/>
              <w:jc w:val="left"/>
              <w:rPr/>
            </w:pPr>
            <w:r>
              <w:rPr/>
              <w:t>Enforceability Exceptions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3.03(a)</w:t>
            </w:r>
          </w:p>
        </w:tc>
      </w:tr>
      <w:tr>
        <w:trPr/>
        <w:tc>
          <w:tcPr>
            <w:tcW w:w="6021" w:type="dxa"/>
            <w:tcBorders/>
          </w:tcPr>
          <w:p>
            <w:pPr>
              <w:pStyle w:val="TableContents"/>
              <w:bidi w:val="0"/>
              <w:spacing w:before="0" w:after="283"/>
              <w:jc w:val="left"/>
              <w:rPr/>
            </w:pPr>
            <w:r>
              <w:rPr/>
              <w:t>Environmental Claims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w:t>
            </w:r>
          </w:p>
        </w:tc>
      </w:tr>
      <w:tr>
        <w:trPr/>
        <w:tc>
          <w:tcPr>
            <w:tcW w:w="6021" w:type="dxa"/>
            <w:tcBorders/>
          </w:tcPr>
          <w:p>
            <w:pPr>
              <w:pStyle w:val="TableContents"/>
              <w:bidi w:val="0"/>
              <w:spacing w:before="0" w:after="283"/>
              <w:jc w:val="left"/>
              <w:rPr/>
            </w:pPr>
            <w:r>
              <w:rPr/>
              <w:t>Environmental Laws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w:t>
            </w:r>
          </w:p>
        </w:tc>
      </w:tr>
      <w:tr>
        <w:trPr/>
        <w:tc>
          <w:tcPr>
            <w:tcW w:w="6021" w:type="dxa"/>
            <w:tcBorders/>
          </w:tcPr>
          <w:p>
            <w:pPr>
              <w:pStyle w:val="TableContents"/>
              <w:bidi w:val="0"/>
              <w:spacing w:before="0" w:after="283"/>
              <w:jc w:val="left"/>
              <w:rPr/>
            </w:pPr>
            <w:r>
              <w:rPr/>
              <w:t>Environmental Permits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3.16(e)(iii)</w:t>
            </w:r>
          </w:p>
        </w:tc>
      </w:tr>
      <w:tr>
        <w:trPr/>
        <w:tc>
          <w:tcPr>
            <w:tcW w:w="6021" w:type="dxa"/>
            <w:tcBorders/>
          </w:tcPr>
          <w:p>
            <w:pPr>
              <w:pStyle w:val="TableContents"/>
              <w:bidi w:val="0"/>
              <w:spacing w:before="0" w:after="283"/>
              <w:jc w:val="left"/>
              <w:rPr/>
            </w:pPr>
            <w:r>
              <w:rPr/>
              <w:t>ERISA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Exchange Agent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Exchange Fund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Excluded Shares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2.01(a)(ii)</w:t>
            </w:r>
          </w:p>
        </w:tc>
      </w:tr>
      <w:tr>
        <w:trPr/>
        <w:tc>
          <w:tcPr>
            <w:tcW w:w="6021" w:type="dxa"/>
            <w:tcBorders/>
          </w:tcPr>
          <w:p>
            <w:pPr>
              <w:pStyle w:val="TableContents"/>
              <w:bidi w:val="0"/>
              <w:spacing w:before="0" w:after="283"/>
              <w:jc w:val="left"/>
              <w:rPr/>
            </w:pPr>
            <w:r>
              <w:rPr/>
              <w:t>Excluded Transaction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5.05(c)</w:t>
            </w:r>
          </w:p>
        </w:tc>
      </w:tr>
      <w:tr>
        <w:trPr/>
        <w:tc>
          <w:tcPr>
            <w:tcW w:w="6021" w:type="dxa"/>
            <w:tcBorders/>
          </w:tcPr>
          <w:p>
            <w:pPr>
              <w:pStyle w:val="TableContents"/>
              <w:bidi w:val="0"/>
              <w:spacing w:before="0" w:after="283"/>
              <w:jc w:val="left"/>
              <w:rPr/>
            </w:pPr>
            <w:r>
              <w:rPr/>
              <w:t>FBB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FBB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4.10(a)</w:t>
            </w:r>
          </w:p>
        </w:tc>
      </w:tr>
      <w:tr>
        <w:trPr/>
        <w:tc>
          <w:tcPr>
            <w:tcW w:w="6021" w:type="dxa"/>
            <w:tcBorders/>
          </w:tcPr>
          <w:p>
            <w:pPr>
              <w:pStyle w:val="TableContents"/>
              <w:bidi w:val="0"/>
              <w:spacing w:before="0" w:after="283"/>
              <w:jc w:val="left"/>
              <w:rPr/>
            </w:pPr>
            <w:r>
              <w:rPr/>
              <w:t>FBB Board</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FBB Capital Stock</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Employees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4.11(a)</w:t>
            </w:r>
          </w:p>
        </w:tc>
      </w:tr>
      <w:tr>
        <w:trPr/>
        <w:tc>
          <w:tcPr>
            <w:tcW w:w="6021" w:type="dxa"/>
            <w:tcBorders/>
          </w:tcPr>
          <w:p>
            <w:pPr>
              <w:pStyle w:val="TableContents"/>
              <w:bidi w:val="0"/>
              <w:spacing w:before="0" w:after="283"/>
              <w:jc w:val="left"/>
              <w:rPr/>
            </w:pPr>
            <w:r>
              <w:rPr/>
              <w:t>FBB Equity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Financial Statements......................................................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1"/>
        <w:gridCol w:w="204"/>
        <w:gridCol w:w="3980"/>
      </w:tblGrid>
      <w:tr>
        <w:trPr/>
        <w:tc>
          <w:tcPr>
            <w:tcW w:w="602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4"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1" w:type="dxa"/>
            <w:tcBorders/>
          </w:tcPr>
          <w:p>
            <w:pPr>
              <w:pStyle w:val="TableContents"/>
              <w:bidi w:val="0"/>
              <w:spacing w:before="0" w:after="283"/>
              <w:jc w:val="left"/>
              <w:rPr/>
            </w:pPr>
            <w:r>
              <w:rPr/>
              <w:t>FBB IP Rights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4.19(a)</w:t>
            </w:r>
          </w:p>
        </w:tc>
      </w:tr>
      <w:tr>
        <w:trPr/>
        <w:tc>
          <w:tcPr>
            <w:tcW w:w="6021" w:type="dxa"/>
            <w:tcBorders/>
          </w:tcPr>
          <w:p>
            <w:pPr>
              <w:pStyle w:val="TableContents"/>
              <w:bidi w:val="0"/>
              <w:spacing w:before="0" w:after="283"/>
              <w:jc w:val="left"/>
              <w:rPr/>
            </w:pPr>
            <w:r>
              <w:rPr/>
              <w:t>FBB Leased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FBB Material Contract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4.14(a)</w:t>
            </w:r>
          </w:p>
        </w:tc>
      </w:tr>
      <w:tr>
        <w:trPr/>
        <w:tc>
          <w:tcPr>
            <w:tcW w:w="6021" w:type="dxa"/>
            <w:tcBorders/>
          </w:tcPr>
          <w:p>
            <w:pPr>
              <w:pStyle w:val="TableContents"/>
              <w:bidi w:val="0"/>
              <w:spacing w:before="0" w:after="283"/>
              <w:jc w:val="left"/>
              <w:rPr/>
            </w:pPr>
            <w:r>
              <w:rPr/>
              <w:t>FBB Nominee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FBB Owned Real Property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4.21(a)</w:t>
            </w:r>
          </w:p>
        </w:tc>
      </w:tr>
      <w:tr>
        <w:trPr/>
        <w:tc>
          <w:tcPr>
            <w:tcW w:w="6021" w:type="dxa"/>
            <w:tcBorders/>
          </w:tcPr>
          <w:p>
            <w:pPr>
              <w:pStyle w:val="TableContents"/>
              <w:bidi w:val="0"/>
              <w:spacing w:before="0" w:after="283"/>
              <w:jc w:val="left"/>
              <w:rPr/>
            </w:pPr>
            <w:r>
              <w:rPr/>
              <w:t>FBB Real Property 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4.21(b)</w:t>
            </w:r>
          </w:p>
        </w:tc>
      </w:tr>
      <w:tr>
        <w:trPr/>
        <w:tc>
          <w:tcPr>
            <w:tcW w:w="6021" w:type="dxa"/>
            <w:tcBorders/>
          </w:tcPr>
          <w:p>
            <w:pPr>
              <w:pStyle w:val="TableContents"/>
              <w:bidi w:val="0"/>
              <w:spacing w:before="0" w:after="283"/>
              <w:jc w:val="left"/>
              <w:rPr/>
            </w:pPr>
            <w:r>
              <w:rPr/>
              <w:t>FBB Restricted Stock Awards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4.02(a)(i)</w:t>
            </w:r>
          </w:p>
        </w:tc>
      </w:tr>
      <w:tr>
        <w:trPr/>
        <w:tc>
          <w:tcPr>
            <w:tcW w:w="6021" w:type="dxa"/>
            <w:tcBorders/>
          </w:tcPr>
          <w:p>
            <w:pPr>
              <w:pStyle w:val="TableContents"/>
              <w:bidi w:val="0"/>
              <w:spacing w:before="0" w:after="283"/>
              <w:jc w:val="left"/>
              <w:rPr/>
            </w:pPr>
            <w:r>
              <w:rPr/>
              <w:t>FBB Selling Stockholders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FBB Stockholder Approval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4.03(a)</w:t>
            </w:r>
          </w:p>
        </w:tc>
      </w:tr>
      <w:tr>
        <w:trPr/>
        <w:tc>
          <w:tcPr>
            <w:tcW w:w="6021" w:type="dxa"/>
            <w:tcBorders/>
          </w:tcPr>
          <w:p>
            <w:pPr>
              <w:pStyle w:val="TableContents"/>
              <w:bidi w:val="0"/>
              <w:spacing w:before="0" w:after="283"/>
              <w:jc w:val="left"/>
              <w:rPr/>
            </w:pPr>
            <w:r>
              <w:rPr/>
              <w:t>FBB Stockholder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6.01(d)</w:t>
            </w:r>
          </w:p>
        </w:tc>
      </w:tr>
      <w:tr>
        <w:trPr/>
        <w:tc>
          <w:tcPr>
            <w:tcW w:w="6021" w:type="dxa"/>
            <w:tcBorders/>
          </w:tcPr>
          <w:p>
            <w:pPr>
              <w:pStyle w:val="TableContents"/>
              <w:bidi w:val="0"/>
              <w:spacing w:before="0" w:after="283"/>
              <w:jc w:val="left"/>
              <w:rPr/>
            </w:pPr>
            <w:r>
              <w:rPr/>
              <w:t>FBB Takeover Proposal</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5.05(b)</w:t>
            </w:r>
          </w:p>
        </w:tc>
      </w:tr>
      <w:tr>
        <w:trPr/>
        <w:tc>
          <w:tcPr>
            <w:tcW w:w="6021" w:type="dxa"/>
            <w:tcBorders/>
          </w:tcPr>
          <w:p>
            <w:pPr>
              <w:pStyle w:val="TableContents"/>
              <w:bidi w:val="0"/>
              <w:spacing w:before="0" w:after="283"/>
              <w:jc w:val="left"/>
              <w:rPr/>
            </w:pPr>
            <w:r>
              <w:rPr/>
              <w:t>FBB Voting Debt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4.02(b)</w:t>
            </w:r>
          </w:p>
        </w:tc>
      </w:tr>
      <w:tr>
        <w:trPr/>
        <w:tc>
          <w:tcPr>
            <w:tcW w:w="6021" w:type="dxa"/>
            <w:tcBorders/>
          </w:tcPr>
          <w:p>
            <w:pPr>
              <w:pStyle w:val="TableContents"/>
              <w:bidi w:val="0"/>
              <w:spacing w:before="0" w:after="283"/>
              <w:jc w:val="left"/>
              <w:rPr/>
            </w:pPr>
            <w:r>
              <w:rPr/>
              <w:t>FBB Written Consent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6.01(c)</w:t>
            </w:r>
          </w:p>
        </w:tc>
      </w:tr>
      <w:tr>
        <w:trPr/>
        <w:tc>
          <w:tcPr>
            <w:tcW w:w="6021" w:type="dxa"/>
            <w:tcBorders/>
          </w:tcPr>
          <w:p>
            <w:pPr>
              <w:pStyle w:val="TableContents"/>
              <w:bidi w:val="0"/>
              <w:spacing w:before="0" w:after="283"/>
              <w:jc w:val="left"/>
              <w:rPr/>
            </w:pPr>
            <w:r>
              <w:rPr/>
              <w:t>FBB’s Financial Advisor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4.06</w:t>
            </w:r>
          </w:p>
        </w:tc>
      </w:tr>
      <w:tr>
        <w:trPr/>
        <w:tc>
          <w:tcPr>
            <w:tcW w:w="6021" w:type="dxa"/>
            <w:tcBorders/>
          </w:tcPr>
          <w:p>
            <w:pPr>
              <w:pStyle w:val="TableContents"/>
              <w:bidi w:val="0"/>
              <w:spacing w:before="0" w:after="283"/>
              <w:jc w:val="left"/>
              <w:rPr/>
            </w:pPr>
            <w:r>
              <w:rPr/>
              <w:t>Final Stockholders Registry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2.02(a)</w:t>
            </w:r>
          </w:p>
        </w:tc>
      </w:tr>
      <w:tr>
        <w:trPr/>
        <w:tc>
          <w:tcPr>
            <w:tcW w:w="6021" w:type="dxa"/>
            <w:tcBorders/>
          </w:tcPr>
          <w:p>
            <w:pPr>
              <w:pStyle w:val="TableContents"/>
              <w:bidi w:val="0"/>
              <w:spacing w:before="0" w:after="283"/>
              <w:jc w:val="left"/>
              <w:rPr/>
            </w:pPr>
            <w:r>
              <w:rPr/>
              <w:t>FLSA</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3.12(a)</w:t>
            </w:r>
          </w:p>
        </w:tc>
      </w:tr>
      <w:tr>
        <w:trPr/>
        <w:tc>
          <w:tcPr>
            <w:tcW w:w="6021" w:type="dxa"/>
            <w:tcBorders/>
          </w:tcPr>
          <w:p>
            <w:pPr>
              <w:pStyle w:val="TableContents"/>
              <w:bidi w:val="0"/>
              <w:spacing w:before="0" w:after="283"/>
              <w:jc w:val="left"/>
              <w:rPr/>
            </w:pPr>
            <w:r>
              <w:rPr/>
              <w:t>GAAP</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3.06(a)</w:t>
            </w:r>
          </w:p>
        </w:tc>
      </w:tr>
      <w:tr>
        <w:trPr/>
        <w:tc>
          <w:tcPr>
            <w:tcW w:w="6021" w:type="dxa"/>
            <w:tcBorders/>
          </w:tcPr>
          <w:p>
            <w:pPr>
              <w:pStyle w:val="TableContents"/>
              <w:bidi w:val="0"/>
              <w:spacing w:before="0" w:after="283"/>
              <w:jc w:val="left"/>
              <w:rPr/>
            </w:pPr>
            <w:r>
              <w:rPr/>
              <w:t>Governmental Entity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Hazardous Materials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Indemnified Party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6.02(g)</w:t>
            </w:r>
          </w:p>
        </w:tc>
      </w:tr>
      <w:tr>
        <w:trPr/>
        <w:tc>
          <w:tcPr>
            <w:tcW w:w="6021" w:type="dxa"/>
            <w:tcBorders/>
          </w:tcPr>
          <w:p>
            <w:pPr>
              <w:pStyle w:val="TableContents"/>
              <w:bidi w:val="0"/>
              <w:spacing w:before="0" w:after="283"/>
              <w:jc w:val="left"/>
              <w:rPr/>
            </w:pPr>
            <w:r>
              <w:rPr/>
              <w:t>Independent Director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6.09(a)</w:t>
            </w:r>
          </w:p>
        </w:tc>
      </w:tr>
      <w:tr>
        <w:trPr/>
        <w:tc>
          <w:tcPr>
            <w:tcW w:w="6021" w:type="dxa"/>
            <w:tcBorders/>
          </w:tcPr>
          <w:p>
            <w:pPr>
              <w:pStyle w:val="TableContents"/>
              <w:bidi w:val="0"/>
              <w:spacing w:before="0" w:after="283"/>
              <w:jc w:val="left"/>
              <w:rPr/>
            </w:pPr>
            <w:r>
              <w:rPr/>
              <w:t>Information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6.01(e)</w:t>
            </w:r>
          </w:p>
        </w:tc>
      </w:tr>
      <w:tr>
        <w:trPr/>
        <w:tc>
          <w:tcPr>
            <w:tcW w:w="6021" w:type="dxa"/>
            <w:tcBorders/>
          </w:tcPr>
          <w:p>
            <w:pPr>
              <w:pStyle w:val="TableContents"/>
              <w:bidi w:val="0"/>
              <w:spacing w:before="0" w:after="283"/>
              <w:jc w:val="left"/>
              <w:rPr/>
            </w:pPr>
            <w:r>
              <w:rPr/>
              <w:t>Injunction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Intended Tax Treatment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Recitals</w:t>
            </w:r>
          </w:p>
        </w:tc>
      </w:tr>
      <w:tr>
        <w:trPr/>
        <w:tc>
          <w:tcPr>
            <w:tcW w:w="6021" w:type="dxa"/>
            <w:tcBorders/>
          </w:tcPr>
          <w:p>
            <w:pPr>
              <w:pStyle w:val="TableContents"/>
              <w:bidi w:val="0"/>
              <w:spacing w:before="0" w:after="283"/>
              <w:jc w:val="left"/>
              <w:rPr/>
            </w:pPr>
            <w:r>
              <w:rPr/>
              <w:t>Law</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Licenses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3.14(a)</w:t>
            </w:r>
          </w:p>
        </w:tc>
      </w:tr>
      <w:tr>
        <w:trPr/>
        <w:tc>
          <w:tcPr>
            <w:tcW w:w="6021" w:type="dxa"/>
            <w:tcBorders/>
          </w:tcPr>
          <w:p>
            <w:pPr>
              <w:pStyle w:val="TableContents"/>
              <w:bidi w:val="0"/>
              <w:spacing w:before="0" w:after="283"/>
              <w:jc w:val="left"/>
              <w:rPr/>
            </w:pPr>
            <w:r>
              <w:rPr/>
              <w:t>Lien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3.03(c)</w:t>
            </w:r>
          </w:p>
        </w:tc>
      </w:tr>
      <w:tr>
        <w:trPr/>
        <w:tc>
          <w:tcPr>
            <w:tcW w:w="6021" w:type="dxa"/>
            <w:tcBorders/>
          </w:tcPr>
          <w:p>
            <w:pPr>
              <w:pStyle w:val="TableContents"/>
              <w:bidi w:val="0"/>
              <w:spacing w:before="0" w:after="283"/>
              <w:jc w:val="left"/>
              <w:rPr/>
            </w:pPr>
            <w:r>
              <w:rPr/>
              <w:t>Merger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Merger Consideration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2.01(a)(i)</w:t>
            </w:r>
          </w:p>
        </w:tc>
      </w:tr>
      <w:tr>
        <w:trPr/>
        <w:tc>
          <w:tcPr>
            <w:tcW w:w="6021" w:type="dxa"/>
            <w:tcBorders/>
          </w:tcPr>
          <w:p>
            <w:pPr>
              <w:pStyle w:val="TableContents"/>
              <w:bidi w:val="0"/>
              <w:spacing w:before="0" w:after="283"/>
              <w:jc w:val="left"/>
              <w:rPr/>
            </w:pPr>
            <w:r>
              <w:rPr/>
              <w:t>Merger Sub</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Preamble</w:t>
            </w:r>
          </w:p>
        </w:tc>
      </w:tr>
      <w:tr>
        <w:trPr/>
        <w:tc>
          <w:tcPr>
            <w:tcW w:w="6021"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3.11(a)</w:t>
            </w:r>
          </w:p>
        </w:tc>
      </w:tr>
      <w:tr>
        <w:trPr/>
        <w:tc>
          <w:tcPr>
            <w:tcW w:w="6021" w:type="dxa"/>
            <w:tcBorders/>
          </w:tcPr>
          <w:p>
            <w:pPr>
              <w:pStyle w:val="TableContents"/>
              <w:bidi w:val="0"/>
              <w:spacing w:before="0" w:after="283"/>
              <w:jc w:val="left"/>
              <w:rPr/>
            </w:pPr>
            <w:r>
              <w:rPr/>
              <w:t>Nasdaq</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3.04</w:t>
            </w:r>
          </w:p>
        </w:tc>
      </w:tr>
      <w:tr>
        <w:trPr/>
        <w:tc>
          <w:tcPr>
            <w:tcW w:w="6021" w:type="dxa"/>
            <w:tcBorders/>
          </w:tcPr>
          <w:p>
            <w:pPr>
              <w:pStyle w:val="TableContents"/>
              <w:bidi w:val="0"/>
              <w:spacing w:before="0" w:after="283"/>
              <w:jc w:val="left"/>
              <w:rPr/>
            </w:pPr>
            <w:r>
              <w:rPr/>
              <w:t>New Benefit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6.10(b)</w:t>
            </w:r>
          </w:p>
        </w:tc>
      </w:tr>
      <w:tr>
        <w:trPr/>
        <w:tc>
          <w:tcPr>
            <w:tcW w:w="6021"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6.10(c)</w:t>
            </w:r>
          </w:p>
        </w:tc>
      </w:tr>
      <w:tr>
        <w:trPr/>
        <w:tc>
          <w:tcPr>
            <w:tcW w:w="6021" w:type="dxa"/>
            <w:tcBorders/>
          </w:tcPr>
          <w:p>
            <w:pPr>
              <w:pStyle w:val="TableContents"/>
              <w:bidi w:val="0"/>
              <w:spacing w:before="0" w:after="283"/>
              <w:jc w:val="left"/>
              <w:rPr/>
            </w:pPr>
            <w:r>
              <w:rPr/>
              <w:t>Notice of DXL Adverse Recommendation Change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5.06(f)</w:t>
            </w:r>
          </w:p>
        </w:tc>
      </w:tr>
      <w:tr>
        <w:trPr/>
        <w:tc>
          <w:tcPr>
            <w:tcW w:w="6021" w:type="dxa"/>
            <w:tcBorders/>
          </w:tcPr>
          <w:p>
            <w:pPr>
              <w:pStyle w:val="TableContents"/>
              <w:bidi w:val="0"/>
              <w:spacing w:before="0" w:after="283"/>
              <w:jc w:val="left"/>
              <w:rPr/>
            </w:pPr>
            <w:r>
              <w:rPr/>
              <w:t>Payor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2.02(h)</w:t>
            </w:r>
          </w:p>
        </w:tc>
      </w:tr>
      <w:tr>
        <w:trPr/>
        <w:tc>
          <w:tcPr>
            <w:tcW w:w="6021" w:type="dxa"/>
            <w:tcBorders/>
          </w:tcPr>
          <w:p>
            <w:pPr>
              <w:pStyle w:val="TableContents"/>
              <w:bidi w:val="0"/>
              <w:spacing w:before="0" w:after="283"/>
              <w:jc w:val="left"/>
              <w:rPr/>
            </w:pPr>
            <w:r>
              <w:rPr/>
              <w:t>PCBs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3.16(e)(iv)</w:t>
            </w:r>
          </w:p>
        </w:tc>
      </w:tr>
      <w:tr>
        <w:trPr/>
        <w:tc>
          <w:tcPr>
            <w:tcW w:w="6021" w:type="dxa"/>
            <w:tcBorders/>
          </w:tcPr>
          <w:p>
            <w:pPr>
              <w:pStyle w:val="TableContents"/>
              <w:bidi w:val="0"/>
              <w:spacing w:before="0" w:after="283"/>
              <w:jc w:val="left"/>
              <w:rPr/>
            </w:pPr>
            <w:r>
              <w:rPr/>
              <w:t>Piggyback Notice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Piggyback Registration</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6.02(e)</w:t>
            </w:r>
          </w:p>
        </w:tc>
      </w:tr>
      <w:tr>
        <w:trPr/>
        <w:tc>
          <w:tcPr>
            <w:tcW w:w="6021" w:type="dxa"/>
            <w:tcBorders/>
          </w:tcPr>
          <w:p>
            <w:pPr>
              <w:pStyle w:val="TableContents"/>
              <w:bidi w:val="0"/>
              <w:spacing w:before="0" w:after="283"/>
              <w:jc w:val="left"/>
              <w:rPr/>
            </w:pPr>
            <w:r>
              <w:rPr/>
              <w:t>Post-Closing Directors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Section6.09(a)</w:t>
            </w:r>
          </w:p>
        </w:tc>
      </w:tr>
      <w:tr>
        <w:trPr/>
        <w:tc>
          <w:tcPr>
            <w:tcW w:w="6021"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6.01(b)</w:t>
            </w:r>
          </w:p>
        </w:tc>
      </w:tr>
      <w:tr>
        <w:trPr/>
        <w:tc>
          <w:tcPr>
            <w:tcW w:w="6021" w:type="dxa"/>
            <w:tcBorders/>
          </w:tcPr>
          <w:p>
            <w:pPr>
              <w:pStyle w:val="TableContents"/>
              <w:bidi w:val="0"/>
              <w:spacing w:before="0" w:after="283"/>
              <w:jc w:val="left"/>
              <w:rPr/>
            </w:pPr>
            <w:r>
              <w:rPr/>
              <w:t>Registrable Securities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6.02(b)</w:t>
            </w:r>
          </w:p>
        </w:tc>
      </w:tr>
      <w:tr>
        <w:trPr/>
        <w:tc>
          <w:tcPr>
            <w:tcW w:w="6021" w:type="dxa"/>
            <w:tcBorders/>
          </w:tcPr>
          <w:p>
            <w:pPr>
              <w:pStyle w:val="TableContents"/>
              <w:bidi w:val="0"/>
              <w:spacing w:before="0" w:after="283"/>
              <w:jc w:val="left"/>
              <w:rPr/>
            </w:pPr>
            <w:r>
              <w:rPr/>
              <w:t>Regulatory Agencies</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3.05</w:t>
            </w:r>
          </w:p>
        </w:tc>
      </w:tr>
      <w:tr>
        <w:trPr/>
        <w:tc>
          <w:tcPr>
            <w:tcW w:w="6021" w:type="dxa"/>
            <w:tcBorders/>
          </w:tcPr>
          <w:p>
            <w:pPr>
              <w:pStyle w:val="TableContents"/>
              <w:bidi w:val="0"/>
              <w:spacing w:before="0" w:after="283"/>
              <w:jc w:val="left"/>
              <w:rPr/>
            </w:pPr>
            <w:r>
              <w:rPr/>
              <w:t>Release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3.16(e)(v)</w:t>
            </w:r>
          </w:p>
        </w:tc>
      </w:tr>
      <w:tr>
        <w:trPr/>
        <w:tc>
          <w:tcPr>
            <w:tcW w:w="6021" w:type="dxa"/>
            <w:tcBorders/>
          </w:tcPr>
          <w:p>
            <w:pPr>
              <w:pStyle w:val="TableContents"/>
              <w:bidi w:val="0"/>
              <w:spacing w:before="0" w:after="283"/>
              <w:jc w:val="left"/>
              <w:rPr/>
            </w:pPr>
            <w:r>
              <w:rPr/>
              <w:t>Required DXL Stockholder Vote</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3.03(b)</w:t>
            </w:r>
          </w:p>
        </w:tc>
      </w:tr>
      <w:tr>
        <w:trPr/>
        <w:tc>
          <w:tcPr>
            <w:tcW w:w="6021" w:type="dxa"/>
            <w:tcBorders/>
          </w:tcPr>
          <w:p>
            <w:pPr>
              <w:pStyle w:val="TableContents"/>
              <w:bidi w:val="0"/>
              <w:spacing w:before="0" w:after="283"/>
              <w:jc w:val="left"/>
              <w:rPr/>
            </w:pPr>
            <w:r>
              <w:rPr/>
              <w:t>Resale Registration Statement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6.02(a)</w:t>
            </w:r>
          </w:p>
        </w:tc>
      </w:tr>
      <w:tr>
        <w:trPr/>
        <w:tc>
          <w:tcPr>
            <w:tcW w:w="6021" w:type="dxa"/>
            <w:tcBorders/>
          </w:tcPr>
          <w:p>
            <w:pPr>
              <w:pStyle w:val="TableContents"/>
              <w:bidi w:val="0"/>
              <w:spacing w:before="0" w:after="283"/>
              <w:jc w:val="left"/>
              <w:rPr/>
            </w:pPr>
            <w:r>
              <w:rPr/>
              <w:t>Sarbanes-Oxley Act</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Section3.05</w:t>
            </w:r>
          </w:p>
        </w:tc>
      </w:tr>
      <w:tr>
        <w:trPr/>
        <w:tc>
          <w:tcPr>
            <w:tcW w:w="6021" w:type="dxa"/>
            <w:tcBorders/>
          </w:tcPr>
          <w:p>
            <w:pPr>
              <w:pStyle w:val="TableContents"/>
              <w:bidi w:val="0"/>
              <w:spacing w:before="0" w:after="283"/>
              <w:jc w:val="left"/>
              <w:rPr/>
            </w:pPr>
            <w:r>
              <w:rPr/>
              <w:t>Surviving Company</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1.01</w:t>
            </w:r>
          </w:p>
        </w:tc>
      </w:tr>
      <w:tr>
        <w:trPr/>
        <w:tc>
          <w:tcPr>
            <w:tcW w:w="6021" w:type="dxa"/>
            <w:tcBorders/>
          </w:tcPr>
          <w:p>
            <w:pPr>
              <w:pStyle w:val="TableContents"/>
              <w:bidi w:val="0"/>
              <w:spacing w:before="0" w:after="283"/>
              <w:jc w:val="left"/>
              <w:rPr/>
            </w:pPr>
            <w:r>
              <w:rPr/>
              <w:t>Surviving Company Charter</w:t>
            </w:r>
          </w:p>
        </w:tc>
        <w:tc>
          <w:tcPr>
            <w:tcW w:w="204"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1.05(a)</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22"/>
        <w:gridCol w:w="203"/>
        <w:gridCol w:w="3980"/>
      </w:tblGrid>
      <w:tr>
        <w:trPr/>
        <w:tc>
          <w:tcPr>
            <w:tcW w:w="602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602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Defined Term</w:t>
            </w:r>
          </w:p>
        </w:tc>
        <w:tc>
          <w:tcPr>
            <w:tcW w:w="203" w:type="dxa"/>
            <w:tcBorders/>
            <w:vAlign w:val="bottom"/>
          </w:tcPr>
          <w:p>
            <w:pPr>
              <w:pStyle w:val="TableContents"/>
              <w:bidi w:val="0"/>
              <w:spacing w:before="0" w:after="283"/>
              <w:jc w:val="left"/>
              <w:rPr/>
            </w:pPr>
            <w:r>
              <w:rPr/>
              <w:t>  </w:t>
            </w:r>
          </w:p>
        </w:tc>
        <w:tc>
          <w:tcPr>
            <w:tcW w:w="39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Location</w:t>
            </w:r>
          </w:p>
        </w:tc>
      </w:tr>
      <w:tr>
        <w:trPr/>
        <w:tc>
          <w:tcPr>
            <w:tcW w:w="6022" w:type="dxa"/>
            <w:tcBorders/>
          </w:tcPr>
          <w:p>
            <w:pPr>
              <w:pStyle w:val="TableContents"/>
              <w:bidi w:val="0"/>
              <w:spacing w:before="0" w:after="283"/>
              <w:jc w:val="left"/>
              <w:rPr/>
            </w:pPr>
            <w:r>
              <w:rPr/>
              <w:t>Tail Policy</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6.11(b)</w:t>
            </w:r>
          </w:p>
        </w:tc>
      </w:tr>
      <w:tr>
        <w:trPr/>
        <w:tc>
          <w:tcPr>
            <w:tcW w:w="6022" w:type="dxa"/>
            <w:tcBorders/>
          </w:tcPr>
          <w:p>
            <w:pPr>
              <w:pStyle w:val="TableContents"/>
              <w:bidi w:val="0"/>
              <w:spacing w:before="0" w:after="283"/>
              <w:jc w:val="left"/>
              <w:rPr/>
            </w:pPr>
            <w:r>
              <w:rPr/>
              <w:t>Takeover Statute</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3.17</w:t>
            </w:r>
          </w:p>
        </w:tc>
      </w:tr>
      <w:tr>
        <w:trPr/>
        <w:tc>
          <w:tcPr>
            <w:tcW w:w="6022" w:type="dxa"/>
            <w:tcBorders/>
          </w:tcPr>
          <w:p>
            <w:pPr>
              <w:pStyle w:val="TableContents"/>
              <w:bidi w:val="0"/>
              <w:spacing w:before="0" w:after="283"/>
              <w:jc w:val="left"/>
              <w:rPr/>
            </w:pPr>
            <w:r>
              <w:rPr/>
              <w:t>WARN</w:t>
            </w:r>
          </w:p>
        </w:tc>
        <w:tc>
          <w:tcPr>
            <w:tcW w:w="203" w:type="dxa"/>
            <w:tcBorders/>
            <w:vAlign w:val="bottom"/>
          </w:tcPr>
          <w:p>
            <w:pPr>
              <w:pStyle w:val="TableContents"/>
              <w:bidi w:val="0"/>
              <w:spacing w:before="0" w:after="283"/>
              <w:jc w:val="left"/>
              <w:rPr/>
            </w:pPr>
            <w:r>
              <w:rPr/>
              <w:t>  </w:t>
            </w:r>
          </w:p>
        </w:tc>
        <w:tc>
          <w:tcPr>
            <w:tcW w:w="3980" w:type="dxa"/>
            <w:tcBorders/>
          </w:tcPr>
          <w:p>
            <w:pPr>
              <w:pStyle w:val="TableContents"/>
              <w:bidi w:val="0"/>
              <w:spacing w:before="0" w:after="283"/>
              <w:jc w:val="center"/>
              <w:rPr/>
            </w:pPr>
            <w:r>
              <w:rPr/>
              <w:t>Section 3.12(c)</w:t>
            </w:r>
          </w:p>
        </w:tc>
      </w:tr>
    </w:tbl>
    <w:p>
      <w:pPr>
        <w:pStyle w:val="TextBody"/>
        <w:bidi w:val="0"/>
        <w:spacing w:before="240" w:after="0"/>
        <w:jc w:val="left"/>
        <w:rPr>
          <w:rFonts w:ascii="Times New Roman" w:hAnsi="Times New Roman"/>
          <w:sz w:val="20"/>
        </w:rPr>
      </w:pPr>
      <w:bookmarkStart w:id="210" w:name="anxa76201_107"/>
      <w:bookmarkEnd w:id="210"/>
      <w:r>
        <w:rPr>
          <w:rFonts w:ascii="Times New Roman" w:hAnsi="Times New Roman"/>
          <w:b/>
          <w:sz w:val="20"/>
        </w:rPr>
        <w:t xml:space="preserve">SECTION 9.05 </w:t>
      </w:r>
      <w:r>
        <w:rPr>
          <w:rFonts w:ascii="Times New Roman" w:hAnsi="Times New Roman"/>
          <w:b/>
          <w:sz w:val="20"/>
          <w:u w:val="single"/>
        </w:rPr>
        <w:t>Interpretation</w:t>
      </w:r>
      <w:r>
        <w:rPr>
          <w:rFonts w:ascii="Times New Roman" w:hAnsi="Times New Roman"/>
          <w:sz w:val="20"/>
        </w:rPr>
        <w:t xml:space="preserve">. When a reference is made in this Agreement to an Article or Section, such reference shall be to an Article or Section of this Agreement unless otherwise indicated. The table of contents, index of defined terms contained in </w:t>
      </w:r>
      <w:r>
        <w:rPr>
          <w:rFonts w:ascii="Times New Roman" w:hAnsi="Times New Roman"/>
          <w:sz w:val="20"/>
          <w:u w:val="single"/>
        </w:rPr>
        <w:t>Section 9.04</w:t>
      </w:r>
      <w:r>
        <w:rPr>
          <w:rFonts w:ascii="Times New Roman" w:hAnsi="Times New Roman"/>
          <w:sz w:val="20"/>
        </w:rPr>
        <w:t xml:space="preserve"> and headings contained in this Agreement are for reference purposes only and shall not affect in any way the meaning or interpretation of this Agreement. Any capitalized term used in any Schedule, Annex or Exhibit, but not otherwise defined therein, shall have the meaning assigned to such term in this Agreement. Whenever the words “include,” “includes” or “including” are used in this Agreement, they shall be deemed to be followed by the words “without limitation.” The words “hereof,” “hereto,” “hereby,” “herein” and “hereunder” and words of similar import when used in this Agreement shall refer to this Agreement as a whole and not to any particular provision of this Agreement. The words “date hereof” when used in this Agreement shall refer to the date of this Agreement. The term “or” is not exclusive. The word “extent” in the phrase “to the extent” shall mean the degree to which a subject or other thing extends, and such phrase shall not mean “if.” The definitions contained in this Agreement are applicable to the singular as well as the plural forms of such terms. Any agreement, instrument or Law defined or referred to herein means such agreement, instrument or Law as from time to time amended, modified or supplemented, unless otherwise specifically indicated. References to a Person are also to its successors and permitted assigns. Unless otherwise specifically indicated, all references to “dollars” and “$” will be deemed references to the lawful money of the United States of America. The term “made available” and words of similar import mean that the relevant documents, instruments or materials were (a) posted and made available to the other party on the applicable due diligence data site, maintained by a party for the purpose of the Merger and the other Transactions, in each case prior to the date hereof, or (b) publicly available by virtue of the relevant party’s filing of a publicly available final registration statement, prospectus, report, form, schedule or definitive proxy statement filed with the SEC pursuant to the Securities Act or the Exchange Act at least one (1) Business Day prior to the date hereof. No provision of this Agreement will be interpreted in favor of, or against, any of the parties to this Agreement by reason of the extent to which any such party or its legal counsel participated in the drafting thereof or by reason of the extent to which any such provision is inconsistent with any prior draft of this Agreement, and no rule of strict construction will be applied against any party hereto. The DXL Disclosure Schedule and the FBB Disclosure Schedule set forth items of disclosure with specific reference to the particular Section or subsection of this Agreement to which the information in the DXL Disclosure Schedule or FBB Disclosure Schedule, as the case may be, relates; provided that any fact or item that is disclosed in any section or subsection of the DXL Disclosure Schedule or the FBB Disclosure Schedule so as to make its relevance to the information called for by other sections or subsections of the DXL Disclosure Schedule or the FBB Disclosure Schedule reasonably apparent on the face of such disclosure shall be deemed to be disclosed in such other sections or subsections of the DXL Disclosure Schedule or the FBB Disclosure Schedule, as the case may be, notwithstanding the omission of any appropriate cross-reference thereto; provided, further that, notwithstanding anything in this Agreement to the contrary, the inclusion of an item in either such disclosure schedule as an exception to a representation or warranty will not be deemed an admission that such item represents a material exception or material fact, event or circumstance or that such item has had or would reasonably be expected to have a Material Adverse Effect on DXL or FBB, as the case may be. Except where the context otherwise requires, references to the “other party” or “either party” will be deemed to refer to DXL and Merger Sub, collectively, on the one hand, and FBB, on the other hand. All electronic communications from a Person delivered in accordance with </w:t>
      </w:r>
      <w:r>
        <w:rPr>
          <w:rFonts w:ascii="Times New Roman" w:hAnsi="Times New Roman"/>
          <w:sz w:val="20"/>
          <w:u w:val="single"/>
        </w:rPr>
        <w:t>Section 9.02</w:t>
      </w:r>
      <w:r>
        <w:rPr>
          <w:rFonts w:ascii="Times New Roman" w:hAnsi="Times New Roman"/>
          <w:sz w:val="20"/>
        </w:rPr>
        <w:t xml:space="preserve"> shall be deemed to be “written”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1" w:name="anxa76201_108"/>
      <w:bookmarkEnd w:id="211"/>
      <w:r>
        <w:rPr>
          <w:rFonts w:ascii="Times New Roman" w:hAnsi="Times New Roman"/>
          <w:b/>
          <w:sz w:val="20"/>
        </w:rPr>
        <w:t xml:space="preserve">SECTION 9.06 </w:t>
      </w:r>
      <w:r>
        <w:rPr>
          <w:rFonts w:ascii="Times New Roman" w:hAnsi="Times New Roman"/>
          <w:b/>
          <w:sz w:val="20"/>
          <w:u w:val="single"/>
        </w:rPr>
        <w:t>Severability</w:t>
      </w:r>
      <w:r>
        <w:rPr>
          <w:rFonts w:ascii="Times New Roman" w:hAnsi="Times New Roman"/>
          <w:sz w:val="20"/>
        </w:rPr>
        <w:t xml:space="preserve">. If any term or other provision of this Agreement is invalid, illegal or incapable of being enforced by any Law or public policy, all other conditions and provisions of this Agreement shall nevertheless remain in full force and effect so long as either the economic or legal substance of the Transactions is not affected in any manner adverse in any material respect to any party or such party waives its rights under this </w:t>
      </w:r>
      <w:r>
        <w:rPr>
          <w:rFonts w:ascii="Times New Roman" w:hAnsi="Times New Roman"/>
          <w:sz w:val="20"/>
          <w:u w:val="single"/>
        </w:rPr>
        <w:t>Section 9.</w:t>
      </w:r>
      <w:r>
        <w:rPr>
          <w:rFonts w:ascii="Times New Roman" w:hAnsi="Times New Roman"/>
          <w:sz w:val="20"/>
        </w:rPr>
        <w:t xml:space="preserve">06 with respect thereto. </w:t>
      </w:r>
    </w:p>
    <w:p>
      <w:pPr>
        <w:pStyle w:val="TextBody"/>
        <w:bidi w:val="0"/>
        <w:spacing w:before="240" w:after="0"/>
        <w:jc w:val="left"/>
        <w:rPr>
          <w:rFonts w:ascii="Times New Roman" w:hAnsi="Times New Roman"/>
          <w:sz w:val="20"/>
        </w:rPr>
      </w:pPr>
      <w:bookmarkStart w:id="212" w:name="anxa76201_109"/>
      <w:bookmarkEnd w:id="212"/>
      <w:r>
        <w:rPr>
          <w:rFonts w:ascii="Times New Roman" w:hAnsi="Times New Roman"/>
          <w:b/>
          <w:sz w:val="20"/>
        </w:rPr>
        <w:t xml:space="preserve">SECTION 9.07 </w:t>
      </w:r>
      <w:r>
        <w:rPr>
          <w:rFonts w:ascii="Times New Roman" w:hAnsi="Times New Roman"/>
          <w:b/>
          <w:sz w:val="20"/>
          <w:u w:val="single"/>
        </w:rPr>
        <w:t>Counterparts; Facsimile Signatures</w:t>
      </w:r>
      <w:r>
        <w:rPr>
          <w:rFonts w:ascii="Times New Roman" w:hAnsi="Times New Roman"/>
          <w:sz w:val="20"/>
        </w:rPr>
        <w:t xml:space="preserve">. This Agreement may be executed in one or more counterparts, all of which shall be considered one and the same agreement and shall become effective when one or more counterparts have been signed by each of the parties and delivered to the other parties. Facsimile or other electronically scanned and transmitted signatures, including by email attachment, shall be deemed originals for all purposes of this Agreement. </w:t>
      </w:r>
    </w:p>
    <w:p>
      <w:pPr>
        <w:pStyle w:val="TextBody"/>
        <w:bidi w:val="0"/>
        <w:spacing w:before="240" w:after="0"/>
        <w:jc w:val="left"/>
        <w:rPr>
          <w:rFonts w:ascii="Times New Roman" w:hAnsi="Times New Roman"/>
          <w:sz w:val="20"/>
        </w:rPr>
      </w:pPr>
      <w:bookmarkStart w:id="213" w:name="anxa76201_110"/>
      <w:bookmarkEnd w:id="213"/>
      <w:r>
        <w:rPr>
          <w:rFonts w:ascii="Times New Roman" w:hAnsi="Times New Roman"/>
          <w:b/>
          <w:sz w:val="20"/>
        </w:rPr>
        <w:t xml:space="preserve">SECTION 9.08 </w:t>
      </w:r>
      <w:r>
        <w:rPr>
          <w:rFonts w:ascii="Times New Roman" w:hAnsi="Times New Roman"/>
          <w:b/>
          <w:sz w:val="20"/>
          <w:u w:val="single"/>
        </w:rPr>
        <w:t>Entire Agreement; No Third Party Beneficiaries</w:t>
      </w:r>
      <w:r>
        <w:rPr>
          <w:rFonts w:ascii="Times New Roman" w:hAnsi="Times New Roman"/>
          <w:sz w:val="20"/>
        </w:rPr>
        <w:t xml:space="preserve">. This Agreement, taken together with the Confidentiality Agreement and the other agreements entered into in connection with preserving the confidentiality of information, (a) constitutes the entire agreement, and supersedes all prior agreements (other than the Confidentiality Agreement and the other agreements entered into in connection with preserving the confidentiality of information) and understandings, both written and oral, among the parties with respect to the Merger and the other Transactions and (b) is not intended to, and does not, confer upon any Person other than the parties any rights or remedies. The FBB Disclosure Schedule and the DXL Disclosure Schedule are “facts ascertainable” as that term is used in Section 251(b) of the DGCL; provided, that, to the fullest extent permitted by Section 268 of the DGCL, the FBB Disclosure Schedule, the DXL Disclosure Schedule, and any other exhibit, schedule, or other document or instrument delivered in connection with this Agreement shall not be deemed part of this Agreement for purposes of any provision of the DGCL but shall have the effects provided in this Agreement. Notwithstanding anything to the contrary in this Agreement, following the Effective Time, (i) the provisions of </w:t>
      </w:r>
      <w:r>
        <w:rPr>
          <w:rFonts w:ascii="Times New Roman" w:hAnsi="Times New Roman"/>
          <w:sz w:val="20"/>
          <w:u w:val="single"/>
        </w:rPr>
        <w:t>Article II</w:t>
      </w:r>
      <w:r>
        <w:rPr>
          <w:rFonts w:ascii="Times New Roman" w:hAnsi="Times New Roman"/>
          <w:sz w:val="20"/>
        </w:rPr>
        <w:t xml:space="preserve"> relating to the payment of the Merger Consideration and any dividends or other distributions payable pursuant to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d</w:t>
      </w:r>
      <w:r>
        <w:rPr>
          <w:rFonts w:ascii="Times New Roman" w:hAnsi="Times New Roman"/>
          <w:sz w:val="20"/>
          <w:u w:val="single"/>
        </w:rPr>
        <w:t>)</w:t>
      </w:r>
      <w:r>
        <w:rPr>
          <w:rFonts w:ascii="Times New Roman" w:hAnsi="Times New Roman"/>
          <w:sz w:val="20"/>
        </w:rPr>
        <w:t xml:space="preserve"> shall be enforceable by holders of FBB Capital Stock at the Effective Time as provided therein, (ii) the FBB Selling Stockholders are intended third party beneficiaries of </w:t>
      </w:r>
      <w:r>
        <w:rPr>
          <w:rFonts w:ascii="Times New Roman" w:hAnsi="Times New Roman"/>
          <w:sz w:val="20"/>
          <w:u w:val="single"/>
        </w:rPr>
        <w:t>Section 6.02</w:t>
      </w:r>
      <w:r>
        <w:rPr>
          <w:rFonts w:ascii="Times New Roman" w:hAnsi="Times New Roman"/>
          <w:sz w:val="20"/>
        </w:rPr>
        <w:t xml:space="preserve"> and (iii) the D&amp;O Indemnified Parties are intended third party beneficiaries of </w:t>
      </w:r>
      <w:r>
        <w:rPr>
          <w:rFonts w:ascii="Times New Roman" w:hAnsi="Times New Roman"/>
          <w:sz w:val="20"/>
          <w:u w:val="single"/>
        </w:rPr>
        <w:t>Section 6.</w:t>
      </w:r>
      <w:r>
        <w:rPr>
          <w:rFonts w:ascii="Times New Roman" w:hAnsi="Times New Roman"/>
          <w:sz w:val="20"/>
        </w:rPr>
        <w:t xml:space="preserve">11(a). </w:t>
      </w:r>
    </w:p>
    <w:p>
      <w:pPr>
        <w:pStyle w:val="TextBody"/>
        <w:bidi w:val="0"/>
        <w:spacing w:before="240" w:after="0"/>
        <w:jc w:val="left"/>
        <w:rPr>
          <w:rFonts w:ascii="Times New Roman" w:hAnsi="Times New Roman"/>
          <w:sz w:val="20"/>
        </w:rPr>
      </w:pPr>
      <w:bookmarkStart w:id="214" w:name="anxa76201_111"/>
      <w:bookmarkEnd w:id="214"/>
      <w:r>
        <w:rPr>
          <w:rFonts w:ascii="Times New Roman" w:hAnsi="Times New Roman"/>
          <w:b/>
          <w:sz w:val="20"/>
        </w:rPr>
        <w:t xml:space="preserve">SECTION 9.09 </w:t>
      </w:r>
      <w:r>
        <w:rPr>
          <w:rFonts w:ascii="Times New Roman" w:hAnsi="Times New Roman"/>
          <w:b/>
          <w:sz w:val="20"/>
          <w:u w:val="single"/>
        </w:rPr>
        <w:t>Governing Law</w:t>
      </w:r>
      <w:r>
        <w:rPr>
          <w:rFonts w:ascii="Times New Roman" w:hAnsi="Times New Roman"/>
          <w:sz w:val="20"/>
        </w:rPr>
        <w:t>. 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(a “</w:t>
      </w:r>
      <w:r>
        <w:rPr>
          <w:rFonts w:ascii="Times New Roman" w:hAnsi="Times New Roman"/>
          <w:sz w:val="20"/>
          <w:u w:val="single"/>
        </w:rPr>
        <w:t>Dispute</w:t>
      </w:r>
      <w:r>
        <w:rPr>
          <w:rFonts w:ascii="Times New Roman" w:hAnsi="Times New Roman"/>
          <w:sz w:val="20"/>
        </w:rPr>
        <w:t xml:space="preserv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bookmarkStart w:id="215" w:name="anxa76201_112"/>
      <w:bookmarkEnd w:id="215"/>
      <w:r>
        <w:rPr>
          <w:rFonts w:ascii="Times New Roman" w:hAnsi="Times New Roman"/>
          <w:b/>
          <w:sz w:val="20"/>
        </w:rPr>
        <w:t xml:space="preserve">SECTION 9.10 </w:t>
      </w:r>
      <w:r>
        <w:rPr>
          <w:rFonts w:ascii="Times New Roman" w:hAnsi="Times New Roman"/>
          <w:b/>
          <w:sz w:val="20"/>
          <w:u w:val="single"/>
        </w:rPr>
        <w:t>Assignment</w:t>
      </w:r>
      <w:r>
        <w:rPr>
          <w:rFonts w:ascii="Times New Roman" w:hAnsi="Times New Roman"/>
          <w:sz w:val="20"/>
        </w:rPr>
        <w:t xml:space="preserve">. Neither this Agreement nor any of the rights, interests or obligations under this Agreement shall be assigned, in whole or in part, by operation of Law or otherwise by any of the parties without the prior written consent of the other parties. Any purported assignment without such consent shall be void. Subject to the preceding sentences, this Agreement will be binding upon, inure to the benefit of, and be enforceable by, the parties and their respective successors and permitted assigns. </w:t>
      </w:r>
    </w:p>
    <w:p>
      <w:pPr>
        <w:pStyle w:val="TextBody"/>
        <w:bidi w:val="0"/>
        <w:spacing w:before="240" w:after="0"/>
        <w:jc w:val="left"/>
        <w:rPr>
          <w:rFonts w:ascii="Times New Roman" w:hAnsi="Times New Roman"/>
          <w:sz w:val="20"/>
        </w:rPr>
      </w:pPr>
      <w:bookmarkStart w:id="216" w:name="anxa76201_113"/>
      <w:bookmarkEnd w:id="216"/>
      <w:r>
        <w:rPr>
          <w:rFonts w:ascii="Times New Roman" w:hAnsi="Times New Roman"/>
          <w:b/>
          <w:sz w:val="20"/>
        </w:rPr>
        <w:t xml:space="preserve">SECTION 9.11 </w:t>
      </w:r>
      <w:r>
        <w:rPr>
          <w:rFonts w:ascii="Times New Roman" w:hAnsi="Times New Roman"/>
          <w:b/>
          <w:sz w:val="20"/>
          <w:u w:val="single"/>
        </w:rPr>
        <w:t>Specific Performance</w:t>
      </w:r>
      <w:r>
        <w:rPr>
          <w:rFonts w:ascii="Times New Roman" w:hAnsi="Times New Roman"/>
          <w:sz w:val="20"/>
        </w:rPr>
        <w:t xml:space="preserve">. The parties acknowledge and agree that irreparable damage would occur in the event that any of the provisions of this Agreement were not performed in accordance with their specific terms or were otherwise breached, and that monetary damages, even if available, would not be an adequate remedy therefor and therefore fully intend for specific performance to be an available remedy for breaches of this Agreement. It is accordingly agreed that, prior to the termination of this Agreement pursuant to </w:t>
      </w:r>
      <w:r>
        <w:rPr>
          <w:rFonts w:ascii="Times New Roman" w:hAnsi="Times New Roman"/>
          <w:sz w:val="20"/>
          <w:u w:val="single"/>
        </w:rPr>
        <w:t>Section 8.01</w:t>
      </w:r>
      <w:r>
        <w:rPr>
          <w:rFonts w:ascii="Times New Roman" w:hAnsi="Times New Roman"/>
          <w:sz w:val="20"/>
        </w:rPr>
        <w:t xml:space="preserve">, the parties shall be entitled to an Injunction or Injunctions to prevent breaches of this Agreement and to enforce specifically the performance of terms and provisions of this Agreement in any court referred to in </w:t>
      </w:r>
      <w:r>
        <w:rPr>
          <w:rFonts w:ascii="Times New Roman" w:hAnsi="Times New Roman"/>
          <w:sz w:val="20"/>
          <w:u w:val="single"/>
        </w:rPr>
        <w:t>Section 9.12</w:t>
      </w:r>
      <w:r>
        <w:rPr>
          <w:rFonts w:ascii="Times New Roman" w:hAnsi="Times New Roman"/>
          <w:sz w:val="20"/>
        </w:rPr>
        <w:t xml:space="preserve">, without proof of actual damages, this being in addition to any other remedy to which they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at Law or in equity. The parties further agree not to assert that a remedy of specific enforcement is unenforceable, invalid, contrary to Law or inequitable for any reason, nor to object to a remedy of specific performance on the basis that a remedy of monetary damages would provide an adequate remedy for any such breach. Each party further acknowledges and agrees that the agreements contained in this </w:t>
      </w:r>
      <w:r>
        <w:rPr>
          <w:rFonts w:ascii="Times New Roman" w:hAnsi="Times New Roman"/>
          <w:sz w:val="20"/>
          <w:u w:val="single"/>
        </w:rPr>
        <w:t>Section 9.11</w:t>
      </w:r>
      <w:r>
        <w:rPr>
          <w:rFonts w:ascii="Times New Roman" w:hAnsi="Times New Roman"/>
          <w:sz w:val="20"/>
        </w:rPr>
        <w:t xml:space="preserve"> are an integral part of the Merger and the other Transactions and that, without these agreements, the parties would not have entered into this Agreement. Each party further agrees that no other party hereto or any other Person shall be required to obtain, furnish or post any bond or similar instrument in connection with or as a condition to obtaining any remedy referred to in this </w:t>
      </w:r>
      <w:r>
        <w:rPr>
          <w:rFonts w:ascii="Times New Roman" w:hAnsi="Times New Roman"/>
          <w:sz w:val="20"/>
          <w:u w:val="single"/>
        </w:rPr>
        <w:t>Section 9.11</w:t>
      </w:r>
      <w:r>
        <w:rPr>
          <w:rFonts w:ascii="Times New Roman" w:hAnsi="Times New Roman"/>
          <w:sz w:val="20"/>
        </w:rPr>
        <w:t xml:space="preserve">, and each party hereto irrevocably waives any right it may have to require the obtaining, furnishing or posting of any such bond or similar instrument. </w:t>
      </w:r>
    </w:p>
    <w:p>
      <w:pPr>
        <w:pStyle w:val="TextBody"/>
        <w:bidi w:val="0"/>
        <w:spacing w:before="240" w:after="0"/>
        <w:jc w:val="left"/>
        <w:rPr>
          <w:rFonts w:ascii="Times New Roman" w:hAnsi="Times New Roman"/>
          <w:sz w:val="20"/>
        </w:rPr>
      </w:pPr>
      <w:bookmarkStart w:id="217" w:name="anxa76201_114"/>
      <w:bookmarkEnd w:id="217"/>
      <w:r>
        <w:rPr>
          <w:rFonts w:ascii="Times New Roman" w:hAnsi="Times New Roman"/>
          <w:b/>
          <w:sz w:val="20"/>
        </w:rPr>
        <w:t xml:space="preserve">SECTION 9.12 </w:t>
      </w:r>
      <w:r>
        <w:rPr>
          <w:rFonts w:ascii="Times New Roman" w:hAnsi="Times New Roman"/>
          <w:b/>
          <w:sz w:val="20"/>
          <w:u w:val="single"/>
        </w:rPr>
        <w:t>Jurisdiction</w:t>
      </w:r>
      <w:r>
        <w:rPr>
          <w:rFonts w:ascii="Times New Roman" w:hAnsi="Times New Roman"/>
          <w:sz w:val="20"/>
        </w:rPr>
        <w:t xml:space="preserve">. Each of the parties hereto hereby irrevocably and unconditionally submits, for itself and its property, to the exclusive jurisdiction of the Court of Chancery of the State of Delaware, or, if (and only if) such court finds it lacks jurisdiction, the State or Federal courts of the United States of America sitting in Delaware, and any appellate court from any thereof, in any Dispute or for recognition or enforcement of any judgment relating thereto, and each of the parties hereby irrevocably and unconditionally (i) agrees not to commence any Dispute, except in the Court of Chancery of the State of Delaware, or, if (and only if) such court finds it lacks jurisdiction, the other State or Federal courts of the United States of America sitting in Delaware, and any appellate court from any thereof, (ii) agrees that any Dispute may be heard and determined in the Court of Chancery of the State of Delaware, or, if (and only if) such court finds it lacks jurisdiction, the other State courts or the Federal courts of the United States of America sitting in Delaware, and any appellate court from any thereof, (iii) waives, to the fullest extent it may legally and effectively do so, any objection that it may now or hereafter have to the laying of venue of any Dispute in such courts, and (iv) waives, to the fullest extent permitted by law, the defense of an inconvenient forum to the maintenance of any Dispute in such courts. Each of the parties agrees that a final, non-appealable judgment or determination of the courts described in this </w:t>
      </w:r>
      <w:r>
        <w:rPr>
          <w:rFonts w:ascii="Times New Roman" w:hAnsi="Times New Roman"/>
          <w:sz w:val="20"/>
          <w:u w:val="single"/>
        </w:rPr>
        <w:t>Section 9.12</w:t>
      </w:r>
      <w:r>
        <w:rPr>
          <w:rFonts w:ascii="Times New Roman" w:hAnsi="Times New Roman"/>
          <w:sz w:val="20"/>
        </w:rPr>
        <w:t xml:space="preserve"> shall be conclusive and may be enforced in other jurisdictions and any court of competent jurisdiction by suit on the judgment or in any other manner provided by applicable Law. Each party irrevocably consents to service of process in the manner provided for notices in </w:t>
      </w:r>
      <w:r>
        <w:rPr>
          <w:rFonts w:ascii="Times New Roman" w:hAnsi="Times New Roman"/>
          <w:sz w:val="20"/>
          <w:u w:val="single"/>
        </w:rPr>
        <w:t>Section 9.02</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u w:val="single"/>
        </w:rPr>
        <w:t>WAIVER OF JURY TRIAL</w:t>
      </w:r>
      <w:r>
        <w:rPr>
          <w:rFonts w:ascii="Times New Roman" w:hAnsi="Times New Roman"/>
          <w:sz w:val="20"/>
        </w:rPr>
        <w:t xml:space="preserve">. EACH OF THE PARTIES TO THIS AGREEMENT HEREBY IRREVOCABLY WAIVES ANY AND ALL RIGHT TO A TRIAL BY JURY IN ANY “DISPUTE” (AS DEFINED IN THIS AGREEMENT). EACH PARTY MAKES THIS WAIVER VOLUNTARILY AND SUCH PARTY HAS BEEN INDUCED TO ENTER INTO THIS AGREEMENT BY, AMONG OTHER THINGS, THE MUTUAL WAIVERS CONTAINED IN THIS </w:t>
      </w:r>
      <w:r>
        <w:rPr>
          <w:rFonts w:ascii="Times New Roman" w:hAnsi="Times New Roman"/>
          <w:sz w:val="20"/>
          <w:u w:val="single"/>
        </w:rPr>
        <w:t>Section 9.12</w:t>
      </w:r>
      <w:r>
        <w:rPr>
          <w:rFonts w:ascii="Times New Roman" w:hAnsi="Times New Roman"/>
          <w:sz w:val="20"/>
        </w:rPr>
        <w:t xml:space="preserve">.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0"/>
          <w:u w:val="single"/>
        </w:rPr>
        <w:t>Section 9.12</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8" w:name="anxa76201_115"/>
      <w:bookmarkEnd w:id="218"/>
      <w:r>
        <w:rPr>
          <w:rFonts w:ascii="Times New Roman" w:hAnsi="Times New Roman"/>
          <w:b/>
          <w:sz w:val="20"/>
        </w:rPr>
        <w:t xml:space="preserve">SECTION 9.13 </w:t>
      </w:r>
      <w:r>
        <w:rPr>
          <w:rFonts w:ascii="Times New Roman" w:hAnsi="Times New Roman"/>
          <w:b/>
          <w:sz w:val="20"/>
          <w:u w:val="single"/>
        </w:rPr>
        <w:t>Publicity</w:t>
      </w:r>
      <w:r>
        <w:rPr>
          <w:rFonts w:ascii="Times New Roman" w:hAnsi="Times New Roman"/>
          <w:sz w:val="20"/>
        </w:rPr>
        <w:t xml:space="preserve">. The parties agree that the initial press release to be issued with respect to the Merger and the other Transactions shall be a joint press release to be reasonably agreed upon by DXL and FBB. Except with respect to disclosures that are consistent with prior disclosures made in compliance with this </w:t>
      </w:r>
      <w:r>
        <w:rPr>
          <w:rFonts w:ascii="Times New Roman" w:hAnsi="Times New Roman"/>
          <w:sz w:val="20"/>
          <w:u w:val="single"/>
        </w:rPr>
        <w:t>Section 9.13</w:t>
      </w:r>
      <w:r>
        <w:rPr>
          <w:rFonts w:ascii="Times New Roman" w:hAnsi="Times New Roman"/>
          <w:sz w:val="20"/>
        </w:rPr>
        <w:t xml:space="preserve"> or any communications plan or strategy previously agreed on by the parties, DXL and FBB shall consult with each other before issuing, and give each other the opportunity to review and comment upon, any press release or other public statements with respect to the Merger or the other Transactions, and shall not issue any such press release or make any such public statement prior to such consultation, except as such party may reasonably conclude may be required by applicable Law (including applicable securities laws), court process or by obligations pursuant to any listing agreement with any national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bookmarkStart w:id="219" w:name="anxa76201_116"/>
      <w:bookmarkEnd w:id="219"/>
      <w:r>
        <w:rPr>
          <w:rFonts w:ascii="Times New Roman" w:hAnsi="Times New Roman"/>
          <w:b/>
          <w:sz w:val="20"/>
        </w:rPr>
        <w:t xml:space="preserve">SECTION 9.14 </w:t>
      </w:r>
      <w:r>
        <w:rPr>
          <w:rFonts w:ascii="Times New Roman" w:hAnsi="Times New Roman"/>
          <w:b/>
          <w:sz w:val="20"/>
          <w:u w:val="single"/>
        </w:rPr>
        <w:t>Financing Related Parties</w:t>
      </w:r>
      <w:r>
        <w:rPr>
          <w:rFonts w:ascii="Times New Roman" w:hAnsi="Times New Roman"/>
          <w:sz w:val="20"/>
        </w:rPr>
        <w:t xml:space="preserve">. Notwithstanding anything in this Agreement to the contrary, DXL, on behalf of itself and DXL’s Subsidiaries, and FBB, on behalf of itself and FBB’s Subsidiaries, each hereby: </w:t>
      </w:r>
    </w:p>
    <w:p>
      <w:pPr>
        <w:pStyle w:val="TextBody"/>
        <w:bidi w:val="0"/>
        <w:spacing w:before="120" w:after="0"/>
        <w:jc w:val="left"/>
        <w:rPr>
          <w:rFonts w:ascii="Times New Roman" w:hAnsi="Times New Roman"/>
          <w:sz w:val="20"/>
        </w:rPr>
      </w:pPr>
      <w:r>
        <w:rPr>
          <w:rFonts w:ascii="Times New Roman" w:hAnsi="Times New Roman"/>
          <w:sz w:val="20"/>
        </w:rPr>
        <w:t xml:space="preserve">(a) agree that any action, whether in law or in equity, whether in contract or in tort or otherwise, involving the Financing Related Parties, arising out of or relating to, this Agreement, the Financing or any of the Debt Documents or Equity Documents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party hereto irrevocably submits itself and its property with respect to any such action to the exclusive jurisdiction of such court; </w:t>
      </w:r>
    </w:p>
    <w:p>
      <w:pPr>
        <w:pStyle w:val="TextBody"/>
        <w:bidi w:val="0"/>
        <w:spacing w:before="240" w:after="0"/>
        <w:jc w:val="left"/>
        <w:rPr>
          <w:rFonts w:ascii="Times New Roman" w:hAnsi="Times New Roman"/>
          <w:sz w:val="20"/>
        </w:rPr>
      </w:pPr>
      <w:r>
        <w:rPr>
          <w:rFonts w:ascii="Times New Roman" w:hAnsi="Times New Roman"/>
          <w:sz w:val="20"/>
        </w:rPr>
        <w:t xml:space="preserve">(b) agree that any such action described in the foregoing clause (a) shall be governed by the laws of the State of New York (without giving effect to any conflicts of law principles that would result in the application of the Laws of another state), except as otherwise provided in any debt commitment letters, any other applicable Debt Document, any Commitment and Subscription Agreement or any other Equity Document; </w:t>
      </w:r>
    </w:p>
    <w:p>
      <w:pPr>
        <w:pStyle w:val="TextBody"/>
        <w:bidi w:val="0"/>
        <w:spacing w:before="240" w:after="0"/>
        <w:jc w:val="left"/>
        <w:rPr>
          <w:rFonts w:ascii="Times New Roman" w:hAnsi="Times New Roman"/>
          <w:sz w:val="20"/>
        </w:rPr>
      </w:pPr>
      <w:r>
        <w:rPr>
          <w:rFonts w:ascii="Times New Roman" w:hAnsi="Times New Roman"/>
          <w:sz w:val="20"/>
        </w:rPr>
        <w:t xml:space="preserve">(c) agree that service of process upon DXL, DXL’s Subsidiaries, FBB or FBB’s Subsidiaries in any such action described in the foregoing clause (a) shall be effective if notice is given in accordance with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irrevocably waive, to the fullest extent that it may effectively do so, the defense of an inconvenient forum to the maintenance of any action described in the foregoing clause (a)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(e) waive to the fullest extent permitted by applicable law trial by jury in any action brought against any of the Financing Related Parties in any way arising out of or relating to, this Agreement, the Financing, any related debt commitment letters, the A&amp;R Term Loan Amendment, any other Debt Document, the Commitment and Subscription Agreements, any other Equity Document or any of the transactions contemplated hereby or thereby or the performance of any services thereunder; </w:t>
      </w:r>
    </w:p>
    <w:p>
      <w:pPr>
        <w:pStyle w:val="TextBody"/>
        <w:bidi w:val="0"/>
        <w:spacing w:before="240" w:after="0"/>
        <w:jc w:val="left"/>
        <w:rPr>
          <w:rFonts w:ascii="Times New Roman" w:hAnsi="Times New Roman"/>
          <w:sz w:val="20"/>
        </w:rPr>
      </w:pPr>
      <w:r>
        <w:rPr>
          <w:rFonts w:ascii="Times New Roman" w:hAnsi="Times New Roman"/>
          <w:sz w:val="20"/>
        </w:rPr>
        <w:t xml:space="preserve">(f) agree that none of the Financing Related Parties will have any liability to DXL or DXL’s Subsidiaries or any of their respective Affiliates or Representatives, or any of their respective current, former or future officers, directors, employees, agents, Representatives, stockholders, limited partners, managers, members or partners relating to or arising out of this Agreement, the Financing, any debt commitment letters, the A&amp;R Term Loan Amendment, any other Debt Document, the Commitment and Subscription Agreements, any other Equity Document or any of the transactions contemplated hereby or thereby or the performance of any services thereunder or otherwise, whether in law or in equity, whether in contract or in tort or otherwise, and neither DXL, nor any of its Subsidiaries or Affiliates will have any rights or claims against any of the Financing Related Parties hereunder or thereunder prior to the Closing (other than, after giving effect to the Closing, pursuant to, and to the extent of, any Debt Document or Equity Document they are party to); </w:t>
      </w:r>
    </w:p>
    <w:p>
      <w:pPr>
        <w:pStyle w:val="TextBody"/>
        <w:bidi w:val="0"/>
        <w:spacing w:before="240" w:after="0"/>
        <w:jc w:val="left"/>
        <w:rPr>
          <w:rFonts w:ascii="Times New Roman" w:hAnsi="Times New Roman"/>
          <w:sz w:val="20"/>
        </w:rPr>
      </w:pPr>
      <w:r>
        <w:rPr>
          <w:rFonts w:ascii="Times New Roman" w:hAnsi="Times New Roman"/>
          <w:sz w:val="20"/>
        </w:rPr>
        <w:t xml:space="preserve">(g) agree that the Financing Related Parties are express third-party beneficiaries of, and may enforce, any of the provisions in this Agreement reflecting the foregoing agreements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9.14</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xml:space="preserve">03; and </w:t>
      </w:r>
    </w:p>
    <w:p>
      <w:pPr>
        <w:pStyle w:val="TextBody"/>
        <w:bidi w:val="0"/>
        <w:spacing w:before="240" w:after="0"/>
        <w:jc w:val="left"/>
        <w:rPr>
          <w:rFonts w:ascii="Times New Roman" w:hAnsi="Times New Roman"/>
          <w:sz w:val="20"/>
        </w:rPr>
      </w:pPr>
      <w:r>
        <w:rPr>
          <w:rFonts w:ascii="Times New Roman" w:hAnsi="Times New Roman"/>
          <w:sz w:val="20"/>
        </w:rPr>
        <w:t xml:space="preserve">(h) none of this </w:t>
      </w:r>
      <w:r>
        <w:rPr>
          <w:rFonts w:ascii="Times New Roman" w:hAnsi="Times New Roman"/>
          <w:sz w:val="20"/>
          <w:u w:val="single"/>
        </w:rPr>
        <w:t>Section 9.14</w:t>
      </w:r>
      <w:r>
        <w:rPr>
          <w:rFonts w:ascii="Times New Roman" w:hAnsi="Times New Roman"/>
          <w:sz w:val="20"/>
        </w:rPr>
        <w:t xml:space="preserve"> and </w:t>
      </w:r>
      <w:r>
        <w:rPr>
          <w:rFonts w:ascii="Times New Roman" w:hAnsi="Times New Roman"/>
          <w:sz w:val="20"/>
          <w:u w:val="single"/>
        </w:rPr>
        <w:t>Section 8.03</w:t>
      </w:r>
      <w:r>
        <w:rPr>
          <w:rFonts w:ascii="Times New Roman" w:hAnsi="Times New Roman"/>
          <w:sz w:val="20"/>
        </w:rPr>
        <w:t xml:space="preserve"> (or any other provision of this Agreement the amendment or waiver of which has the effect of modifying such provisions) may be amended, modified, terminated or waived in a manner that is materially adverse to any Financing Related Party without the prior written consent of such Financing Related Party.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in counterparts by their duly authorized officers, all as of the day and year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DESTINATION XL GROUP, INC.</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9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Harvey S. Kanter</w:t>
            </w:r>
          </w:p>
        </w:tc>
      </w:tr>
      <w:tr>
        <w:trPr/>
        <w:tc>
          <w:tcPr>
            <w:tcW w:w="69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DIVINE MERGER SUB I,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Harvey S. Kanter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Harvey S. Kanter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0"/>
        <w:gridCol w:w="3352"/>
      </w:tblGrid>
      <w:tr>
        <w:trPr/>
        <w:tc>
          <w:tcPr>
            <w:tcW w:w="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2" w:type="dxa"/>
            <w:tcBorders>
              <w:bottom w:val="single" w:sz="2" w:space="0" w:color="000000"/>
            </w:tcBorders>
            <w:tcMar>
              <w:bottom w:w="28" w:type="dxa"/>
            </w:tcMar>
          </w:tcPr>
          <w:p>
            <w:pPr>
              <w:pStyle w:val="TableContents"/>
              <w:bidi w:val="0"/>
              <w:spacing w:before="0" w:after="283"/>
              <w:jc w:val="left"/>
              <w:rPr/>
            </w:pPr>
            <w:r>
              <w:rPr/>
              <w:t>/s/ Jim Fogarty</w:t>
            </w:r>
          </w:p>
        </w:tc>
      </w:tr>
      <w:tr>
        <w:trPr/>
        <w:tc>
          <w:tcPr>
            <w:tcW w:w="67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Jim Fogarty</w:t>
            </w:r>
          </w:p>
        </w:tc>
      </w:tr>
      <w:tr>
        <w:trPr/>
        <w:tc>
          <w:tcPr>
            <w:tcW w:w="67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2"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A</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of the Surviving Company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DIVINE MERGER SUB I, INC.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The name of the corporation (the “</w:t>
      </w:r>
      <w:r>
        <w:rPr>
          <w:rFonts w:ascii="Times New Roman" w:hAnsi="Times New Roman"/>
          <w:sz w:val="20"/>
          <w:u w:val="single"/>
        </w:rPr>
        <w:t>Corporation</w:t>
      </w:r>
      <w:r>
        <w:rPr>
          <w:rFonts w:ascii="Times New Roman" w:hAnsi="Times New Roman"/>
          <w:sz w:val="20"/>
        </w:rPr>
        <w:t xml:space="preserve">”) is: </w:t>
      </w:r>
    </w:p>
    <w:p>
      <w:pPr>
        <w:pStyle w:val="TextBody"/>
        <w:bidi w:val="0"/>
        <w:spacing w:before="240" w:after="0"/>
        <w:jc w:val="center"/>
        <w:rPr>
          <w:rFonts w:ascii="Times New Roman" w:hAnsi="Times New Roman"/>
          <w:sz w:val="20"/>
        </w:rPr>
      </w:pPr>
      <w:r>
        <w:rPr>
          <w:rFonts w:ascii="Times New Roman" w:hAnsi="Times New Roman"/>
          <w:sz w:val="20"/>
        </w:rPr>
        <w:t xml:space="preserve">DIVINE MERGER SUB I, INC.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the Corporation in the State of Delaware is c/o Corporation Service Company, 251 Little Falls Drive, Wilmington, Delaware 19808 in the County of New Castle. The name of the registered agent of the Corporation at such address is Corporation Service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The nature of the business or purposes to be conducted or promoted by the Corporation is to engage in any lawful act or activity for which corporations may be organized under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The total number of shares of stock which the Corporation shall have authority to issue is 1,000 shares of common stock, par value $0.01 per share (the “</w:t>
      </w:r>
      <w:r>
        <w:rPr>
          <w:rFonts w:ascii="Times New Roman" w:hAnsi="Times New Roman"/>
          <w:sz w:val="20"/>
          <w:u w:val="single"/>
        </w:rPr>
        <w:t>Common Stock</w:t>
      </w:r>
      <w:r>
        <w:rPr>
          <w:rFonts w:ascii="Times New Roman" w:hAnsi="Times New Roman"/>
          <w:sz w:val="20"/>
        </w:rPr>
        <w:t xml:space="preserve">”). Each holder of Common Stock shall be entitled to one vote for each share held.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In furtherance and not in limitation of the powers conferred by statute, the by-laws of the Corporation may be made, altered, amended or repealed by the stockholders of the Corporation or by a majority of the entire Board of Directors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The Corporation hereby eliminates, to the fullest extent permitted by law (as contemplated by Section 102(b)(7) of the DGCL) the personal liability of any person who serves as a director of the Corporation to the Corporation and/or its stockholders for monetary damages for breach of fiduciary duty as a director; provided that this Article VII shall not eliminate or limit the liability of a director: (a) for any breach of the director’s duty of loyalty to the Corporation or its stockholders; (b) for acts or omissions not in good faith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which involve intentional misconduct or a knowing violation of law; (c) under Section 174 of the DGCL; or (d) for any transaction from which the director derived an improper personal benefit; provided further, however, that if in the future the DGCL is amended or modified (including, but not limited to, Section 102(b)(7)) to permit the elimination of the personal liability of a director of the Corporation to a greater extent than contemplated above, then the provisions of this Article VII shall be deemed to be automatically amended to provide for the elimination of the personal liability of the directors of the Corporation to such greater extent. Any repeal or modification of this Article VII shall not adversely affect any right or protection of a director of the Corporation existing at the time of such repeal or modification.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a. Each person who was or is made a party or is threatened to be made a party to or is otherwise involved in any threatened, pending or completed action, suit or proceeding, whether civil, criminal, administrative or investigative (hereinafter</w:t>
      </w:r>
      <w:r>
        <w:rPr>
          <w:rFonts w:ascii="Times New Roman" w:hAnsi="Times New Roman"/>
          <w:i/>
          <w:sz w:val="20"/>
        </w:rPr>
        <w:t>,</w:t>
      </w:r>
      <w:r>
        <w:rPr>
          <w:rFonts w:ascii="Times New Roman" w:hAnsi="Times New Roman"/>
          <w:sz w:val="20"/>
        </w:rPr>
        <w:t xml:space="preserve"> a “</w:t>
      </w:r>
      <w:r>
        <w:rPr>
          <w:rFonts w:ascii="Times New Roman" w:hAnsi="Times New Roman"/>
          <w:sz w:val="20"/>
          <w:u w:val="single"/>
        </w:rPr>
        <w:t>proceeding</w:t>
      </w:r>
      <w:r>
        <w:rPr>
          <w:rFonts w:ascii="Times New Roman" w:hAnsi="Times New Roman"/>
          <w:sz w:val="20"/>
        </w:rPr>
        <w:t>”), by reason of the fact that he or she is or was a director, manager or officer of the Corporation or any of its Subsidiaries (each, a “</w:t>
      </w:r>
      <w:r>
        <w:rPr>
          <w:rFonts w:ascii="Times New Roman" w:hAnsi="Times New Roman"/>
          <w:sz w:val="20"/>
          <w:u w:val="single"/>
        </w:rPr>
        <w:t>Corporation</w:t>
      </w:r>
      <w:r>
        <w:rPr>
          <w:rFonts w:ascii="Times New Roman" w:hAnsi="Times New Roman"/>
          <w:sz w:val="20"/>
        </w:rPr>
        <w:t xml:space="preserve"> </w:t>
      </w:r>
      <w:r>
        <w:rPr>
          <w:rFonts w:ascii="Times New Roman" w:hAnsi="Times New Roman"/>
          <w:sz w:val="20"/>
          <w:u w:val="single"/>
        </w:rPr>
        <w:t>Group Entity</w:t>
      </w:r>
      <w:r>
        <w:rPr>
          <w:rFonts w:ascii="Times New Roman" w:hAnsi="Times New Roman"/>
          <w:sz w:val="20"/>
        </w:rPr>
        <w:t>”) or while a director, manager or officer of a Corporation Group Entity, is or was serving at the request of such Corporation Group Entity as a director, officer, manager, employee or agent of another corporation, partnership, limited liability company, joint venture, trust or other enterprise, including service with respect to an employee benefit plan (hereinafter, a “</w:t>
      </w:r>
      <w:r>
        <w:rPr>
          <w:rFonts w:ascii="Times New Roman" w:hAnsi="Times New Roman"/>
          <w:sz w:val="20"/>
          <w:u w:val="single"/>
        </w:rPr>
        <w:t>Covered Person</w:t>
      </w:r>
      <w:r>
        <w:rPr>
          <w:rFonts w:ascii="Times New Roman" w:hAnsi="Times New Roman"/>
          <w:sz w:val="20"/>
        </w:rPr>
        <w:t xml:space="preserve">”), whether the basis of such proceeding is alleged action in an official capacity as a director, officer, manager, employee or agent, or in any other capacity while serving as a director, officer, manager, employee or agent, shall be indemnified and held harmless by the Corporation to the fullest extent authorized or permitted by law (and, specifically in the case of the DGCL, as such law is amended, only to the extent that such amendment permits the Corporation to provide broader indemnification rights than previous to such amendment) against all expense, liability and loss (including, without limitation, attorneys’ fees, judgments, fines, excise taxes under the Employee Retirement Income Security Act of 1974, as amended from time to time, penalties and amounts paid or to be paid in settlement) actually and reasonably incurred or suffered by such Covered Person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right to indemnification conferred by clause (a) of this Article VIII, costs, charges and expenses (including, without limitation, attorneys’ fees) incurred by a Covered Person in defending, testifying, or otherwise participating in any such proceeding shall be paid by the Corporation in advance of the final disposition of such proceeding upon receipt of an undertaking by or on behalf of such Covered Person to repay all amounts so advanced in the event that it shall ultimately be determined that such Covered Person is not entitled to be indemnified by the Corporation as authorized in this Article VIII. The majority of the disinterested directors may, and upon approval of such Covered Person, authorize the Corporation’s counsel to represent such person, in any action, suit or proceeding, whether or not the Corporation is a party to such action, suit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c. If a claim under clause (a) or clause (b) of this Article VIII is not paid in full by the Corporation within 60 days 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also be entitled to be paid the expense of prosecuting or defending such suit to the fullest extent permitted by law. In any suit brought by (i) the Covered Person to enforce a right to indemnification hereunder (but not in a suit brought by a Covered Person to enforce a right to an advancement of expenses) it shall be a defense that, and (ii)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as the same exists or as hereafter may be amended (but, in the case of any such amendment, only to the extent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permits the Corporation to provide broader indemnification rights than the DGCL permitted the Corporation to provide prior to such amendment).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as the same exists or as hereafter may be amended (but, in the case of any such amendment, only to the extent that such amendment permits the Corporation to provide broader indemnification rights than the DGCL permitted the Corporation to provide prior to such amendment),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Article VIII or otherwise shall be 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d. The rights conferred on any person by this Article VIII shall not be exclusive of any other rights which any Covered Person may have or hereafter acquire under applicable law, this Restated Certificate of Incorporation, the Bylaws, agreement, vote of stockholders or disinterested directors, or otherwise, both as to action in his or her official capacity and as to action in another capacity while holding office or while employed by or acting as agent for the Corporation, and shall continue as to a person who has ceased to be a director, officer, employee or agent, and shall inure to the benefit of the estate, heirs, executors and administrators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e. The Corporation may maintain insurance, at its expense, to protect itself and/or any person who is or was or has agreed to become a Covered Person against any expense, liability or loss, whether or not the Corporation would have the power to indemnify such person against such expense, liability or loss under the DGCL and this Article VIII. </w:t>
      </w:r>
    </w:p>
    <w:p>
      <w:pPr>
        <w:pStyle w:val="TextBody"/>
        <w:bidi w:val="0"/>
        <w:spacing w:before="240" w:after="0"/>
        <w:jc w:val="left"/>
        <w:rPr>
          <w:rFonts w:ascii="Times New Roman" w:hAnsi="Times New Roman"/>
          <w:sz w:val="20"/>
        </w:rPr>
      </w:pPr>
      <w:r>
        <w:rPr>
          <w:rFonts w:ascii="Times New Roman" w:hAnsi="Times New Roman"/>
          <w:sz w:val="20"/>
        </w:rPr>
        <w:t>f. This Article VIII shall not limit the right of the Corporation to the extent and in the manner authorized or permitted by law to indemnify and to advance expenses to persons other than Covered Persons. Without limiting the foregoing, the Corporation may, to the extent authorized from time to time by the board of directors of the Corporation (the “</w:t>
      </w:r>
      <w:r>
        <w:rPr>
          <w:rFonts w:ascii="Times New Roman" w:hAnsi="Times New Roman"/>
          <w:sz w:val="20"/>
          <w:u w:val="single"/>
        </w:rPr>
        <w:t>Board</w:t>
      </w:r>
      <w:r>
        <w:rPr>
          <w:rFonts w:ascii="Times New Roman" w:hAnsi="Times New Roman"/>
          <w:sz w:val="20"/>
        </w:rPr>
        <w:t xml:space="preserve">”), grant rights to indemnification and to the advancement of expenses to any director, officer, manager, employee or agent of the Corporation and to any other person who is or was serving at the request of the Corporation as a director, officer, manager, employee or agent of another corporation or of a partnership, limited liability company, joint venture, trust or other enterprise or nonprofit entity, including service with respect to an employee benefit plan, to the fullest extent of the provisions of this Article VIII with respect to the indemnification and advancement of expenses of Covered Persons under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g. Any amendment, repeal or modification of this Article VIII, or any amendment, repeal or modification of relevant provisions of the DGCL or any other applicable laws, shall, to the extent permitted by applicable law, be prospective only (except to the extent such amendment or change in applicable law permits the Corporation to provide broader indemnification rights to Covered Persons on a retroactive basis than permitted prior thereto), and shall not in any way diminish or adversely affect any right or protection existing under this Article VIII in respect of any act or omission occurring prior to such repeal or amendment or adoption of such inconsistent provision.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Article VIII, (i) references to “other enterprise” shall include any employee benefit plan; (ii) references to “fines” shall include any excise taxes assessed on a person with respect to an employee benefit plan; (iii) references to “serving at the request of the Corporation” shall include any service that imposes duties on, or involves services by, a person with respect to another corporation, or of a partnership,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liability company, joint venture, trust, other enterprise or nonprofit entity, including service with respect to an employee benefit plan, its participants, or beneficiaries; (iv) references to “the Corporation” include all constituent corporations absorbed in a consolidation or merger as well as the resulting or surviving corporation, so that any Covered Person of such a constituent corporation or is or was serving at the request of such constituent corporation as a Covered Person of another corporation, partnership, limited liability company, joint venture, trust or other enterprise or nonprofit entity, including service with respect to an employee benefit plan, shall stand in the same position under the provisions of this Article VIII, with respect to the resulting or surviving corporation, as a Covered Person would if the Covered Person had served the resulting or surviving corporation in the same capacity; and (v) person who acted in good faith and in a manner such person reasonably believed to be in the interest of the participants and beneficiaries of an employee benefit plan shall be deemed to have acted in a manner “not opposed to the best interest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provided to Covered Persons pursuant to this Article VIII (i) shall be contract rights based upon good and valuable consideration, pursuant to which a Covered Person may bring suit as if the provisions of this Article VIII were set forth in a separate written contract between the Covered Person and the Corporation, (ii) shall fully vest at the time the Covered Person first assumes his or her position as an incorporator, resident agent, director, officer, manager, employee or agent of the Corporation and (iii) are intended to be retroactive and shall be available with respect to any act or omission occurring prior to the adoption of this Article VIII. </w:t>
      </w:r>
    </w:p>
    <w:p>
      <w:pPr>
        <w:pStyle w:val="TextBody"/>
        <w:bidi w:val="0"/>
        <w:spacing w:before="240" w:after="0"/>
        <w:jc w:val="left"/>
        <w:rPr>
          <w:rFonts w:ascii="Times New Roman" w:hAnsi="Times New Roman"/>
          <w:sz w:val="20"/>
        </w:rPr>
      </w:pPr>
      <w:r>
        <w:rPr>
          <w:rFonts w:ascii="Times New Roman" w:hAnsi="Times New Roman"/>
          <w:sz w:val="20"/>
        </w:rPr>
        <w:t xml:space="preserve">j. Notwithstanding anything in this Article VIII to the contrary, other than a proceeding to enforce his or her rights under this Article VIII, the Corporation shall not be required to indemnify or advance expenses to any Covered Person in connection with a proceeding or part thereof initiated by such Covered Person unless the initiation of such proceeding was authorized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k. If any term or provision of this Article VIII or the application to any Person or circumstance is held invalid or unenforceable to any extent, the remainder of this Article VIII and the application of such provision to other Persons and circumstances shall not be affected thereby and such provision shall be enforced to the greatest extent permitted by law.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The Corporation hereby acknowledges that certain Covered Persons may have rights to indemnification, insurance and/or advancement of expenses provided by a stockholder of the Corporation or its Affiliates (other than any Corporation Group Entity) (directly or through insurance obtained by any such entity) (collectively, the “</w:t>
      </w:r>
      <w:r>
        <w:rPr>
          <w:rFonts w:ascii="Times New Roman" w:hAnsi="Times New Roman"/>
          <w:sz w:val="20"/>
          <w:u w:val="single"/>
        </w:rPr>
        <w:t>Stockholder Indemnitors</w:t>
      </w:r>
      <w:r>
        <w:rPr>
          <w:rFonts w:ascii="Times New Roman" w:hAnsi="Times New Roman"/>
          <w:sz w:val="20"/>
        </w:rPr>
        <w:t xml:space="preserve">”). The Corporation hereby agrees and acknowledges that (i) it is the indemnitor of first resort with respect to the Covered Persons, (ii) it shall be required to advance the full amount of expenses incurred by the Covered Persons and shall be liable for the full amount of any losses, claims, damages, liabilities and expenses (including, without limitation, attorneys’ fees and expenses, judgments, fines, penalties and amounts paid or to be paid in settlement) to the extent legally permitted and, as required by law, the terms of this Certificate of Incorporation, the Bylaws, an agreement, vote of stockholders or disinterested directors, any other agreement between the Corporation and any Covered Persons or otherwise, without regard to any rights the Covered Persons may have against the Stockholder Indemnitors and (iii) to the extent permitted by law, it irrevocably waives, relinquishes and releases the Stockholder Indemnitors from any and all claims against the Stockholder Indemnitors for contribution, subrogation or any other recovery of any kind in respect thereof. The Corporation further agrees that no advancement or payment by the Stockholder Indemnitors on behalf of the Corporation with respect to any claim for which the Covered Persons have sought indemnification from the Corporation shall affect the foregoing and the Stockholder Indemnitors shall have a right of contribution and/or be subrogated to the extent of such advancement or payment to all of the rights of recovery of the Covered Persons against the Corporation. The rights provided in this Article IX shall be contract rights. The Corporation and each Covered Person agree that Stockholder Indemnitors are express third-party beneficiaries of Articles VIII and 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the Corporation is authorized to provide indemnification of (and advancement of expenses to) agents of the Corporation (and any other persons to which the DGCL permits the Corporation to provide indemnification) through Bylaw provisions, agreements with such agents or other persons, by vote of stockholders or disinterested directors or otherwise, in excess of the indemnification and advancement otherwise permitted by Section 145 of the DGCL, subject only to limits created by the DGCL and applicable law, with respect to actions for breach of duty to the Corporation, its stockholders, and others.”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Affiliate</w:t>
      </w:r>
      <w:r>
        <w:rPr>
          <w:rFonts w:ascii="Times New Roman" w:hAnsi="Times New Roman"/>
          <w:sz w:val="20"/>
        </w:rPr>
        <w:t xml:space="preserve">” means, with respect to any specified Person, any other Person that directly, or indirectly through one or more intermediaries, controls, is controlled by, or is under common control with, such first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Subsidiary</w:t>
      </w:r>
      <w:r>
        <w:rPr>
          <w:rFonts w:ascii="Times New Roman" w:hAnsi="Times New Roman"/>
          <w:sz w:val="20"/>
        </w:rPr>
        <w:t xml:space="preserve">” of any Person means (i) a corporation more than fifty percent (50%) of the combined voting power of the outstanding voting stock of which is owned, directly or indirectly, by such Person or by one or more other Subsidiaries of such Person or by such Person and one or more other Subsidiaries thereof,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(iv) any other Person (other than a corporation, partnership or limited liability company) in which such Person, or one or more other Subsidiaries of such Person or such Person and one or more other Subsidiaries thereof, directly or indirectly, has at least a majority ownership interest and the power to direct the policies, management and affairs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B</w:t>
      </w:r>
      <w:r>
        <w:rPr>
          <w:rFonts w:ascii="Times New Roman" w:hAnsi="Times New Roman"/>
          <w:b/>
          <w:sz w:val="20"/>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(the “</w:t>
      </w:r>
      <w:r>
        <w:rPr>
          <w:rFonts w:ascii="Times New Roman" w:hAnsi="Times New Roman"/>
          <w:sz w:val="20"/>
          <w:u w:val="single"/>
        </w:rPr>
        <w:t>Stockholder</w:t>
      </w:r>
      <w:r>
        <w:rPr>
          <w:rFonts w:ascii="Times New Roman" w:hAnsi="Times New Roman"/>
          <w:sz w:val="20"/>
        </w:rPr>
        <w:t>”) understands that: (i) Destination XL Group, Inc., a Delaware corporation (“</w:t>
      </w:r>
      <w:r>
        <w:rPr>
          <w:rFonts w:ascii="Times New Roman" w:hAnsi="Times New Roman"/>
          <w:sz w:val="20"/>
          <w:u w:val="single"/>
        </w:rPr>
        <w:t>DXL</w:t>
      </w:r>
      <w:r>
        <w:rPr>
          <w:rFonts w:ascii="Times New Roman" w:hAnsi="Times New Roman"/>
          <w:sz w:val="20"/>
        </w:rPr>
        <w:t>”), has entered into an Agreement and Plan of Merger, dated as of December 10, 2025 (as amended, supplemented, restated or otherwise modified from time to time, the “</w:t>
      </w:r>
      <w:r>
        <w:rPr>
          <w:rFonts w:ascii="Times New Roman" w:hAnsi="Times New Roman"/>
          <w:sz w:val="20"/>
          <w:u w:val="single"/>
        </w:rPr>
        <w:t>Merger Agreement</w:t>
      </w:r>
      <w:r>
        <w:rPr>
          <w:rFonts w:ascii="Times New Roman" w:hAnsi="Times New Roman"/>
          <w:sz w:val="20"/>
        </w:rPr>
        <w:t>”), with Divine Merger Sub I, Inc., a Delaware corporation and wholly owned direct subsidiary of DXL (“</w:t>
      </w:r>
      <w:r>
        <w:rPr>
          <w:rFonts w:ascii="Times New Roman" w:hAnsi="Times New Roman"/>
          <w:sz w:val="20"/>
          <w:u w:val="single"/>
        </w:rPr>
        <w:t>Merger Sub</w:t>
      </w:r>
      <w:r>
        <w:rPr>
          <w:rFonts w:ascii="Times New Roman" w:hAnsi="Times New Roman"/>
          <w:sz w:val="20"/>
        </w:rPr>
        <w:t>”), and FBB Holdings I, Inc., a Delaware corporation (“</w:t>
      </w:r>
      <w:r>
        <w:rPr>
          <w:rFonts w:ascii="Times New Roman" w:hAnsi="Times New Roman"/>
          <w:sz w:val="20"/>
          <w:u w:val="single"/>
        </w:rPr>
        <w:t>FBB</w:t>
      </w:r>
      <w:r>
        <w:rPr>
          <w:rFonts w:ascii="Times New Roman" w:hAnsi="Times New Roman"/>
          <w:sz w:val="20"/>
        </w:rPr>
        <w:t>”), pursuant to which Merger Sub will be merged with and into FBB (the “</w:t>
      </w:r>
      <w:r>
        <w:rPr>
          <w:rFonts w:ascii="Times New Roman" w:hAnsi="Times New Roman"/>
          <w:sz w:val="20"/>
          <w:u w:val="single"/>
        </w:rPr>
        <w:t>Merger</w:t>
      </w:r>
      <w:r>
        <w:rPr>
          <w:rFonts w:ascii="Times New Roman" w:hAnsi="Times New Roman"/>
          <w:sz w:val="20"/>
        </w:rPr>
        <w:t>”) and the separate corporate existence of Merger Sub will cease and FBB will continue as the surviving corporation in the Merger and as a wholly owned subsidiary of DXL; and (ii) in connection with the Merger, stockholders of FBB will receive DXL Common Stock. Capitalized terms used but not otherwise defined in this letter agreement (the “</w:t>
      </w:r>
      <w:r>
        <w:rPr>
          <w:rFonts w:ascii="Times New Roman" w:hAnsi="Times New Roman"/>
          <w:sz w:val="20"/>
          <w:u w:val="single"/>
        </w:rPr>
        <w:t>Agreement</w:t>
      </w:r>
      <w:r>
        <w:rPr>
          <w:rFonts w:ascii="Times New Roman" w:hAnsi="Times New Roman"/>
          <w:sz w:val="20"/>
        </w:rPr>
        <w:t>”) will have the meanings ascribed to such terms in the Merger Agreement. This letter agreement shall not be effective until the effective time of the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As a material inducement to the willingness of each of DXL and FBB to enter into the Merger Agreement, and for other good and valuable consideration, the receipt and sufficiency of which are hereby acknowledged, the Stockholder hereby agrees that the Stockholder will not, subject to the exceptions set forth in this Agreement, during the period commencing on the Effective Time and ending 90 days after the Closing Date (the “</w:t>
      </w:r>
      <w:r>
        <w:rPr>
          <w:rFonts w:ascii="Times New Roman" w:hAnsi="Times New Roman"/>
          <w:sz w:val="20"/>
          <w:u w:val="single"/>
        </w:rPr>
        <w:t>Restricted Period</w:t>
      </w:r>
      <w:r>
        <w:rPr>
          <w:rFonts w:ascii="Times New Roman" w:hAnsi="Times New Roman"/>
          <w:sz w:val="20"/>
        </w:rPr>
        <w:t>”), (a) offer, pledge, sell, contract to sell, sell any option or contract to purchase, purchase any option or contract to sell, grant any option, right or warrant to purchase, or otherwise transfer or dispose of, directly or indirectly, any DXL Common Stock, or any securities convertible into or exercisable or exchangeable for DXL Common Stock, including, without limitation, DXL Common Stock or such other securities which may be deemed to be beneficially owned by the Stockholder in accordance with the rules and regulations of the Securities and Exchange Commission and securities of DXL which may be issued upon exercise of a stock option or warrant (collectively, the “</w:t>
      </w:r>
      <w:r>
        <w:rPr>
          <w:rFonts w:ascii="Times New Roman" w:hAnsi="Times New Roman"/>
          <w:sz w:val="20"/>
          <w:u w:val="single"/>
        </w:rPr>
        <w:t>Stockholder’s Shares</w:t>
      </w:r>
      <w:r>
        <w:rPr>
          <w:rFonts w:ascii="Times New Roman" w:hAnsi="Times New Roman"/>
          <w:sz w:val="20"/>
        </w:rPr>
        <w:t xml:space="preserve">”), or (b) enter into any swap or other agreement that transfers, in whole or in part, any of the economic consequences of ownership of the DXL Common Stock or such other securities, whether any such transaction described in clause (a) or (b) above is to be settled by delivery of DXL Common Stock or such other securities, in cash or otherwise, in each case other than (i) transfers of the Stockholder’s Shares as charitable gifts or donations, (ii) transfers or dispositions of the Stockholder’s Shares directly as a gift to a member of the Stockholder’s immediate family, or to any trust for the direct or indirect benefit of the Stockholder or the immediate family of the Stockholder, (iii) transfers or dispositions of the Stockholder’s Shares by will, other testamentary document or intestate succession to the legal representative, heir, beneficiary or a member of the immediate family of the Stockholder, (iv) transfers of the Stockholder’s Shares to stockholders, direct or indirect affiliates (within the meaning set forth in Rule 405 under the Securities Act of 1933, as amended), current or former partners (general or limited), members or managers of the Stockholder, as applicable, or to the estates of any such stockholders, affiliates, partners, members or managers, or to another corporation, partnership, limited liability company or other business entity that controls, is controlled by or is under common control with the Stockholder, (v) transfers that occur by operation of law pursuant to a qualified domestic order or in connection with a divorce settlement, (vi) transfers or dispositions not involving a change in beneficial ownership, and (vii) if the Stockholder is a trust, transfers or dispositions to any beneficiary of the Stockholder or the estate of any such beneficiary; </w:t>
      </w:r>
      <w:r>
        <w:rPr>
          <w:rFonts w:ascii="Times New Roman" w:hAnsi="Times New Roman"/>
          <w:sz w:val="20"/>
          <w:u w:val="single"/>
        </w:rPr>
        <w:t>provided</w:t>
      </w:r>
      <w:r>
        <w:rPr>
          <w:rFonts w:ascii="Times New Roman" w:hAnsi="Times New Roman"/>
          <w:sz w:val="20"/>
        </w:rPr>
        <w:t xml:space="preserve"> that, in each case, the transferee agrees in writing to be bound by the terms and conditions of this Agreement and either the Stockholder or the transferee provides DXL with a copy of such agreement promptly upon consummation of any such transfer;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no filing by any party (donor, donee, transferor or transferee) under the Exchange Act or other public announcement shall be required or shall be made voluntarily in connection with such transfer or distribution (other than filings made in respect of involuntary transfers or dispositions or a filing on a Form 5 made after the expiration of the Restricted Period) and any such transfer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distribution shall not involve a disposition for value. For purposes of this Agreement, “immediate family” shall mean any relationship by blood, marriage or adoption, not more remote than first cousin. </w:t>
      </w:r>
    </w:p>
    <w:p>
      <w:pPr>
        <w:pStyle w:val="TextBody"/>
        <w:bidi w:val="0"/>
        <w:spacing w:before="360" w:after="0"/>
        <w:jc w:val="left"/>
        <w:rPr>
          <w:rFonts w:ascii="Times New Roman" w:hAnsi="Times New Roman"/>
          <w:sz w:val="20"/>
        </w:rPr>
      </w:pPr>
      <w:r>
        <w:rPr>
          <w:rFonts w:ascii="Times New Roman" w:hAnsi="Times New Roman"/>
          <w:sz w:val="20"/>
        </w:rPr>
        <w:t xml:space="preserve">Notwithstanding the restrictions imposed by this Agreement, the Stockholder may (a) establish a trading plan pursuant to Rule 10b5-1 under the Exchange Act for the transfer of DXL Common Stock, provided that such plan does not provide for any transfers of DXL Common Stock during the Restricted Period, and (b) transfer or dispose of DXL Common Stock acquired on the open market following the Effective Time; </w:t>
      </w:r>
      <w:r>
        <w:rPr>
          <w:rFonts w:ascii="Times New Roman" w:hAnsi="Times New Roman"/>
          <w:sz w:val="20"/>
          <w:u w:val="single"/>
        </w:rPr>
        <w:t>provided that</w:t>
      </w:r>
      <w:r>
        <w:rPr>
          <w:rFonts w:ascii="Times New Roman" w:hAnsi="Times New Roman"/>
          <w:sz w:val="20"/>
        </w:rPr>
        <w:t xml:space="preserve">, with respect to (a) above, no filing under the Exchange Act or other public announcement shall be required or shall be made voluntarily in connection with the establishment of such a plan, </w:t>
      </w:r>
      <w:r>
        <w:rPr>
          <w:rFonts w:ascii="Times New Roman" w:hAnsi="Times New Roman"/>
          <w:sz w:val="20"/>
          <w:u w:val="single"/>
        </w:rPr>
        <w:t>provided</w:t>
      </w:r>
      <w:r>
        <w:rPr>
          <w:rFonts w:ascii="Times New Roman" w:hAnsi="Times New Roman"/>
          <w:sz w:val="20"/>
        </w:rPr>
        <w:t xml:space="preserve"> that reasonable notice shall be provided to DXL prior to any such filing, and </w:t>
      </w:r>
      <w:r>
        <w:rPr>
          <w:rFonts w:ascii="Times New Roman" w:hAnsi="Times New Roman"/>
          <w:sz w:val="20"/>
          <w:u w:val="single"/>
        </w:rPr>
        <w:t>provided further</w:t>
      </w:r>
      <w:r>
        <w:rPr>
          <w:rFonts w:ascii="Times New Roman" w:hAnsi="Times New Roman"/>
          <w:sz w:val="20"/>
        </w:rPr>
        <w:t xml:space="preserve"> that, for the avoidance of doubt, the underlying DXL Common Stock shall continue to be subject to the restrictions on transfer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An attempted transfer in violation of this Agreement will be of no effect and null and void, regardless of whether the purported transferee has any actual or constructive knowledge of the transfer restrictions set forth in this Agreement, and will not be recorded on the stock transfer books of DXL. In order to ensure compliance with the restrictions referred to herein, the Stockholder agrees that DXL may issue appropriate “stop transfer” certificates or instructions. DXL may cause the legend set forth below, or a legend substantially equivalent thereto, to be placed upon any certificate(s) or other documents or instruments evidencing ownership of the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Stockholder hereby represents and warrants that the Stockholder has full power and authority to enter into this Agreement. All authority conferred or agreed to be conferred and any obligations of the Stockholder under this Agreement will be binding upon the successors, assigns, heirs or personal representatives of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Stockholder’s Shares from this Agreement, DXL will cooperate with the Stockholder to facilitate the timely preparation and delivery of certificates representing the Stockholder’s Shares without the restrictive legend above or the withdrawal of any stop transfer instructions. </w:t>
      </w:r>
    </w:p>
    <w:p>
      <w:pPr>
        <w:pStyle w:val="TextBody"/>
        <w:bidi w:val="0"/>
        <w:spacing w:before="240" w:after="0"/>
        <w:jc w:val="left"/>
        <w:rPr>
          <w:rFonts w:ascii="Times New Roman" w:hAnsi="Times New Roman"/>
          <w:sz w:val="20"/>
        </w:rPr>
      </w:pPr>
      <w:r>
        <w:rPr>
          <w:rFonts w:ascii="Times New Roman" w:hAnsi="Times New Roman"/>
          <w:sz w:val="20"/>
        </w:rPr>
        <w:t>The Stockholder understands that each of DXL and FBB is relying upon this Agreement in proceeding toward consummation of the Merger. The Stockholder also understands that other individuals or entities are executing similar Lock-Up Agreements in connection with the Merger Agreement (each, a “</w:t>
      </w:r>
      <w:r>
        <w:rPr>
          <w:rFonts w:ascii="Times New Roman" w:hAnsi="Times New Roman"/>
          <w:sz w:val="20"/>
          <w:u w:val="single"/>
        </w:rPr>
        <w:t>Similar Agreement</w:t>
      </w:r>
      <w:r>
        <w:rPr>
          <w:rFonts w:ascii="Times New Roman" w:hAnsi="Times New Roman"/>
          <w:sz w:val="20"/>
        </w:rPr>
        <w:t xml:space="preserve">”). It is further understood and agreed that (a) no amendment or modification will be made to any Similar Agreement unless the Stockholder is afforded the opportunity to receive the same amendment or modification to this Agreement, and (b) no signatory to any Similar Agreement will be released from its obligations thereunder without notice being provided to the Stockholder. The Stockholder further understands that this Agreement is irrevocable and is binding upon the Stockholder’s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be deemed to vest in DXL or FBB any direct or indirect ownership or incidence of ownership of or with respect to the Stockholder’s Shares. All rights, ownership and economic benefits of and relating to the Stockholder’s Shares shall remain vested in and belong to the Stockholder, and DXL and FBB shall have no authority solely by virtue of this Agreement to direct the Stockholder in the voting or disposition of any of the Stockholder’s Shares, except as otherwise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in accordance with its terms, the Stockholder will be released from all obligations and liabilities under this Agreement automatically and without notice or other action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Agreement and any dispute, controversy or claim based upon, arising out of, relating to or in connection with this Agreement, the negotiation, execution, existence, validity, enforceability or performance of this Agreement, any transaction contemplated by this Agreement, any representation or warranty made in or in connection with this Agreement, any inducement to enter into this Agreement, or the breach or alleged breach hereof (whether in contract, statute,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facsimile or electronic (i.e., PDF) transmission, which is deemed an original.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0"/>
        <w:gridCol w:w="181"/>
        <w:gridCol w:w="3721"/>
      </w:tblGrid>
      <w:tr>
        <w:trPr/>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70"/>
        <w:gridCol w:w="112"/>
        <w:gridCol w:w="2939"/>
        <w:gridCol w:w="126"/>
        <w:gridCol w:w="4458"/>
      </w:tblGrid>
      <w:tr>
        <w:trPr/>
        <w:tc>
          <w:tcPr>
            <w:tcW w:w="2570"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45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570" w:type="dxa"/>
            <w:tcBorders/>
            <w:vAlign w:val="center"/>
          </w:tcPr>
          <w:p>
            <w:pPr>
              <w:pStyle w:val="TableContents"/>
              <w:bidi w:val="0"/>
              <w:spacing w:before="0" w:after="283"/>
              <w:jc w:val="left"/>
              <w:rPr>
                <w:sz w:val="4"/>
                <w:szCs w:val="4"/>
              </w:rPr>
            </w:pPr>
            <w:r>
              <w:rPr>
                <w:sz w:val="4"/>
                <w:szCs w:val="4"/>
              </w:rPr>
            </w:r>
          </w:p>
        </w:tc>
        <w:tc>
          <w:tcPr>
            <w:tcW w:w="3051" w:type="dxa"/>
            <w:gridSpan w:val="2"/>
            <w:tcBorders/>
            <w:vAlign w:val="center"/>
          </w:tcPr>
          <w:p>
            <w:pPr>
              <w:pStyle w:val="TableContents"/>
              <w:bidi w:val="0"/>
              <w:spacing w:before="0" w:after="283"/>
              <w:jc w:val="left"/>
              <w:rPr>
                <w:sz w:val="4"/>
                <w:szCs w:val="4"/>
              </w:rPr>
            </w:pPr>
            <w:r>
              <w:rPr>
                <w:sz w:val="4"/>
                <w:szCs w:val="4"/>
              </w:rPr>
            </w:r>
          </w:p>
        </w:tc>
        <w:tc>
          <w:tcPr>
            <w:tcW w:w="4584" w:type="dxa"/>
            <w:gridSpan w:val="2"/>
            <w:tcBorders/>
            <w:vAlign w:val="center"/>
          </w:tcPr>
          <w:p>
            <w:pPr>
              <w:pStyle w:val="TableContents"/>
              <w:bidi w:val="0"/>
              <w:spacing w:before="0" w:after="283"/>
              <w:jc w:val="left"/>
              <w:rPr>
                <w:sz w:val="4"/>
                <w:szCs w:val="4"/>
              </w:rPr>
            </w:pPr>
            <w:r>
              <w:rPr>
                <w:sz w:val="4"/>
                <w:szCs w:val="4"/>
              </w:rPr>
            </w:r>
          </w:p>
        </w:tc>
      </w:tr>
      <w:tr>
        <w:trPr/>
        <w:tc>
          <w:tcPr>
            <w:tcW w:w="2570" w:type="dxa"/>
            <w:tcBorders/>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Print Name of</w:t>
              <w:br/>
              <w:t>Stockholder:</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4458"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Signature (for individuals):</w:t>
            </w:r>
          </w:p>
          <w:p>
            <w:pPr>
              <w:pStyle w:val="TableContents"/>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b/>
                <w:sz w:val="20"/>
              </w:rPr>
            </w:pPr>
            <w:r>
              <w:rPr>
                <w:rFonts w:ascii="Times New Roman" w:hAnsi="Times New Roman"/>
                <w:b/>
                <w:sz w:val="20"/>
              </w:rPr>
              <w:t>Signature (for entities):</w:t>
            </w:r>
          </w:p>
          <w:p>
            <w:pPr>
              <w:pStyle w:val="TableContents"/>
              <w:bidi w:val="0"/>
              <w:spacing w:before="0" w:after="20"/>
              <w:jc w:val="left"/>
              <w:rPr/>
            </w:pPr>
            <w:r>
              <w:rPr/>
              <w:t> </w:t>
            </w:r>
          </w:p>
        </w:tc>
      </w:tr>
    </w:tbl>
    <w:tbl>
      <w:tblPr>
        <w:tblW w:w="2000" w:type="pct"/>
        <w:jc w:val="right"/>
        <w:tblInd w:w="0" w:type="dxa"/>
        <w:tblLayout w:type="fixed"/>
        <w:tblCellMar>
          <w:top w:w="0" w:type="dxa"/>
          <w:left w:w="0" w:type="dxa"/>
          <w:bottom w:w="0" w:type="dxa"/>
          <w:right w:w="0" w:type="dxa"/>
        </w:tblCellMar>
      </w:tblPr>
      <w:tblGrid>
        <w:gridCol w:w="382"/>
        <w:gridCol w:w="61"/>
        <w:gridCol w:w="759"/>
        <w:gridCol w:w="61"/>
        <w:gridCol w:w="2819"/>
      </w:tblGrid>
      <w:tr>
        <w:trPr/>
        <w:tc>
          <w:tcPr>
            <w:tcW w:w="38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82" w:type="dxa"/>
            <w:tcBorders/>
            <w:vAlign w:val="center"/>
          </w:tcPr>
          <w:p>
            <w:pPr>
              <w:pStyle w:val="TableContents"/>
              <w:bidi w:val="0"/>
              <w:spacing w:before="0" w:after="283"/>
              <w:jc w:val="left"/>
              <w:rPr>
                <w:sz w:val="4"/>
                <w:szCs w:val="4"/>
              </w:rPr>
            </w:pPr>
            <w:r>
              <w:rPr>
                <w:sz w:val="4"/>
                <w:szCs w:val="4"/>
              </w:rPr>
            </w:r>
          </w:p>
        </w:tc>
        <w:tc>
          <w:tcPr>
            <w:tcW w:w="3700" w:type="dxa"/>
            <w:gridSpan w:val="4"/>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9" w:type="dxa"/>
            <w:gridSpan w:val="3"/>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Name: </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20" w:hRule="atLeast"/>
        </w:trPr>
        <w:tc>
          <w:tcPr>
            <w:tcW w:w="382" w:type="dxa"/>
            <w:tcBorders/>
            <w:vAlign w:val="center"/>
          </w:tcPr>
          <w:p>
            <w:pPr>
              <w:pStyle w:val="TableContents"/>
              <w:bidi w:val="0"/>
              <w:spacing w:before="0" w:after="283"/>
              <w:jc w:val="left"/>
              <w:rPr>
                <w:sz w:val="4"/>
                <w:szCs w:val="4"/>
              </w:rPr>
            </w:pPr>
            <w:r>
              <w:rPr>
                <w:sz w:val="4"/>
                <w:szCs w:val="4"/>
              </w:rPr>
            </w:r>
          </w:p>
        </w:tc>
        <w:tc>
          <w:tcPr>
            <w:tcW w:w="820" w:type="dxa"/>
            <w:gridSpan w:val="2"/>
            <w:tcBorders/>
            <w:vAlign w:val="center"/>
          </w:tcPr>
          <w:p>
            <w:pPr>
              <w:pStyle w:val="TableContents"/>
              <w:bidi w:val="0"/>
              <w:spacing w:before="0" w:after="283"/>
              <w:jc w:val="left"/>
              <w:rPr>
                <w:sz w:val="4"/>
                <w:szCs w:val="4"/>
              </w:rPr>
            </w:pPr>
            <w:r>
              <w:rPr>
                <w:sz w:val="4"/>
                <w:szCs w:val="4"/>
              </w:rPr>
            </w:r>
          </w:p>
        </w:tc>
        <w:tc>
          <w:tcPr>
            <w:tcW w:w="2880" w:type="dxa"/>
            <w:gridSpan w:val="2"/>
            <w:tcBorders/>
            <w:vAlign w:val="center"/>
          </w:tcPr>
          <w:p>
            <w:pPr>
              <w:pStyle w:val="TableContents"/>
              <w:bidi w:val="0"/>
              <w:spacing w:before="0" w:after="283"/>
              <w:jc w:val="left"/>
              <w:rPr>
                <w:sz w:val="4"/>
                <w:szCs w:val="4"/>
              </w:rPr>
            </w:pPr>
            <w:r>
              <w:rPr>
                <w:sz w:val="4"/>
                <w:szCs w:val="4"/>
              </w:rPr>
            </w:r>
          </w:p>
        </w:tc>
      </w:tr>
      <w:tr>
        <w:trPr/>
        <w:tc>
          <w:tcPr>
            <w:tcW w:w="38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759" w:type="dxa"/>
            <w:tcBorders/>
            <w:vAlign w:val="bottom"/>
          </w:tcPr>
          <w:p>
            <w:pPr>
              <w:pStyle w:val="TableContents"/>
              <w:bidi w:val="0"/>
              <w:spacing w:before="0" w:after="283"/>
              <w:jc w:val="left"/>
              <w:rPr/>
            </w:pPr>
            <w:r>
              <w:rPr/>
              <w:t>Title:</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LOCK-UP AGREEMENT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b/>
          <w:sz w:val="20"/>
          <w:u w:val="single"/>
        </w:rPr>
        <w:t>Exhibit C</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Voting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120" w:after="0"/>
        <w:jc w:val="center"/>
        <w:rPr>
          <w:rFonts w:ascii="Times New Roman" w:hAnsi="Times New Roman"/>
          <w:b/>
          <w:sz w:val="20"/>
        </w:rPr>
      </w:pPr>
      <w:r>
        <w:rPr>
          <w:rFonts w:ascii="Times New Roman" w:hAnsi="Times New Roman"/>
          <w:b/>
          <w:sz w:val="20"/>
        </w:rPr>
        <w:t xml:space="preserve">VOTING AGREEMENT </w:t>
      </w:r>
    </w:p>
    <w:p>
      <w:pPr>
        <w:pStyle w:val="TextBody"/>
        <w:bidi w:val="0"/>
        <w:spacing w:before="240" w:after="0"/>
        <w:jc w:val="left"/>
        <w:rPr>
          <w:rFonts w:ascii="Times New Roman" w:hAnsi="Times New Roman"/>
          <w:sz w:val="20"/>
        </w:rPr>
      </w:pPr>
      <w:r>
        <w:rPr>
          <w:rFonts w:ascii="Times New Roman" w:hAnsi="Times New Roman"/>
          <w:b/>
          <w:sz w:val="20"/>
        </w:rPr>
        <w:t>THIS VOTING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made and entered into as of December 10, 2025 by and among each of the persons set forth on </w:t>
      </w:r>
      <w:r>
        <w:rPr>
          <w:rFonts w:ascii="Times New Roman" w:hAnsi="Times New Roman"/>
          <w:sz w:val="20"/>
          <w:u w:val="single"/>
        </w:rPr>
        <w:t>Schedule A</w:t>
      </w:r>
      <w:r>
        <w:rPr>
          <w:rFonts w:ascii="Times New Roman" w:hAnsi="Times New Roman"/>
          <w:sz w:val="20"/>
        </w:rPr>
        <w:t xml:space="preserve"> hereto (each, a “</w:t>
      </w:r>
      <w:r>
        <w:rPr>
          <w:rFonts w:ascii="Times New Roman" w:hAnsi="Times New Roman"/>
          <w:b/>
          <w:sz w:val="20"/>
        </w:rPr>
        <w:t>Stockholder</w:t>
      </w:r>
      <w:r>
        <w:rPr>
          <w:rFonts w:ascii="Times New Roman" w:hAnsi="Times New Roman"/>
          <w:sz w:val="20"/>
        </w:rPr>
        <w:t>,” and collectively, the “</w:t>
      </w:r>
      <w:r>
        <w:rPr>
          <w:rFonts w:ascii="Times New Roman" w:hAnsi="Times New Roman"/>
          <w:b/>
          <w:sz w:val="20"/>
        </w:rPr>
        <w:t>Stockholders</w:t>
      </w:r>
      <w:r>
        <w:rPr>
          <w:rFonts w:ascii="Times New Roman" w:hAnsi="Times New Roman"/>
          <w:sz w:val="20"/>
        </w:rPr>
        <w:t>”) of Destination XL Group, Inc., a Delaware corporation (“</w:t>
      </w:r>
      <w:r>
        <w:rPr>
          <w:rFonts w:ascii="Times New Roman" w:hAnsi="Times New Roman"/>
          <w:b/>
          <w:sz w:val="20"/>
        </w:rPr>
        <w:t>DXL</w:t>
      </w:r>
      <w:r>
        <w:rPr>
          <w:rFonts w:ascii="Times New Roman" w:hAnsi="Times New Roman"/>
          <w:sz w:val="20"/>
        </w:rPr>
        <w:t>”), and FBB Holdings I, Inc., a Delaware corporation (“</w:t>
      </w:r>
      <w:r>
        <w:rPr>
          <w:rFonts w:ascii="Times New Roman" w:hAnsi="Times New Roman"/>
          <w:b/>
          <w:sz w:val="20"/>
        </w:rPr>
        <w:t>FBB</w:t>
      </w:r>
      <w:r>
        <w:rPr>
          <w:rFonts w:ascii="Times New Roman" w:hAnsi="Times New Roman"/>
          <w:sz w:val="20"/>
        </w:rPr>
        <w:t>”). FBB and Stockholders are each sometimes referred to herein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or following the execution hereof, FBB, DXL, and Divine Merger Sub I, Inc., a Delaware corporation and wholly owned direct subsidiary of DXL (“</w:t>
      </w:r>
      <w:r>
        <w:rPr>
          <w:rFonts w:ascii="Times New Roman" w:hAnsi="Times New Roman"/>
          <w:b/>
          <w:sz w:val="20"/>
        </w:rPr>
        <w:t>Merger Sub</w:t>
      </w:r>
      <w:r>
        <w:rPr>
          <w:rFonts w:ascii="Times New Roman" w:hAnsi="Times New Roman"/>
          <w:sz w:val="20"/>
        </w:rPr>
        <w:t>”), have entered, or will enter, into an Agreement and Plan of Merger (as the same may be amended from time to time, the “</w:t>
      </w:r>
      <w:r>
        <w:rPr>
          <w:rFonts w:ascii="Times New Roman" w:hAnsi="Times New Roman"/>
          <w:b/>
          <w:sz w:val="20"/>
        </w:rPr>
        <w:t>Merger Agreement</w:t>
      </w:r>
      <w:r>
        <w:rPr>
          <w:rFonts w:ascii="Times New Roman" w:hAnsi="Times New Roman"/>
          <w:sz w:val="20"/>
        </w:rPr>
        <w:t>”), pursuant to which the Merger Sub will be merged with and into FBB (the “</w:t>
      </w:r>
      <w:r>
        <w:rPr>
          <w:rFonts w:ascii="Times New Roman" w:hAnsi="Times New Roman"/>
          <w:b/>
          <w:sz w:val="20"/>
        </w:rPr>
        <w:t>Merger</w:t>
      </w:r>
      <w:r>
        <w:rPr>
          <w:rFonts w:ascii="Times New Roman" w:hAnsi="Times New Roman"/>
          <w:sz w:val="20"/>
        </w:rPr>
        <w:t xml:space="preserve">”), with FBB being the surviving corporation in the Merger; and </w:t>
      </w:r>
    </w:p>
    <w:p>
      <w:pPr>
        <w:pStyle w:val="TextBody"/>
        <w:bidi w:val="0"/>
        <w:spacing w:before="240" w:after="0"/>
        <w:jc w:val="left"/>
        <w:rPr>
          <w:rFonts w:ascii="Times New Roman" w:hAnsi="Times New Roman"/>
          <w:sz w:val="20"/>
        </w:rPr>
      </w:pPr>
      <w:r>
        <w:rPr>
          <w:rFonts w:ascii="Times New Roman" w:hAnsi="Times New Roman"/>
          <w:sz w:val="20"/>
        </w:rPr>
        <w:t>WHEREAS, as of the date hereof, each Stockholder is the record and beneficial owner (as defined in Rule 13d-3 under the Exchange Act) of the number of shares of common stock, par value $0.01 per share, of DXL (“</w:t>
      </w:r>
      <w:r>
        <w:rPr>
          <w:rFonts w:ascii="Times New Roman" w:hAnsi="Times New Roman"/>
          <w:b/>
          <w:sz w:val="20"/>
        </w:rPr>
        <w:t>DXL Common Stock</w:t>
      </w:r>
      <w:r>
        <w:rPr>
          <w:rFonts w:ascii="Times New Roman" w:hAnsi="Times New Roman"/>
          <w:sz w:val="20"/>
        </w:rPr>
        <w:t>”), set forth opposite such Stockholder’s name on Schedule A (all such shares of DXL Common Stock, together with any shares of DXL Common Stock or other voting equity securities of DXL that are hereafter issued to or otherwise directly or indirectly acquired or beneficially owned by such Stockholder prior to the Expiration Time (as defined below) (the “</w:t>
      </w:r>
      <w:r>
        <w:rPr>
          <w:rFonts w:ascii="Times New Roman" w:hAnsi="Times New Roman"/>
          <w:b/>
          <w:sz w:val="20"/>
        </w:rPr>
        <w:t>After-Acquired Shares</w:t>
      </w:r>
      <w:r>
        <w:rPr>
          <w:rFonts w:ascii="Times New Roman" w:hAnsi="Times New Roman"/>
          <w:sz w:val="20"/>
        </w:rPr>
        <w:t>”), such Stockholder’s “</w:t>
      </w:r>
      <w:r>
        <w:rPr>
          <w:rFonts w:ascii="Times New Roman" w:hAnsi="Times New Roman"/>
          <w:b/>
          <w:sz w:val="20"/>
        </w:rPr>
        <w:t>Covered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set forth herein, and other good and valuable consideration, the receipt and sufficiency of which are acknowledged, the Parties, intending to be legally bound,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u w:val="single"/>
        </w:rPr>
        <w:t>Definitions</w:t>
      </w:r>
      <w:r>
        <w:rPr>
          <w:rFonts w:ascii="Times New Roman" w:hAnsi="Times New Roman"/>
          <w:b/>
          <w:sz w:val="20"/>
        </w:rPr>
        <w:t>.</w:t>
      </w:r>
      <w:r>
        <w:rPr>
          <w:rFonts w:ascii="Times New Roman" w:hAnsi="Times New Roman"/>
          <w:sz w:val="20"/>
        </w:rPr>
        <w:t xml:space="preserve"> Capitalized terms used but not otherwise defined herein shall have the respective meanings ascribed to such terms in the Merger Agreement. As used in this Agreement, the following terms have the meanings set forth below: </w:t>
      </w:r>
    </w:p>
    <w:p>
      <w:pPr>
        <w:pStyle w:val="TextBody"/>
        <w:bidi w:val="0"/>
        <w:spacing w:before="120" w:after="0"/>
        <w:jc w:val="left"/>
        <w:rPr/>
      </w:pPr>
      <w:r>
        <w:rPr/>
        <w:t>“</w:t>
      </w:r>
      <w:r>
        <w:rPr>
          <w:rFonts w:ascii="Times New Roman" w:hAnsi="Times New Roman"/>
          <w:b/>
          <w:sz w:val="20"/>
        </w:rPr>
        <w:t>Adverse Proposal</w:t>
      </w:r>
      <w:r>
        <w:rPr>
          <w:rFonts w:ascii="Times New Roman" w:hAnsi="Times New Roman"/>
          <w:sz w:val="20"/>
        </w:rPr>
        <w:t xml:space="preserve">” means: (i) any DXL Takeover Proposal; (ii) any change in the present capitalization of DXL or any amendment or other change to the DXL Charter or the DXL Bylaws; (iii) any action, proposal or transaction that would reasonably be expected to result in a breach of any covenant, agreement, representation or warranty or any other obligation of DXL set forth in the Merger Agreement; or (iv) any other action, proposal or transaction that is intended, or would reasonably be expected, to impede, interfere with, delay, postpone, discourage or prevent the consummation of, or otherwise adversely affect, the Merger, the other transactions contemplated hereby or thereby. </w:t>
      </w:r>
    </w:p>
    <w:p>
      <w:pPr>
        <w:pStyle w:val="TextBody"/>
        <w:bidi w:val="0"/>
        <w:spacing w:before="240" w:after="0"/>
        <w:jc w:val="left"/>
        <w:rPr/>
      </w:pPr>
      <w:r>
        <w:rPr/>
        <w:t>“</w:t>
      </w:r>
      <w:r>
        <w:rPr>
          <w:rFonts w:ascii="Times New Roman" w:hAnsi="Times New Roman"/>
          <w:b/>
          <w:sz w:val="20"/>
        </w:rPr>
        <w:t>Controlled Affiliate</w:t>
      </w:r>
      <w:r>
        <w:rPr>
          <w:rFonts w:ascii="Times New Roman" w:hAnsi="Times New Roman"/>
          <w:sz w:val="20"/>
        </w:rPr>
        <w:t xml:space="preserve">” means, with respect to any person, any other person that, directly or indirectly, through one or more intermediaries, controls such person. As used in this definition, the term “control” means the possession, directly or indirectly, of the power to direct or cause the direction of the management and policies of an entity, whether through ownership of voting securities, by contract or otherwise. Ownership of more than fifty percent (50%) of the beneficial interests of an entity shall be conclusive evidence that control exists.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means any direct or indirect (i) sale, tender, exchange, assignment, encumbrance, gift, hedge, pledge, hypothecation, disposition or other transfer (by operation of Law or otherwise), voluntarily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involuntarily, or entry into any contract, option or other arrangement or understanding with respect to any sale, tender, exchange, assignment, encumbrance, gift, hedge, pledge, hypothecation, disposition or other transfer (by operation of Law or otherwise), of any Covered Shares (excluding, for the avoidance of doubt, any sale, tender, exchange, assignment, encumbrance, gift, hedge, pledge, hypothecation, disposition or other transfer pursuant to this Agreement or the Merger Agreement) or any right, title or interest therein; (ii) (x) deposit of any Covered Shares into a voting trust, (y) entry into a voting agreement with respect to any Covered Shares (other than this Agreement) or (z) grant of any irrevocable or revocable proxy, corporate representative appointment or power of attorney (or other consent or authorization) with respect to any Covered Shares; or (iii) entry into an agreement, arrangement, understanding or commitment (whether or not in writing) to take any of the actions referred to in the foregoing sub-paragraphs (i) or (ii). </w:t>
      </w:r>
    </w:p>
    <w:p>
      <w:pPr>
        <w:pStyle w:val="TextBody"/>
        <w:bidi w:val="0"/>
        <w:spacing w:before="36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No Transfer; No Inconsistent Arrangements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Each Stockholder agrees not to Transfer any of such Stockholder’s Covered Shares;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involuntary Transfer of any of such Stockholder’s Covered Shares shall occur (including a sale by such Stockholder’s trustee in any bankruptcy, or a sale to a purchaser at any creditor’s or court sale), the transferee (which term, as used herein, shall include any and all transferees and subsequent transferees of the initial transferee) shall, subject to applicable Law, take and hold such Covered Shares subject to all of the restrictions, obligations, liabilities and rights under this Agreement, which shall continue in full force and effect until the Expiration Time. Any action taken in violation of the immediately preceding sentence shall, to the fullest extent permitted by Law, be null and void </w:t>
      </w:r>
      <w:r>
        <w:rPr>
          <w:rFonts w:ascii="Times New Roman" w:hAnsi="Times New Roman"/>
          <w:i/>
          <w:sz w:val="20"/>
        </w:rPr>
        <w:t>ab initio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Each Stockholder hereby authorizes and instructs DXL to cause DXL’s transfer agent or other registrar to enter stop transfer instructions and implement stop transfer procedures with respect to all of the Covered Shares or other capital stock or any securities convertible into or exercisable or exchangeable for Covered Shares or other capital stock of DXL owned or held (of record or beneficially) by such Stockholder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2.3 Each Stockholder shall not, directly or indirectly, take any action that would make any representation or warranty of such Stockholder contained herein untrue or incorrect or have the effect of preventing, impairing or materially delaying such Stockholder from performing any of its obligations under this Agreement or that would, or would reasonably be expected to, have the effect of preventing, impairing or materially delaying, the consummation of the Merger or the other transactions or the performance by DXL of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u w:val="single"/>
        </w:rPr>
        <w:t>Agreement to Vote</w:t>
      </w:r>
      <w:r>
        <w:rPr>
          <w:rFonts w:ascii="Times New Roman" w:hAnsi="Times New Roman"/>
          <w:sz w:val="20"/>
          <w:u w:val="single"/>
        </w:rPr>
        <w:t>.</w:t>
      </w:r>
      <w:r>
        <w:rPr>
          <w:rFonts w:ascii="Times New Roman" w:hAnsi="Times New Roman"/>
          <w:sz w:val="20"/>
        </w:rPr>
        <w:t xml:space="preserve"> Each Stockholder irrevocably and unconditionally agrees that, at every meeting of the stockholders of DXL, however called, including any adjournment or postponement thereof, and in connection with any action proposed to be taken by written consent of the stockholders of DXL, such Stockholder shall, in each case, to the fullest extent that such Stockholder’s Covered Shares are entitled to vote thereon: (a) appear at each such meeting or otherwise cause all such Covered Shares to be counted as present thereat for the purpose of determining a quorum; and (b) be present (in person or by proxy) and vote (or cause to be voted), or deliver (or cause to be delivered) a written consent with respect to, all such Covered Shares (i) in favor of (A) the issuance of DXL Common Stock as the Merger Consideration pursuant to the terms of the Merger Agreement and (B) any other matters that would reasonably be expected to facilitate the Merger, including any proposal to adjourn or postpone any meeting of the stockholders of DXL to a later date; and (ii) against any Adverse Proposal; </w:t>
      </w:r>
      <w:r>
        <w:rPr>
          <w:rFonts w:ascii="Times New Roman" w:hAnsi="Times New Roman"/>
          <w:sz w:val="20"/>
          <w:u w:val="single"/>
        </w:rPr>
        <w:t>provided</w:t>
      </w:r>
      <w:r>
        <w:rPr>
          <w:rFonts w:ascii="Times New Roman" w:hAnsi="Times New Roman"/>
          <w:sz w:val="20"/>
        </w:rPr>
        <w:t xml:space="preserve">, that for the avoidance of doubt, any adjournment or postponement of the DXL Stockholders Meeting permitted by Section 6.01(h) of the Merger Agreement or by </w:t>
      </w:r>
      <w:r>
        <w:rPr>
          <w:rFonts w:ascii="Times New Roman" w:hAnsi="Times New Roman"/>
          <w:sz w:val="20"/>
          <w:u w:val="single"/>
        </w:rPr>
        <w:t>Section 3(b)(i)(B)</w:t>
      </w:r>
      <w:r>
        <w:rPr>
          <w:rFonts w:ascii="Times New Roman" w:hAnsi="Times New Roman"/>
          <w:sz w:val="20"/>
        </w:rPr>
        <w:t xml:space="preserve"> hereof shall not constitute an Adverse Proposal. Such Stockholder shall retain at all times the right to vote such Stockholder’s Covered Shares in such Stockholder’s sole discretion, and without any other limitation, on any matters other than those expressly set forth in this </w:t>
      </w:r>
      <w:r>
        <w:rPr>
          <w:rFonts w:ascii="Times New Roman" w:hAnsi="Times New Roman"/>
          <w:sz w:val="20"/>
          <w:u w:val="single"/>
        </w:rPr>
        <w:t>Section 3</w:t>
      </w:r>
      <w:r>
        <w:rPr>
          <w:rFonts w:ascii="Times New Roman" w:hAnsi="Times New Roman"/>
          <w:sz w:val="20"/>
        </w:rPr>
        <w:t xml:space="preserve"> that are at any time or from time to time presented for consideration to the stockholders of DXL generally. For the avoidance of doubt, the foregoing commitments in this </w:t>
      </w:r>
      <w:r>
        <w:rPr>
          <w:rFonts w:ascii="Times New Roman" w:hAnsi="Times New Roman"/>
          <w:sz w:val="20"/>
          <w:u w:val="single"/>
        </w:rPr>
        <w:t>Section 3</w:t>
      </w:r>
      <w:r>
        <w:rPr>
          <w:rFonts w:ascii="Times New Roman" w:hAnsi="Times New Roman"/>
          <w:sz w:val="20"/>
        </w:rPr>
        <w:t xml:space="preserve"> apply to any Covered Shares held by any trust, limited partnership or other entity directly or indirectly holding Covered Shares over which the applicable Stockholder exercises direct or indirect voting control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Proxy and Power of Attorney</w:t>
      </w:r>
      <w:r>
        <w:rPr>
          <w:rFonts w:ascii="Times New Roman" w:hAnsi="Times New Roman"/>
          <w:b/>
          <w:sz w:val="20"/>
        </w:rPr>
        <w:t xml:space="preserve">. </w:t>
      </w:r>
      <w:r>
        <w:rPr>
          <w:rFonts w:ascii="Times New Roman" w:hAnsi="Times New Roman"/>
          <w:sz w:val="20"/>
        </w:rPr>
        <w:t xml:space="preserve">Solely in the event of a failure by any Stockholder to act in accordance with such Stockholder’s obligations as to voting pursuant to </w:t>
      </w:r>
      <w:r>
        <w:rPr>
          <w:rFonts w:ascii="Times New Roman" w:hAnsi="Times New Roman"/>
          <w:sz w:val="20"/>
          <w:u w:val="single"/>
        </w:rPr>
        <w:t>Section 3</w:t>
      </w:r>
      <w:r>
        <w:rPr>
          <w:rFonts w:ascii="Times New Roman" w:hAnsi="Times New Roman"/>
          <w:sz w:val="20"/>
        </w:rPr>
        <w:t xml:space="preserve"> hereof, such Stockholder hereby appoints Jim Fogarty and Lauren Gee (each, an “</w:t>
      </w:r>
      <w:r>
        <w:rPr>
          <w:rFonts w:ascii="Times New Roman" w:hAnsi="Times New Roman"/>
          <w:b/>
          <w:sz w:val="20"/>
        </w:rPr>
        <w:t>Attorney</w:t>
      </w:r>
      <w:r>
        <w:rPr>
          <w:rFonts w:ascii="Times New Roman" w:hAnsi="Times New Roman"/>
          <w:sz w:val="20"/>
        </w:rPr>
        <w:t xml:space="preserve">”), in their capacities as officers of FBB, and each of them individually, until the Expiration Time (at which time this proxy shall automatically be revoked), as its proxy and attorney-in-fact, with full power of substitution and re-substitution, to vote or act by written consent during the term of this Agreement with respect to the Covered Shares in accordance with </w:t>
      </w:r>
      <w:r>
        <w:rPr>
          <w:rFonts w:ascii="Times New Roman" w:hAnsi="Times New Roman"/>
          <w:sz w:val="20"/>
          <w:u w:val="single"/>
        </w:rPr>
        <w:t>Section 3</w:t>
      </w:r>
      <w:r>
        <w:rPr>
          <w:rFonts w:ascii="Times New Roman" w:hAnsi="Times New Roman"/>
          <w:sz w:val="20"/>
        </w:rPr>
        <w:t xml:space="preserve"> hereof in the event such Stockholder fails to comply with its obligation under this Agreement or attempts or purports to vote (or provide consent with respect to), or cause any other person to vote or provide consent with respect to, such Stockholder’s Covered Shares in a manner inconsistent with the terms of this Agreement. This proxy and power of attorney is given to secure the performance of the duties of the Stockholders under this Agreement. Any applicable Stockholder shall take such further actions or execute such other instruments as may be necessary to effectuate the intent of this proxy. This proxy and power of attorney granted by any applicable Stockholder shall be irrevocable during the term of this Agreement, shall be deemed to be coupled with an interest sufficient in law to support an irrevocable proxy, and shall revoke any and all prior proxies granted by such Stockholder with respect to the Covered Shares. The power of attorney granted by any applicable Stockholder herein is a durable power of attorney and shall survive the bankruptcy, death or incapacity of such Stockholder. The proxy and power of attorney granted hereunder shall terminate upon the termination of this Agreement. Any applicable Stockholder irrevocably undertakes to ratify any act committed in the exercise of the power under this </w:t>
      </w:r>
      <w:r>
        <w:rPr>
          <w:rFonts w:ascii="Times New Roman" w:hAnsi="Times New Roman"/>
          <w:sz w:val="20"/>
          <w:u w:val="single"/>
        </w:rPr>
        <w:t>Section 4</w:t>
      </w:r>
      <w:r>
        <w:rPr>
          <w:rFonts w:ascii="Times New Roman" w:hAnsi="Times New Roman"/>
          <w:sz w:val="20"/>
        </w:rPr>
        <w:t xml:space="preserve"> if called upon to do so. Any applicable Stockholder undertakes and agrees: (i) to indemnify the Attorney against all actions, claims, demands, proceedings, costs, charges, expenses and other liabilities whatsoever which may be made against the Attorney or for which the Attorney may become liable by reason of acting pursuant to this power of attorney; and (ii) that the Attorney shall not be liable to such Stockholder for any loss or damage occurring as a result of any act or omission made by the Attorney by reason of acting pursuant to this power of attorney.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No Limit on Fiduciary Duties as Director</w:t>
      </w:r>
      <w:r>
        <w:rPr>
          <w:rFonts w:ascii="Times New Roman" w:hAnsi="Times New Roman"/>
          <w:b/>
          <w:sz w:val="20"/>
        </w:rPr>
        <w:t xml:space="preserve">. </w:t>
      </w:r>
      <w:r>
        <w:rPr>
          <w:rFonts w:ascii="Times New Roman" w:hAnsi="Times New Roman"/>
          <w:sz w:val="20"/>
        </w:rPr>
        <w:t xml:space="preserve">Notwithstanding anything herein to the contrary, the covenants and agreements set forth herein shall not prevent any Stockholder from exercising his or her duties and obligations as a director of the Company or otherwise taking any action, subject to the applicable provisions of the Merger Agreement, while acting in such capacity as a director of the Company. Each Stockholder is executing this Agreement solely in its capacity as a stockholder. </w:t>
      </w:r>
    </w:p>
    <w:p>
      <w:pPr>
        <w:pStyle w:val="TextBody"/>
        <w:bidi w:val="0"/>
        <w:spacing w:before="240" w:after="0"/>
        <w:jc w:val="left"/>
        <w:rPr>
          <w:rFonts w:ascii="Times New Roman" w:hAnsi="Times New Roman"/>
          <w:sz w:val="20"/>
        </w:rPr>
      </w:pPr>
      <w:r>
        <w:rPr>
          <w:rFonts w:ascii="Times New Roman" w:hAnsi="Times New Roman"/>
          <w:b/>
          <w:sz w:val="20"/>
        </w:rPr>
        <w:t xml:space="preserve">6. </w:t>
      </w:r>
      <w:r>
        <w:rPr>
          <w:rFonts w:ascii="Times New Roman" w:hAnsi="Times New Roman"/>
          <w:b/>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From the date hereof until the Expiration Time, each Stockholder shall not, and shall cause its Controlled Affiliates not to, and its and their respective officers, agents and other representatives not to, directly or indirectly: (i) initiate, solicit, knowingly encourage or knowingly facilitate inquiries or proposals with respect to any DXL Takeover Proposal; (ii) engage or participate in any negotiations with any person concerning any DXL Takeover Proposal; (iii) provide any confidential or nonpublic information or data to, or have or participate in any discussions with, any person relating to any DXL Takeover Proposal (other than the parties to the Merger Agreement and their Representatives); (iv) approve or enter into any term sheet, letter of intent, commitment, memorandum of understanding, agreement in principle, acquisition agreement, merger agreement, voting or support agreement, or other agreement (whether written or oral, binding or nonbinding) in connection with or relating to any DXL Takeover Proposal; or (v) become a member of a “group” (as defined in Section 13(d)(3) under the Exchange Act) with respect to any voting securities of DXL for the purpose of opposing, discouraging or competing with or taking any actions inconsistent with the transactions contemplated by this Agreement or the Merger Agreement. Each Stockholder shall, and shall cause its Controlled Affiliates to, and shall cause its respective officer, agents and other representatives to, immediately cease and cause to be terminated any existing solicitations of, or discussions or negotiations with, any third party relating to any DXL Takeover Proposal. For purposes of this </w:t>
      </w:r>
      <w:r>
        <w:rPr>
          <w:rFonts w:ascii="Times New Roman" w:hAnsi="Times New Roman"/>
          <w:sz w:val="20"/>
          <w:u w:val="single"/>
        </w:rPr>
        <w:t>Section 6.1</w:t>
      </w:r>
      <w:r>
        <w:rPr>
          <w:rFonts w:ascii="Times New Roman" w:hAnsi="Times New Roman"/>
          <w:sz w:val="20"/>
        </w:rPr>
        <w:t xml:space="preserve">, “DXL Takeover Proposal” shall have the meaning ascribed to such term in the Merger Agreement but shall also include any Transfer of any of such Stockholder’s Covered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Waiver of Certain Actions</w:t>
      </w:r>
      <w:r>
        <w:rPr>
          <w:rFonts w:ascii="Times New Roman" w:hAnsi="Times New Roman"/>
          <w:sz w:val="20"/>
        </w:rPr>
        <w:t xml:space="preserve">. Each Stockholder agrees not to commence or participate in, and to take all actions necessary to opt out of any class in any class action with respect to, any claim, derivative or otherwise, against FBB, DXL,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consummation of the Merger) or (b) alleging a breach of any duty of the Board of Directors of DXL in connection with the Merger Agreement, this Agreement,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Notice of Certain Events</w:t>
      </w:r>
      <w:r>
        <w:rPr>
          <w:rFonts w:ascii="Times New Roman" w:hAnsi="Times New Roman"/>
          <w:sz w:val="20"/>
        </w:rPr>
        <w:t xml:space="preserve">. Each Stockholder agrees to notify FBB of any development occurring after the date hereof that causes, or that would reasonably be expected to cause, any material breach of any of the representations and warranties of such Stockholder set forth in </w:t>
      </w:r>
      <w:r>
        <w:rPr>
          <w:rFonts w:ascii="Times New Roman" w:hAnsi="Times New Roman"/>
          <w:sz w:val="20"/>
          <w:u w:val="single"/>
        </w:rPr>
        <w:t>Section 7</w:t>
      </w:r>
      <w:r>
        <w:rPr>
          <w:rFonts w:ascii="Times New Roman" w:hAnsi="Times New Roman"/>
          <w:sz w:val="20"/>
        </w:rPr>
        <w:t xml:space="preserve">. Promptly upon the acquisition of any After-Acquired Shares, such Stockholder shall notify FBB of the number of After-Acquired Shares so acquired; it being understood that any such shares shall be subject to the terms of this Agreement as though owned by such Stockholder on the date hereof and the representation and warranties in </w:t>
      </w:r>
      <w:r>
        <w:rPr>
          <w:rFonts w:ascii="Times New Roman" w:hAnsi="Times New Roman"/>
          <w:sz w:val="20"/>
          <w:u w:val="single"/>
        </w:rPr>
        <w:t>Section 7</w:t>
      </w:r>
      <w:r>
        <w:rPr>
          <w:rFonts w:ascii="Times New Roman" w:hAnsi="Times New Roman"/>
          <w:sz w:val="20"/>
        </w:rPr>
        <w:t xml:space="preserve"> below shall be true and correct as of the date that such After-Acquired Shares are acquired.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Documentation and Information</w:t>
      </w:r>
      <w:r>
        <w:rPr>
          <w:rFonts w:ascii="Times New Roman" w:hAnsi="Times New Roman"/>
          <w:sz w:val="20"/>
        </w:rPr>
        <w:t xml:space="preserve">. Each Stockholder shall not, and shall cause such Stockholder’s Controlled Affiliates and such Stockholder’s and such Stockholder’s Controlled Affiliates’ respective officers, agents and other representatives not to, make any public announcement or other communication to a third party regarding this Agreement, the Merger Agreement, or the transactions contemplated thereby or hereby without the prior written consent of FBB except in accordance with Section 9.13 of the Merger Agreement. Each Stockholder consents to and authorizes DXL and FBB to publish and disclose in all documents and schedules filed with the SEC or any other Governmental Entity or applicable securities exchange, and any press release or other disclosure document that DXL or FBB reasonably determines to be necessary or advisable in connection with the Merger, the other transactions contemplated by the Merger Agreement or any other transactions contemplated by this Agreement, such Stockholder’s identity and ownership of such Stockholder’s Covered Shares, the existence of this Agreement and the nature of such Stockholder’s commitments and obligations under this Agreement, and such Stockholder acknowledges that DXL and FBB may file this Agreement or a form hereof with the SEC or any other Governmental Entity or securities exchange. Each Stockholder agrees to promptly give FBB and DXL any information that is in such Stockholder’s possession that FBB or DXL may reasonably request for the preparation of any such disclosure documents, and such Stockholder agrees to promptly notify FBB and DXL of any required corrections with respect to any written information supplied by such Stockholder specifically for use in any such disclosure document, if and to the extent that such Stockholder shall become aware that any such information shall have become false or misleading in any material respect.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Representations and Warranties of Each Stockholder</w:t>
      </w:r>
      <w:r>
        <w:rPr>
          <w:rFonts w:ascii="Times New Roman" w:hAnsi="Times New Roman"/>
          <w:b/>
          <w:sz w:val="20"/>
        </w:rPr>
        <w:t xml:space="preserve">. </w:t>
      </w:r>
      <w:r>
        <w:rPr>
          <w:rFonts w:ascii="Times New Roman" w:hAnsi="Times New Roman"/>
          <w:sz w:val="20"/>
        </w:rPr>
        <w:t xml:space="preserve">Each Stockholder represents and warrants to FBB, as to such Stockholder with respect to such Stockholder’s Covered Shares, on a several basis, that: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Due Organization;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Stockholder is duly organized, validly existing and in good standing under the laws of the State of Delaware, (ii) such Stockholder has the requisite corporate power and authority to enter into and to perform its obligations under this Agreement, (iii) the execution and delivery of this Agreement by such Stockholder and the performance of its obligations hereunder and the consummation of the transactions contemplated hereby have been duly authorized by all necessary corporate action on the part of such Stockholder, and (iv) no other proceedings on the part of such Stockholder are necessary to authorize the execution, delivery and performance of this Agreement by such Stockholder or to consummate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has been duly and validly executed and delivered by such Stockholder and, assuming the due authorization, execution and delivery by FBB, constitutes a legal, valid and binding obligation of such Stockholder, enforceable against such Stockholder in accordance with its terms, except as limited by Laws affecting the enforcement of creditors’ rights generally, by general equitable principles or by the discretion of any Governmental Entity before which any proceeding seeking enforcement may be brought.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Ownership of the Covered Shares; Voting Power</w:t>
      </w:r>
      <w:r>
        <w:rPr>
          <w:rFonts w:ascii="Times New Roman" w:hAnsi="Times New Roman"/>
          <w:sz w:val="20"/>
        </w:rPr>
        <w:t>. Such Stockholder is the record and beneficial owner (as defined in Rule 13d-3 under the Exchange Act) of all of such Stockholder’s Covered Shares and has good and marketable title to all of such Stockholder’s Covered Shares, free and clear of any Liens in respect of such Covered Shares, other than those created by this Agreement or those imposed by applicable securities Law (collectively, “</w:t>
      </w:r>
      <w:r>
        <w:rPr>
          <w:rFonts w:ascii="Times New Roman" w:hAnsi="Times New Roman"/>
          <w:b/>
          <w:sz w:val="20"/>
        </w:rPr>
        <w:t>Permitted Liens</w:t>
      </w:r>
      <w:r>
        <w:rPr>
          <w:rFonts w:ascii="Times New Roman" w:hAnsi="Times New Roman"/>
          <w:sz w:val="20"/>
        </w:rPr>
        <w:t xml:space="preserve">”). The Covered Shares listed on </w:t>
      </w:r>
      <w:r>
        <w:rPr>
          <w:rFonts w:ascii="Times New Roman" w:hAnsi="Times New Roman"/>
          <w:sz w:val="20"/>
          <w:u w:val="single"/>
        </w:rPr>
        <w:t>Schedule A</w:t>
      </w:r>
      <w:r>
        <w:rPr>
          <w:rFonts w:ascii="Times New Roman" w:hAnsi="Times New Roman"/>
          <w:sz w:val="20"/>
        </w:rPr>
        <w:t xml:space="preserve"> opposite such Stockholder’s name constitute all of the shares of capital stock of DXL or any other securities of DXL beneficially owned by such Stockholder as of the date hereof. As of the date hereof, such Stockholder has not entered into any agreement to Transfer any such Covered Shares. Such Stockholder has full voting power with respect to all of such Stockholder’s Covered Shares, and full power of disposition with respect to Covered Shares, full power to issue instructions with respect to the matters set forth herein and full power to agree to all of the matters set forth in this Agreement, in each case with respect to all such Stockholder’s Covered Shares. None of such Stockholder’s Covered Shares are subject to any stockholders’ agreement, proxy, voting trust or other agreement, arrangement or Lien with respect to the voting of such Covered Shares, except as expressly provided herein (including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Non-Contravention; Consents</w:t>
      </w:r>
      <w:r>
        <w:rPr>
          <w:rFonts w:ascii="Times New Roman" w:hAnsi="Times New Roman"/>
          <w:sz w:val="20"/>
        </w:rPr>
        <w:t xml:space="preserve">. Neither the execution and delivery of this Agreement by such Stockholder nor the consummation of the transactions contemplated hereby nor compliance by such Stockholder with any provisions herein will (a) violate, contravene or conflict with or result in any breach of any provision of the certificate of formation or operating agreement or equivalent organizational documents of such Stockholder, (b) require any consent, approval, authorization or permit of, or filing with or notification to, any Governmental Entity on the part of such Stockholder, except for compliance with the applicable requirements of the Securities Act, the Exchange Act or any other securities laws and the rules and regulations promulgated thereunder, (c) violate, conflict with, or result in a breach of or default under any provisions of, or require any consent, waiver or approval under any of the terms, conditions or provisions of, any Contract to which such Stockholder is a party or by which such Stockholder or any of such Stockholder’s Covered Shares may be bound, (d) result in the creation or imposition of any Lien (other than any Permitted Liens or Lien created by FBB) on any of such Stockholder’s Covered Shares or (e) violate any Law applicable to such Stockholder or by which any of such Stockholder’s Covered Shares are bound, except, in the case of each of clauses (c), (d) and (e), as would not, individually or in the aggregate, reasonably be expected to prevent, impair or delay the consummation by such Stockholder of the transactions contemplated by this Agreement or otherwise prevent, impair or delay such Stockholder’s ability to perform such Stockholder’s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Legal Proceedings</w:t>
      </w:r>
      <w:r>
        <w:rPr>
          <w:rFonts w:ascii="Times New Roman" w:hAnsi="Times New Roman"/>
          <w:sz w:val="20"/>
        </w:rPr>
        <w:t xml:space="preserve">. There are no legal, administrative, arbitral or other proceedings, claims, actions or governmental or regulatory investigations of any nature pending against or, to the knowledge of such Stockholder, threatened against or affecting such Stockholder or any of such Stockholder’s properties or assets (including any of such Stockholder’s Covered Shares) that would, individually or in the aggregate, reasonably be expected to prevent, impair or delay the consummation by such Stockholder of the transactions contemplated by this Agreement or otherwise prevent, impair or delay such Stockholder’s ability to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Opportunity to Review; Reliance</w:t>
      </w:r>
      <w:r>
        <w:rPr>
          <w:rFonts w:ascii="Times New Roman" w:hAnsi="Times New Roman"/>
          <w:sz w:val="20"/>
        </w:rPr>
        <w:t xml:space="preserve">. Such Stockholder has had the opportunity to review the Merger Agreement and this Agreement with counsel of such Stockholder’s own choosing. Such Stockholder understands and acknowledges that FBB and DXL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Termination</w:t>
      </w:r>
      <w:r>
        <w:rPr>
          <w:rFonts w:ascii="Times New Roman" w:hAnsi="Times New Roman"/>
          <w:b/>
          <w:sz w:val="20"/>
        </w:rPr>
        <w:t xml:space="preserve">. </w:t>
      </w:r>
      <w:r>
        <w:rPr>
          <w:rFonts w:ascii="Times New Roman" w:hAnsi="Times New Roman"/>
          <w:sz w:val="20"/>
        </w:rPr>
        <w:t>This Agreement shall terminate automatically and shall have no further force or effect as of the earliest to occur of the following (the “</w:t>
      </w:r>
      <w:r>
        <w:rPr>
          <w:rFonts w:ascii="Times New Roman" w:hAnsi="Times New Roman"/>
          <w:b/>
          <w:sz w:val="20"/>
        </w:rPr>
        <w:t>Expiration Time</w:t>
      </w:r>
      <w:r>
        <w:rPr>
          <w:rFonts w:ascii="Times New Roman" w:hAnsi="Times New Roman"/>
          <w:sz w:val="20"/>
        </w:rPr>
        <w:t xml:space="preserve">”): (a) the Effective Time; (b) the date and time that the Merger Agreement is validly terminated in accordance with the terms and provisions thereof; and (c) the termination of this Agreement by mutual written consent of the Parties. Upon termination of this Agreement, no Party shall have any further obligations or liabilities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nothing set forth in this </w:t>
      </w:r>
      <w:r>
        <w:rPr>
          <w:rFonts w:ascii="Times New Roman" w:hAnsi="Times New Roman"/>
          <w:sz w:val="20"/>
          <w:u w:val="single"/>
        </w:rPr>
        <w:t>Section 8</w:t>
      </w:r>
      <w:r>
        <w:rPr>
          <w:rFonts w:ascii="Times New Roman" w:hAnsi="Times New Roman"/>
          <w:sz w:val="20"/>
        </w:rPr>
        <w:t xml:space="preserve"> shall relieve any Party from liability for fraud or any intentional breach of this Agreement prior to termination hereof and (y) the provisions of </w:t>
      </w:r>
      <w:r>
        <w:rPr>
          <w:rFonts w:ascii="Times New Roman" w:hAnsi="Times New Roman"/>
          <w:sz w:val="20"/>
          <w:u w:val="single"/>
        </w:rPr>
        <w:t>Section 9</w:t>
      </w:r>
      <w:r>
        <w:rPr>
          <w:rFonts w:ascii="Times New Roman" w:hAnsi="Times New Roman"/>
          <w:sz w:val="20"/>
        </w:rPr>
        <w:t xml:space="preserve"> shall survive any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Miscellaneous.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Severability</w:t>
      </w:r>
      <w:r>
        <w:rPr>
          <w:rFonts w:ascii="Times New Roman" w:hAnsi="Times New Roman"/>
          <w:sz w:val="20"/>
        </w:rPr>
        <w:t xml:space="preserve">.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This Agreement shall not be assigned by any of the Parties (whether by operation of Law or otherwise) without the prior written consent of the other Party. Subject to the preceding sentence, but without relieving any Party of any obligation hereunder, this Agreement will be binding upon, inure to the benefit of and be enforceable by the Parties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 and Modification; Waiver</w:t>
      </w:r>
      <w:r>
        <w:rPr>
          <w:rFonts w:ascii="Times New Roman" w:hAnsi="Times New Roman"/>
          <w:sz w:val="20"/>
        </w:rPr>
        <w:t xml:space="preserve">. Any provision of this Agreement may be amended, modified, supplemented or waived if, but only if, such amendment, modification, supplement or waiver is in writing and is signed, in the case of an amendment, modification or supplement by a Party or, in the case of a waiver, by the Party against whom the waiver is to be effective. No failure or delay by any Party to assert any of its rights under this Agreement or otherwise shall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Enforcement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expressly provided herein, any remedies herein expressly conferred upon a Party will be deemed cumulative with and not exclusive of any other remedy conferred hereby, or by Law or equity upon such Party, and the exercise by a Party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The Parties agree that irreparable injury will occur in the event that any of the provisions of this Agreement is not performed in accordance with its specific terms or is otherwise breached. It is agreed that prior to the valid termination of this Agreement pursuant to </w:t>
      </w:r>
      <w:r>
        <w:rPr>
          <w:rFonts w:ascii="Times New Roman" w:hAnsi="Times New Roman"/>
          <w:sz w:val="20"/>
          <w:u w:val="single"/>
        </w:rPr>
        <w:t>Section 8</w:t>
      </w:r>
      <w:r>
        <w:rPr>
          <w:rFonts w:ascii="Times New Roman" w:hAnsi="Times New Roman"/>
          <w:sz w:val="20"/>
        </w:rPr>
        <w:t xml:space="preserve">,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The Parties hereby waive any requirement for the securing or posting of any bond in connection with the obtaining of any specific performance or injunctive relief and, in any action for specific performance, the defense of adequacy of a remedy at Law.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Notices</w:t>
      </w:r>
      <w:r>
        <w:rPr>
          <w:rFonts w:ascii="Times New Roman" w:hAnsi="Times New Roman"/>
          <w:sz w:val="20"/>
        </w:rPr>
        <w:t xml:space="preserve">. All notices, consents and other communications hereunder shall be in writing and shall be given in the manner described in Section 9.02 of the Merger Agreement, addressed as follows: (i) if to FBB, to the email addresses set forth in Section 9.02 of the Merger Agreement, and (ii) if to a Stockholder, to such Stockholder’s email address set forth on a signature page hereto, or to such other email address as such Party may hereafter specify for the purpose by notice to each other Party.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and any dispute, controversy or claim arising out of, relating to or in connection with this Agreement, the negotiation, execution, existence, validity, enforceability or performance of this Agreement, or for the breach or alleged breach hereof (whether in contract, in tort or otherwise) shall be governed by and construed and enforced in accordance with the Laws of the State of Delaware, without giving effect to any choice of law or conflict of law provision or rule (whether of the State of Delaware or otherwise) that would cause the application of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Each of the Parties hereby irrevocably and unconditionally submits, for such Party and such Party’s property, to the exclusive jurisdiction of the Court of Chancery of the State of Delaware, or, if (and only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such Party may legally and effectively do so, any objection that such Party may now or hereafter have to the laying of venue of any such action or proceeding in such courts, and (iv) waives, to the fullest extent permitted by Law, the defense of an inconvenient forum to the maintenance of such action or proceeding in such courts. Each of the Parties agrees that a final judgment in any such action or proceeding shall be conclusive and may be enforced in other jurisdictions by suit on the judgment or in any other manner provided by applicable Law. Each Party irrevocably consents to service of process inside or outside the territorial jurisdiction of the courts referred to in this </w:t>
      </w:r>
      <w:r>
        <w:rPr>
          <w:rFonts w:ascii="Times New Roman" w:hAnsi="Times New Roman"/>
          <w:sz w:val="20"/>
          <w:u w:val="single"/>
        </w:rPr>
        <w:t>Section</w:t>
      </w:r>
      <w:r>
        <w:rPr>
          <w:rFonts w:ascii="Times New Roman" w:hAnsi="Times New Roman"/>
          <w:sz w:val="20"/>
        </w:rPr>
        <w:t xml:space="preserve"> </w:t>
      </w:r>
      <w:r>
        <w:rPr>
          <w:rFonts w:ascii="Times New Roman" w:hAnsi="Times New Roman"/>
          <w:sz w:val="20"/>
          <w:u w:val="single"/>
        </w:rPr>
        <w:t>9.6(b)</w:t>
      </w:r>
      <w:r>
        <w:rPr>
          <w:rFonts w:ascii="Times New Roman" w:hAnsi="Times New Roman"/>
          <w:sz w:val="20"/>
        </w:rPr>
        <w:t xml:space="preserve"> in the manner provided for notices in </w:t>
      </w:r>
      <w:r>
        <w:rPr>
          <w:rFonts w:ascii="Times New Roman" w:hAnsi="Times New Roman"/>
          <w:sz w:val="20"/>
          <w:u w:val="single"/>
        </w:rPr>
        <w:t>Section 9.5</w:t>
      </w:r>
      <w:r>
        <w:rPr>
          <w:rFonts w:ascii="Times New Roman" w:hAnsi="Times New Roman"/>
          <w:sz w:val="20"/>
        </w:rPr>
        <w:t xml:space="preserve">. Nothing in this Agreement will affect the right of any Party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Waiver of Jury Trial</w:t>
      </w:r>
      <w:r>
        <w:rPr>
          <w:rFonts w:ascii="Times New Roman" w:hAnsi="Times New Roman"/>
          <w:sz w:val="20"/>
        </w:rPr>
        <w:t xml:space="preserve">. EACH PARTY HEREBY IRREVOCABLY AND UNCONDITIONALLY WAIVES ANY RIGHT SUCH PARTY MAY HAVE TO A TRIAL BY JURY IN RESPECT OF ANY LITIGATION DIRECTLY OR INDIRECTLY ARISING OUT OF OR RELATING TO THIS AGREEMENT AND ANY OF THE AGREEMENTS DELIVERED IN CONNECTION HEREWITH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SUCH PARTY UNDERSTANDS AND HAS CONSIDERED THE IMPLICATIONS OF SUCH WAIVERS, (C) SUCH PARTY MAKES SUCH WAIVERS VOLUNTARILY AND (D) SUCH PARTY HAS BEEN INDUCED TO ENTER INTO THIS AGREEMENT BY, AMONG OTHER THINGS, THE MUTUAL WAIVERS AND CERTIFICATIONS IN THIS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Entire Agreement; Third Party Beneficiaries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together with the Merger Agreement (together with the Exhibits, FBB Disclosure Schedule and the other documents delivered pursuant thereto) and the Confidentiality Agreement constitute the entire agreement among the Parties with respect to the subject matter hereof and thereof and supersede all other prior agreements and understandings, both written and oral, among the Parties or any of them with respect to the subject matter hereof and thereof. </w:t>
      </w:r>
    </w:p>
    <w:p>
      <w:pPr>
        <w:pStyle w:val="TextBody"/>
        <w:bidi w:val="0"/>
        <w:spacing w:before="240" w:after="0"/>
        <w:jc w:val="left"/>
        <w:rPr>
          <w:rFonts w:ascii="Times New Roman" w:hAnsi="Times New Roman"/>
          <w:sz w:val="20"/>
        </w:rPr>
      </w:pPr>
      <w:r>
        <w:rPr>
          <w:rFonts w:ascii="Times New Roman" w:hAnsi="Times New Roman"/>
          <w:sz w:val="20"/>
        </w:rPr>
        <w:t xml:space="preserve">(b) Nothing in this Agreement, express or implied, is intended to confer upon any person (other than the Parties) any rights or remedies hereunder.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Counterparts</w:t>
      </w:r>
      <w:r>
        <w:rPr>
          <w:rFonts w:ascii="Times New Roman" w:hAnsi="Times New Roman"/>
          <w:sz w:val="20"/>
        </w:rPr>
        <w:t xml:space="preserve">. This Agreement may be executed in multiple counterparts (including by an electronic signature, electronic scan or electronic transmission in portable document format (.pdf), including, but not limited to, DocuSign, delivered by electronic mail), each of which will be deemed an original but all of which together will be considered one and the same agreement and will become effective when counterparts have been signed by each of the Parties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Mutual Drafting;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has participated in the drafting of this Agreement, which each Party acknowledges is the result of extensive negotiations between the Parties. If an ambiguity or question of intent or interpretation arises, this Agreement shall be construed as if drafted jointly by the Parties, and no presumption or burden of proof shall arise favoring or disfavoring any Party by virtue of the authorship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Headings of the articles and sections of this Agreement are for convenience of the Parties only and shall be given no substantive or interpretative effect whatsoever. Except as otherwise indicated, all references in this Agreement to “Sections,” are intended to refer to Sections of this Agreement. The schedule attached to this Agreement constitutes a part of this Agreement and is incorporated in this Agreement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The words “include,” “includes” or “including” mean “including without limitation,” and the words “hereof,” “hereby,” “herein,” “hereunder” and similar terms refer to this Agreement as a whole and not any particular section in which such words appear. The words “shall” and “will” have the same meaning. The phrase “to the extent” shall mean the degree to which a subject or other thing extends, and such phrase shall not mean simply “if.” All references in this Agreement to “$” are intended to refer to U.S. dollars. Unless otherwise specifically provided for herein, the term “or” shall not be deemed to be exclusive, and shall be interpreted as “and/or”. The term “affiliates” shall have the meaning set forth in Rule 12b-2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Expenses</w:t>
      </w:r>
      <w:r>
        <w:rPr>
          <w:rFonts w:ascii="Times New Roman" w:hAnsi="Times New Roman"/>
          <w:sz w:val="20"/>
        </w:rPr>
        <w:t xml:space="preserve">. All costs and expenses incurred in connection with this Agreement shall be paid by the Party incurring such cost or expense.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Further Assurances</w:t>
      </w:r>
      <w:r>
        <w:rPr>
          <w:rFonts w:ascii="Times New Roman" w:hAnsi="Times New Roman"/>
          <w:sz w:val="20"/>
        </w:rPr>
        <w:t xml:space="preserve">. Each Stockholder will execute and deliver, or cause to be executed and delivered, all further documents and instruments and use such Stockholder’s reasonable best efforts to take, or cause to be taken, all actions and to do, or cause to be done, all things necessary, proper or advisable under applicable Law, to perform such Stockholder’s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Stockholder Obligations Several and Not Joint</w:t>
      </w:r>
      <w:r>
        <w:rPr>
          <w:rFonts w:ascii="Times New Roman" w:hAnsi="Times New Roman"/>
          <w:sz w:val="20"/>
        </w:rPr>
        <w:t xml:space="preserve">. Except if a Stockholder is an affiliate of another Stockholder, the obligations of each Stockholder under this Agreement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0"/>
        <w:gridCol w:w="3317"/>
      </w:tblGrid>
      <w:tr>
        <w:trPr/>
        <w:tc>
          <w:tcPr>
            <w:tcW w:w="7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FBB HOLDINGS I, INC.</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7" w:type="dxa"/>
            <w:tcBorders>
              <w:bottom w:val="single" w:sz="2" w:space="0" w:color="000000"/>
            </w:tcBorders>
            <w:tcMar>
              <w:bottom w:w="28" w:type="dxa"/>
            </w:tcMar>
          </w:tcPr>
          <w:p>
            <w:pPr>
              <w:pStyle w:val="TableContents"/>
              <w:bidi w:val="0"/>
              <w:spacing w:before="0" w:after="283"/>
              <w:jc w:val="left"/>
              <w:rPr/>
            </w:pPr>
            <w:r>
              <w:rPr/>
              <w:t> </w:t>
            </w:r>
          </w:p>
        </w:tc>
      </w:tr>
      <w:tr>
        <w:trPr/>
        <w:tc>
          <w:tcPr>
            <w:tcW w:w="70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Jim Fogarty</w:t>
            </w:r>
          </w:p>
        </w:tc>
      </w:tr>
      <w:tr>
        <w:trPr/>
        <w:tc>
          <w:tcPr>
            <w:tcW w:w="70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7" w:type="dxa"/>
            <w:tcBorders/>
            <w:vAlign w:val="bottom"/>
          </w:tcPr>
          <w:p>
            <w:pPr>
              <w:pStyle w:val="TableContents"/>
              <w:bidi w:val="0"/>
              <w:spacing w:before="0" w:after="283"/>
              <w:jc w:val="left"/>
              <w:rPr/>
            </w:pPr>
            <w:r>
              <w:rPr/>
              <w:t>CEO</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212"/>
        <w:gridCol w:w="156"/>
        <w:gridCol w:w="3448"/>
        <w:gridCol w:w="121"/>
        <w:gridCol w:w="446"/>
        <w:gridCol w:w="121"/>
        <w:gridCol w:w="1040"/>
        <w:gridCol w:w="139"/>
        <w:gridCol w:w="3522"/>
      </w:tblGrid>
      <w:tr>
        <w:trPr/>
        <w:tc>
          <w:tcPr>
            <w:tcW w:w="1212"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522"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Pr>
          <w:p>
            <w:pPr>
              <w:pStyle w:val="TableContents"/>
              <w:bidi w:val="0"/>
              <w:spacing w:before="0" w:after="283"/>
              <w:jc w:val="left"/>
              <w:rPr>
                <w:b/>
              </w:rPr>
            </w:pPr>
            <w:r>
              <w:rPr>
                <w:b/>
              </w:rPr>
              <w:t>LIONEL F. CONACHER</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701" w:type="dxa"/>
            <w:gridSpan w:val="3"/>
            <w:tcBorders/>
          </w:tcPr>
          <w:p>
            <w:pPr>
              <w:pStyle w:val="TableContents"/>
              <w:bidi w:val="0"/>
              <w:spacing w:before="0" w:after="283"/>
              <w:jc w:val="left"/>
              <w:rPr>
                <w:b/>
              </w:rPr>
            </w:pPr>
            <w:r>
              <w:rPr>
                <w:b/>
              </w:rPr>
              <w:t>WILL MESDAG</w:t>
            </w:r>
          </w:p>
        </w:tc>
      </w:tr>
      <w:tr>
        <w:trPr>
          <w:trHeight w:val="240" w:hRule="atLeast"/>
        </w:trPr>
        <w:tc>
          <w:tcPr>
            <w:tcW w:w="1212" w:type="dxa"/>
            <w:tcBorders/>
            <w:vAlign w:val="center"/>
          </w:tcPr>
          <w:p>
            <w:pPr>
              <w:pStyle w:val="TableContents"/>
              <w:bidi w:val="0"/>
              <w:spacing w:before="0" w:after="283"/>
              <w:jc w:val="left"/>
              <w:rPr>
                <w:sz w:val="4"/>
                <w:szCs w:val="4"/>
              </w:rPr>
            </w:pPr>
            <w:r>
              <w:rPr>
                <w:sz w:val="4"/>
                <w:szCs w:val="4"/>
              </w:rPr>
            </w:r>
          </w:p>
        </w:tc>
        <w:tc>
          <w:tcPr>
            <w:tcW w:w="3604" w:type="dxa"/>
            <w:gridSpan w:val="2"/>
            <w:tcBorders/>
            <w:vAlign w:val="center"/>
          </w:tcPr>
          <w:p>
            <w:pPr>
              <w:pStyle w:val="TableContents"/>
              <w:bidi w:val="0"/>
              <w:spacing w:before="0" w:after="283"/>
              <w:jc w:val="left"/>
              <w:rPr>
                <w:sz w:val="4"/>
                <w:szCs w:val="4"/>
              </w:rPr>
            </w:pPr>
            <w:r>
              <w:rPr>
                <w:sz w:val="4"/>
                <w:szCs w:val="4"/>
              </w:rPr>
            </w:r>
          </w:p>
        </w:tc>
        <w:tc>
          <w:tcPr>
            <w:tcW w:w="567" w:type="dxa"/>
            <w:gridSpan w:val="2"/>
            <w:tcBorders/>
            <w:vAlign w:val="center"/>
          </w:tcPr>
          <w:p>
            <w:pPr>
              <w:pStyle w:val="TableContents"/>
              <w:bidi w:val="0"/>
              <w:spacing w:before="0" w:after="283"/>
              <w:jc w:val="left"/>
              <w:rPr>
                <w:sz w:val="4"/>
                <w:szCs w:val="4"/>
              </w:rPr>
            </w:pPr>
            <w:r>
              <w:rPr>
                <w:sz w:val="4"/>
                <w:szCs w:val="4"/>
              </w:rPr>
            </w:r>
          </w:p>
        </w:tc>
        <w:tc>
          <w:tcPr>
            <w:tcW w:w="1161" w:type="dxa"/>
            <w:gridSpan w:val="2"/>
            <w:tcBorders/>
            <w:vAlign w:val="center"/>
          </w:tcPr>
          <w:p>
            <w:pPr>
              <w:pStyle w:val="TableContents"/>
              <w:bidi w:val="0"/>
              <w:spacing w:before="0" w:after="283"/>
              <w:jc w:val="left"/>
              <w:rPr>
                <w:sz w:val="4"/>
                <w:szCs w:val="4"/>
              </w:rPr>
            </w:pPr>
            <w:r>
              <w:rPr>
                <w:sz w:val="4"/>
                <w:szCs w:val="4"/>
              </w:rPr>
            </w:r>
          </w:p>
        </w:tc>
        <w:tc>
          <w:tcPr>
            <w:tcW w:w="3661"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By:</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3448" w:type="dxa"/>
            <w:tcBorders>
              <w:bottom w:val="single" w:sz="2" w:space="0" w:color="000000"/>
            </w:tcBorders>
            <w:tcMar>
              <w:bottom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By:</w:t>
            </w:r>
          </w:p>
        </w:tc>
        <w:tc>
          <w:tcPr>
            <w:tcW w:w="139" w:type="dxa"/>
            <w:tcBorders>
              <w:bottom w:val="single" w:sz="2" w:space="0" w:color="000000"/>
            </w:tcBorders>
            <w:tcMar>
              <w:bottom w:w="28" w:type="dxa"/>
            </w:tcMar>
            <w:vAlign w:val="bottom"/>
          </w:tcPr>
          <w:p>
            <w:pPr>
              <w:pStyle w:val="TableContents"/>
              <w:bidi w:val="0"/>
              <w:spacing w:before="0" w:after="283"/>
              <w:jc w:val="left"/>
              <w:rPr/>
            </w:pPr>
            <w:r>
              <w:rPr/>
              <w:t> </w:t>
            </w:r>
          </w:p>
        </w:tc>
        <w:tc>
          <w:tcPr>
            <w:tcW w:w="3522" w:type="dxa"/>
            <w:tcBorders>
              <w:bottom w:val="single" w:sz="2" w:space="0" w:color="000000"/>
            </w:tcBorders>
            <w:tcMar>
              <w:bottom w:w="28" w:type="dxa"/>
            </w:tcMar>
          </w:tcPr>
          <w:p>
            <w:pPr>
              <w:pStyle w:val="TableContents"/>
              <w:bidi w:val="0"/>
              <w:spacing w:before="0" w:after="283"/>
              <w:jc w:val="left"/>
              <w:rPr/>
            </w:pPr>
            <w:r>
              <w:rPr/>
              <w:t> </w:t>
            </w:r>
          </w:p>
        </w:tc>
      </w:tr>
      <w:tr>
        <w:trPr/>
        <w:tc>
          <w:tcPr>
            <w:tcW w:w="1212" w:type="dxa"/>
            <w:tcBorders/>
          </w:tcPr>
          <w:p>
            <w:pPr>
              <w:pStyle w:val="TableContents"/>
              <w:bidi w:val="0"/>
              <w:spacing w:before="0" w:after="283"/>
              <w:jc w:val="left"/>
              <w:rPr/>
            </w:pPr>
            <w:r>
              <w:rPr/>
              <w:t>Name:</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Name:</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Email:</w:t>
            </w:r>
          </w:p>
        </w:tc>
        <w:tc>
          <w:tcPr>
            <w:tcW w:w="156"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4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040" w:type="dxa"/>
            <w:tcBorders/>
          </w:tcPr>
          <w:p>
            <w:pPr>
              <w:pStyle w:val="TableContents"/>
              <w:bidi w:val="0"/>
              <w:spacing w:before="0" w:after="283"/>
              <w:jc w:val="left"/>
              <w:rPr/>
            </w:pPr>
            <w:r>
              <w:rPr/>
              <w:t>Email:</w:t>
            </w:r>
          </w:p>
        </w:tc>
        <w:tc>
          <w:tcPr>
            <w:tcW w:w="139" w:type="dxa"/>
            <w:tcBorders/>
            <w:vAlign w:val="bottom"/>
          </w:tcPr>
          <w:p>
            <w:pPr>
              <w:pStyle w:val="TableContents"/>
              <w:bidi w:val="0"/>
              <w:spacing w:before="0" w:after="283"/>
              <w:jc w:val="left"/>
              <w:rPr/>
            </w:pPr>
            <w:r>
              <w:rPr/>
              <w:t> </w:t>
            </w:r>
          </w:p>
        </w:tc>
        <w:tc>
          <w:tcPr>
            <w:tcW w:w="35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39"/>
        <w:gridCol w:w="131"/>
        <w:gridCol w:w="3703"/>
        <w:gridCol w:w="118"/>
        <w:gridCol w:w="479"/>
        <w:gridCol w:w="118"/>
        <w:gridCol w:w="810"/>
        <w:gridCol w:w="118"/>
        <w:gridCol w:w="3789"/>
      </w:tblGrid>
      <w:tr>
        <w:trPr/>
        <w:tc>
          <w:tcPr>
            <w:tcW w:w="93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37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Pr>
          <w:p>
            <w:pPr>
              <w:pStyle w:val="TableContents"/>
              <w:bidi w:val="0"/>
              <w:spacing w:before="0" w:after="283"/>
              <w:jc w:val="left"/>
              <w:rPr>
                <w:b/>
              </w:rPr>
            </w:pPr>
            <w:r>
              <w:rPr>
                <w:b/>
              </w:rPr>
              <w:t>HARVEY S. KANTER</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17" w:type="dxa"/>
            <w:gridSpan w:val="3"/>
            <w:tcBorders/>
          </w:tcPr>
          <w:p>
            <w:pPr>
              <w:pStyle w:val="TableContents"/>
              <w:bidi w:val="0"/>
              <w:spacing w:before="0" w:after="283"/>
              <w:jc w:val="left"/>
              <w:rPr>
                <w:b/>
              </w:rPr>
            </w:pPr>
            <w:r>
              <w:rPr>
                <w:b/>
              </w:rPr>
              <w:t>IVY ROSS</w:t>
            </w:r>
          </w:p>
        </w:tc>
      </w:tr>
      <w:tr>
        <w:trPr>
          <w:trHeight w:val="240" w:hRule="atLeast"/>
        </w:trPr>
        <w:tc>
          <w:tcPr>
            <w:tcW w:w="939" w:type="dxa"/>
            <w:tcBorders/>
            <w:vAlign w:val="center"/>
          </w:tcPr>
          <w:p>
            <w:pPr>
              <w:pStyle w:val="TableContents"/>
              <w:bidi w:val="0"/>
              <w:spacing w:before="0" w:after="283"/>
              <w:jc w:val="left"/>
              <w:rPr>
                <w:sz w:val="4"/>
                <w:szCs w:val="4"/>
              </w:rPr>
            </w:pPr>
            <w:r>
              <w:rPr>
                <w:sz w:val="4"/>
                <w:szCs w:val="4"/>
              </w:rPr>
            </w:r>
          </w:p>
        </w:tc>
        <w:tc>
          <w:tcPr>
            <w:tcW w:w="3834" w:type="dxa"/>
            <w:gridSpan w:val="2"/>
            <w:tcBorders/>
            <w:vAlign w:val="center"/>
          </w:tcPr>
          <w:p>
            <w:pPr>
              <w:pStyle w:val="TableContents"/>
              <w:bidi w:val="0"/>
              <w:spacing w:before="0" w:after="283"/>
              <w:jc w:val="left"/>
              <w:rPr>
                <w:sz w:val="4"/>
                <w:szCs w:val="4"/>
              </w:rPr>
            </w:pPr>
            <w:r>
              <w:rPr>
                <w:sz w:val="4"/>
                <w:szCs w:val="4"/>
              </w:rPr>
            </w:r>
          </w:p>
        </w:tc>
        <w:tc>
          <w:tcPr>
            <w:tcW w:w="597" w:type="dxa"/>
            <w:gridSpan w:val="2"/>
            <w:tcBorders/>
            <w:vAlign w:val="center"/>
          </w:tcPr>
          <w:p>
            <w:pPr>
              <w:pStyle w:val="TableContents"/>
              <w:bidi w:val="0"/>
              <w:spacing w:before="0" w:after="283"/>
              <w:jc w:val="left"/>
              <w:rPr>
                <w:sz w:val="4"/>
                <w:szCs w:val="4"/>
              </w:rPr>
            </w:pPr>
            <w:r>
              <w:rPr>
                <w:sz w:val="4"/>
                <w:szCs w:val="4"/>
              </w:rPr>
            </w:r>
          </w:p>
        </w:tc>
        <w:tc>
          <w:tcPr>
            <w:tcW w:w="928" w:type="dxa"/>
            <w:gridSpan w:val="2"/>
            <w:tcBorders/>
            <w:vAlign w:val="center"/>
          </w:tcPr>
          <w:p>
            <w:pPr>
              <w:pStyle w:val="TableContents"/>
              <w:bidi w:val="0"/>
              <w:spacing w:before="0" w:after="283"/>
              <w:jc w:val="left"/>
              <w:rPr>
                <w:sz w:val="4"/>
                <w:szCs w:val="4"/>
              </w:rPr>
            </w:pPr>
            <w:r>
              <w:rPr>
                <w:sz w:val="4"/>
                <w:szCs w:val="4"/>
              </w:rPr>
            </w:r>
          </w:p>
        </w:tc>
        <w:tc>
          <w:tcPr>
            <w:tcW w:w="3907" w:type="dxa"/>
            <w:gridSpan w:val="2"/>
            <w:tcBorders/>
            <w:vAlign w:val="center"/>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By:</w:t>
            </w:r>
          </w:p>
        </w:tc>
        <w:tc>
          <w:tcPr>
            <w:tcW w:w="131" w:type="dxa"/>
            <w:tcBorders>
              <w:bottom w:val="single" w:sz="2" w:space="0" w:color="000000"/>
            </w:tcBorders>
            <w:tcMar>
              <w:bottom w:w="28" w:type="dxa"/>
            </w:tcMar>
            <w:vAlign w:val="bottom"/>
          </w:tcPr>
          <w:p>
            <w:pPr>
              <w:pStyle w:val="TableContents"/>
              <w:bidi w:val="0"/>
              <w:spacing w:before="0" w:after="283"/>
              <w:jc w:val="left"/>
              <w:rPr/>
            </w:pPr>
            <w:r>
              <w:rPr/>
              <w:t> </w:t>
            </w:r>
          </w:p>
        </w:tc>
        <w:tc>
          <w:tcPr>
            <w:tcW w:w="3703" w:type="dxa"/>
            <w:tcBorders>
              <w:bottom w:val="single" w:sz="2" w:space="0" w:color="000000"/>
            </w:tcBorders>
            <w:tcMar>
              <w:bottom w:w="28" w:type="dxa"/>
            </w:tcMar>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By:</w:t>
            </w:r>
          </w:p>
        </w:tc>
        <w:tc>
          <w:tcPr>
            <w:tcW w:w="118" w:type="dxa"/>
            <w:tcBorders>
              <w:bottom w:val="single" w:sz="2" w:space="0" w:color="000000"/>
            </w:tcBorders>
            <w:tcMar>
              <w:bottom w:w="28" w:type="dxa"/>
            </w:tcMar>
            <w:vAlign w:val="bottom"/>
          </w:tcPr>
          <w:p>
            <w:pPr>
              <w:pStyle w:val="TableContents"/>
              <w:bidi w:val="0"/>
              <w:spacing w:before="0" w:after="283"/>
              <w:jc w:val="left"/>
              <w:rPr/>
            </w:pPr>
            <w:r>
              <w:rPr/>
              <w:t> </w:t>
            </w:r>
          </w:p>
        </w:tc>
        <w:tc>
          <w:tcPr>
            <w:tcW w:w="3789" w:type="dxa"/>
            <w:tcBorders>
              <w:bottom w:val="single" w:sz="2" w:space="0" w:color="000000"/>
            </w:tcBorders>
            <w:tcMar>
              <w:bottom w:w="28" w:type="dxa"/>
            </w:tcMar>
          </w:tcPr>
          <w:p>
            <w:pPr>
              <w:pStyle w:val="TableContents"/>
              <w:bidi w:val="0"/>
              <w:spacing w:before="0" w:after="283"/>
              <w:jc w:val="left"/>
              <w:rPr/>
            </w:pPr>
            <w:r>
              <w:rPr/>
              <w:t> </w:t>
            </w:r>
          </w:p>
        </w:tc>
      </w:tr>
      <w:tr>
        <w:trPr/>
        <w:tc>
          <w:tcPr>
            <w:tcW w:w="939" w:type="dxa"/>
            <w:tcBorders/>
          </w:tcPr>
          <w:p>
            <w:pPr>
              <w:pStyle w:val="TableContents"/>
              <w:bidi w:val="0"/>
              <w:spacing w:before="0" w:after="283"/>
              <w:jc w:val="left"/>
              <w:rPr/>
            </w:pPr>
            <w:r>
              <w:rPr/>
              <w:t>Name:</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Name:</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r>
        <w:trPr/>
        <w:tc>
          <w:tcPr>
            <w:tcW w:w="939" w:type="dxa"/>
            <w:tcBorders/>
          </w:tcPr>
          <w:p>
            <w:pPr>
              <w:pStyle w:val="TableContents"/>
              <w:bidi w:val="0"/>
              <w:spacing w:before="0" w:after="283"/>
              <w:jc w:val="left"/>
              <w:rPr/>
            </w:pPr>
            <w:r>
              <w:rPr/>
              <w:t>Email:</w:t>
            </w:r>
          </w:p>
        </w:tc>
        <w:tc>
          <w:tcPr>
            <w:tcW w:w="131" w:type="dxa"/>
            <w:tcBorders/>
            <w:vAlign w:val="bottom"/>
          </w:tcPr>
          <w:p>
            <w:pPr>
              <w:pStyle w:val="TableContents"/>
              <w:bidi w:val="0"/>
              <w:spacing w:before="0" w:after="283"/>
              <w:jc w:val="left"/>
              <w:rPr/>
            </w:pPr>
            <w:r>
              <w:rPr/>
              <w:t> </w:t>
            </w:r>
          </w:p>
        </w:tc>
        <w:tc>
          <w:tcPr>
            <w:tcW w:w="3703"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10" w:type="dxa"/>
            <w:tcBorders/>
          </w:tcPr>
          <w:p>
            <w:pPr>
              <w:pStyle w:val="TableContents"/>
              <w:bidi w:val="0"/>
              <w:spacing w:before="0" w:after="283"/>
              <w:jc w:val="left"/>
              <w:rPr/>
            </w:pPr>
            <w:r>
              <w:rPr/>
              <w:t>Email:</w:t>
            </w:r>
          </w:p>
        </w:tc>
        <w:tc>
          <w:tcPr>
            <w:tcW w:w="118" w:type="dxa"/>
            <w:tcBorders/>
            <w:vAlign w:val="bottom"/>
          </w:tcPr>
          <w:p>
            <w:pPr>
              <w:pStyle w:val="TableContents"/>
              <w:bidi w:val="0"/>
              <w:spacing w:before="0" w:after="283"/>
              <w:jc w:val="left"/>
              <w:rPr/>
            </w:pPr>
            <w:r>
              <w:rPr/>
              <w:t> </w:t>
            </w:r>
          </w:p>
        </w:tc>
        <w:tc>
          <w:tcPr>
            <w:tcW w:w="378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49"/>
        <w:gridCol w:w="132"/>
        <w:gridCol w:w="3654"/>
        <w:gridCol w:w="117"/>
        <w:gridCol w:w="472"/>
        <w:gridCol w:w="117"/>
        <w:gridCol w:w="892"/>
        <w:gridCol w:w="126"/>
        <w:gridCol w:w="3746"/>
      </w:tblGrid>
      <w:tr>
        <w:trPr/>
        <w:tc>
          <w:tcPr>
            <w:tcW w:w="949"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4735" w:type="dxa"/>
            <w:gridSpan w:val="3"/>
            <w:tcBorders/>
          </w:tcPr>
          <w:p>
            <w:pPr>
              <w:pStyle w:val="TableContents"/>
              <w:bidi w:val="0"/>
              <w:spacing w:before="0" w:after="283"/>
              <w:jc w:val="left"/>
              <w:rPr>
                <w:b/>
              </w:rPr>
            </w:pPr>
            <w:r>
              <w:rPr>
                <w:b/>
              </w:rPr>
              <w:t>CARMEN R. BAUZA</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64" w:type="dxa"/>
            <w:gridSpan w:val="3"/>
            <w:tcBorders/>
          </w:tcPr>
          <w:p>
            <w:pPr>
              <w:pStyle w:val="TableContents"/>
              <w:bidi w:val="0"/>
              <w:spacing w:before="0" w:after="283"/>
              <w:jc w:val="left"/>
              <w:rPr>
                <w:b/>
              </w:rPr>
            </w:pPr>
            <w:r>
              <w:rPr>
                <w:b/>
              </w:rPr>
              <w:t>ELAINE RUBIN</w:t>
            </w:r>
          </w:p>
        </w:tc>
      </w:tr>
      <w:tr>
        <w:trPr>
          <w:trHeight w:val="240" w:hRule="atLeast"/>
        </w:trPr>
        <w:tc>
          <w:tcPr>
            <w:tcW w:w="949" w:type="dxa"/>
            <w:tcBorders/>
            <w:vAlign w:val="center"/>
          </w:tcPr>
          <w:p>
            <w:pPr>
              <w:pStyle w:val="TableContents"/>
              <w:bidi w:val="0"/>
              <w:spacing w:before="0" w:after="283"/>
              <w:jc w:val="left"/>
              <w:rPr>
                <w:sz w:val="4"/>
                <w:szCs w:val="4"/>
              </w:rPr>
            </w:pPr>
            <w:r>
              <w:rPr>
                <w:sz w:val="4"/>
                <w:szCs w:val="4"/>
              </w:rPr>
            </w:r>
          </w:p>
        </w:tc>
        <w:tc>
          <w:tcPr>
            <w:tcW w:w="3786" w:type="dxa"/>
            <w:gridSpan w:val="2"/>
            <w:tcBorders/>
            <w:vAlign w:val="center"/>
          </w:tcPr>
          <w:p>
            <w:pPr>
              <w:pStyle w:val="TableContents"/>
              <w:bidi w:val="0"/>
              <w:spacing w:before="0" w:after="283"/>
              <w:jc w:val="left"/>
              <w:rPr>
                <w:sz w:val="4"/>
                <w:szCs w:val="4"/>
              </w:rPr>
            </w:pPr>
            <w:r>
              <w:rPr>
                <w:sz w:val="4"/>
                <w:szCs w:val="4"/>
              </w:rPr>
            </w:r>
          </w:p>
        </w:tc>
        <w:tc>
          <w:tcPr>
            <w:tcW w:w="58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3872"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By:</w:t>
            </w:r>
          </w:p>
        </w:tc>
        <w:tc>
          <w:tcPr>
            <w:tcW w:w="126" w:type="dxa"/>
            <w:tcBorders>
              <w:bottom w:val="single" w:sz="2" w:space="0" w:color="000000"/>
            </w:tcBorders>
            <w:tcMar>
              <w:bottom w:w="28" w:type="dxa"/>
            </w:tcMar>
            <w:vAlign w:val="bottom"/>
          </w:tcPr>
          <w:p>
            <w:pPr>
              <w:pStyle w:val="TableContents"/>
              <w:bidi w:val="0"/>
              <w:spacing w:before="0" w:after="283"/>
              <w:jc w:val="left"/>
              <w:rPr/>
            </w:pPr>
            <w:r>
              <w:rPr/>
              <w:t> </w:t>
            </w:r>
          </w:p>
        </w:tc>
        <w:tc>
          <w:tcPr>
            <w:tcW w:w="3746" w:type="dxa"/>
            <w:tcBorders>
              <w:bottom w:val="single" w:sz="2" w:space="0" w:color="000000"/>
            </w:tcBorders>
            <w:tcMar>
              <w:bottom w:w="28" w:type="dxa"/>
            </w:tcMar>
          </w:tcPr>
          <w:p>
            <w:pPr>
              <w:pStyle w:val="TableContents"/>
              <w:bidi w:val="0"/>
              <w:spacing w:before="0" w:after="283"/>
              <w:jc w:val="left"/>
              <w:rPr/>
            </w:pPr>
            <w:r>
              <w:rPr/>
              <w:t> </w:t>
            </w:r>
          </w:p>
        </w:tc>
      </w:tr>
      <w:tr>
        <w:trPr/>
        <w:tc>
          <w:tcPr>
            <w:tcW w:w="949" w:type="dxa"/>
            <w:tcBorders/>
          </w:tcPr>
          <w:p>
            <w:pPr>
              <w:pStyle w:val="TableContents"/>
              <w:bidi w:val="0"/>
              <w:spacing w:before="0" w:after="283"/>
              <w:jc w:val="left"/>
              <w:rPr/>
            </w:pPr>
            <w:r>
              <w:rPr/>
              <w:t>Name:</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Name:</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Email:</w:t>
            </w:r>
          </w:p>
        </w:tc>
        <w:tc>
          <w:tcPr>
            <w:tcW w:w="132"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472" w:type="dxa"/>
            <w:tcBorders/>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Email:</w:t>
            </w:r>
          </w:p>
        </w:tc>
        <w:tc>
          <w:tcPr>
            <w:tcW w:w="126" w:type="dxa"/>
            <w:tcBorders/>
            <w:vAlign w:val="bottom"/>
          </w:tcPr>
          <w:p>
            <w:pPr>
              <w:pStyle w:val="TableContents"/>
              <w:bidi w:val="0"/>
              <w:spacing w:before="0" w:after="283"/>
              <w:jc w:val="left"/>
              <w:rPr/>
            </w:pPr>
            <w:r>
              <w:rPr/>
              <w:t> </w:t>
            </w:r>
          </w:p>
        </w:tc>
        <w:tc>
          <w:tcPr>
            <w:tcW w:w="374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65"/>
        <w:gridCol w:w="75"/>
        <w:gridCol w:w="3142"/>
      </w:tblGrid>
      <w:tr>
        <w:trPr/>
        <w:tc>
          <w:tcPr>
            <w:tcW w:w="865" w:type="dxa"/>
            <w:tcBorders/>
            <w:vAlign w:val="center"/>
          </w:tcPr>
          <w:p>
            <w:pPr>
              <w:pStyle w:val="TableContents"/>
              <w:bidi w:val="0"/>
              <w:spacing w:before="0" w:after="283"/>
              <w:jc w:val="left"/>
              <w:rPr>
                <w:sz w:val="4"/>
                <w:szCs w:val="4"/>
              </w:rPr>
            </w:pPr>
            <w:r>
              <w:rPr>
                <w:sz w:val="4"/>
                <w:szCs w:val="4"/>
              </w:rPr>
            </w:r>
          </w:p>
        </w:tc>
        <w:tc>
          <w:tcPr>
            <w:tcW w:w="75"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JACK BOYLE</w:t>
            </w:r>
          </w:p>
        </w:tc>
      </w:tr>
      <w:tr>
        <w:trPr>
          <w:trHeight w:val="240" w:hRule="atLeast"/>
        </w:trPr>
        <w:tc>
          <w:tcPr>
            <w:tcW w:w="865" w:type="dxa"/>
            <w:tcBorders/>
            <w:vAlign w:val="center"/>
          </w:tcPr>
          <w:p>
            <w:pPr>
              <w:pStyle w:val="TableContents"/>
              <w:bidi w:val="0"/>
              <w:spacing w:before="0" w:after="283"/>
              <w:jc w:val="left"/>
              <w:rPr>
                <w:sz w:val="4"/>
                <w:szCs w:val="4"/>
              </w:rPr>
            </w:pPr>
            <w:r>
              <w:rPr>
                <w:sz w:val="4"/>
                <w:szCs w:val="4"/>
              </w:rPr>
            </w:r>
          </w:p>
        </w:tc>
        <w:tc>
          <w:tcPr>
            <w:tcW w:w="3217" w:type="dxa"/>
            <w:gridSpan w:val="2"/>
            <w:tcBorders/>
            <w:vAlign w:val="center"/>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By:</w:t>
            </w:r>
          </w:p>
        </w:tc>
        <w:tc>
          <w:tcPr>
            <w:tcW w:w="75" w:type="dxa"/>
            <w:tcBorders>
              <w:bottom w:val="single" w:sz="2" w:space="0" w:color="000000"/>
            </w:tcBorders>
            <w:tcMar>
              <w:bottom w:w="28" w:type="dxa"/>
            </w:tcMar>
            <w:vAlign w:val="bottom"/>
          </w:tcPr>
          <w:p>
            <w:pPr>
              <w:pStyle w:val="TableContents"/>
              <w:bidi w:val="0"/>
              <w:spacing w:before="0" w:after="283"/>
              <w:jc w:val="left"/>
              <w:rPr/>
            </w:pPr>
            <w:r>
              <w:rPr/>
              <w:t> </w:t>
            </w:r>
          </w:p>
        </w:tc>
        <w:tc>
          <w:tcPr>
            <w:tcW w:w="3142" w:type="dxa"/>
            <w:tcBorders>
              <w:bottom w:val="single" w:sz="2" w:space="0" w:color="000000"/>
            </w:tcBorders>
            <w:tcMar>
              <w:bottom w:w="28" w:type="dxa"/>
            </w:tcMar>
          </w:tcPr>
          <w:p>
            <w:pPr>
              <w:pStyle w:val="TableContents"/>
              <w:bidi w:val="0"/>
              <w:spacing w:before="0" w:after="283"/>
              <w:jc w:val="left"/>
              <w:rPr/>
            </w:pPr>
            <w:r>
              <w:rPr/>
              <w:t> </w:t>
            </w:r>
          </w:p>
        </w:tc>
      </w:tr>
      <w:tr>
        <w:trPr/>
        <w:tc>
          <w:tcPr>
            <w:tcW w:w="865" w:type="dxa"/>
            <w:tcBorders/>
          </w:tcPr>
          <w:p>
            <w:pPr>
              <w:pStyle w:val="TableContents"/>
              <w:bidi w:val="0"/>
              <w:spacing w:before="0" w:after="283"/>
              <w:jc w:val="left"/>
              <w:rPr/>
            </w:pPr>
            <w:r>
              <w:rPr/>
              <w:t>Name:</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r>
        <w:trPr/>
        <w:tc>
          <w:tcPr>
            <w:tcW w:w="865" w:type="dxa"/>
            <w:tcBorders/>
          </w:tcPr>
          <w:p>
            <w:pPr>
              <w:pStyle w:val="TableContents"/>
              <w:bidi w:val="0"/>
              <w:spacing w:before="0" w:after="283"/>
              <w:jc w:val="left"/>
              <w:rPr/>
            </w:pPr>
            <w:r>
              <w:rPr/>
              <w:t>Email:</w:t>
            </w:r>
          </w:p>
        </w:tc>
        <w:tc>
          <w:tcPr>
            <w:tcW w:w="75" w:type="dxa"/>
            <w:tcBorders/>
            <w:vAlign w:val="bottom"/>
          </w:tcPr>
          <w:p>
            <w:pPr>
              <w:pStyle w:val="TableContents"/>
              <w:bidi w:val="0"/>
              <w:spacing w:before="0" w:after="283"/>
              <w:jc w:val="left"/>
              <w:rPr/>
            </w:pPr>
            <w:r>
              <w:rPr/>
              <w:t> </w:t>
            </w:r>
          </w:p>
        </w:tc>
        <w:tc>
          <w:tcPr>
            <w:tcW w:w="314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SIGNATURE PAGE TO VOTING AGREEMENT (DIRECTORS)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70"/>
        <w:gridCol w:w="559"/>
        <w:gridCol w:w="125"/>
        <w:gridCol w:w="2087"/>
        <w:gridCol w:w="60"/>
        <w:gridCol w:w="859"/>
        <w:gridCol w:w="120"/>
        <w:gridCol w:w="60"/>
        <w:gridCol w:w="803"/>
        <w:gridCol w:w="62"/>
      </w:tblGrid>
      <w:tr>
        <w:trPr/>
        <w:tc>
          <w:tcPr>
            <w:tcW w:w="5470" w:type="dxa"/>
            <w:tcBorders/>
            <w:vAlign w:val="center"/>
          </w:tcPr>
          <w:p>
            <w:pPr>
              <w:pStyle w:val="TableContents"/>
              <w:bidi w:val="0"/>
              <w:spacing w:before="0" w:after="283"/>
              <w:jc w:val="left"/>
              <w:rPr>
                <w:sz w:val="4"/>
                <w:szCs w:val="4"/>
              </w:rPr>
            </w:pPr>
            <w:r>
              <w:rPr>
                <w:sz w:val="4"/>
                <w:szCs w:val="4"/>
              </w:rPr>
            </w:r>
          </w:p>
        </w:tc>
        <w:tc>
          <w:tcPr>
            <w:tcW w:w="559"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559" w:type="dxa"/>
            <w:vMerge w:val="restart"/>
            <w:tcBorders/>
            <w:vAlign w:val="bottom"/>
          </w:tcPr>
          <w:p>
            <w:pPr>
              <w:pStyle w:val="TableContents"/>
              <w:bidi w:val="0"/>
              <w:spacing w:before="0" w:after="283"/>
              <w:jc w:val="left"/>
              <w:rPr/>
            </w:pPr>
            <w:r>
              <w:rPr/>
              <w:t>  </w:t>
            </w:r>
          </w:p>
        </w:tc>
        <w:tc>
          <w:tcPr>
            <w:tcW w:w="221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 of</w:t>
            </w:r>
            <w:r>
              <w:rPr/>
              <w:br/>
            </w:r>
            <w:r>
              <w:rPr>
                <w:b/>
              </w:rPr>
              <w:t>DXL Common Stock</w:t>
            </w:r>
          </w:p>
        </w:tc>
        <w:tc>
          <w:tcPr>
            <w:tcW w:w="60" w:type="dxa"/>
            <w:vMerge w:val="restart"/>
            <w:tcBorders/>
            <w:vAlign w:val="bottom"/>
          </w:tcPr>
          <w:p>
            <w:pPr>
              <w:pStyle w:val="TableContents"/>
              <w:bidi w:val="0"/>
              <w:spacing w:before="0" w:after="283"/>
              <w:jc w:val="left"/>
              <w:rPr/>
            </w:pPr>
            <w:r>
              <w:rPr/>
              <w:t> </w:t>
            </w:r>
          </w:p>
        </w:tc>
        <w:tc>
          <w:tcPr>
            <w:tcW w:w="859" w:type="dxa"/>
            <w:tcBorders/>
          </w:tcPr>
          <w:p>
            <w:pPr>
              <w:pStyle w:val="TableContents"/>
              <w:bidi w:val="0"/>
              <w:spacing w:before="0" w:after="283"/>
              <w:jc w:val="left"/>
              <w:rPr>
                <w:sz w:val="4"/>
                <w:szCs w:val="4"/>
              </w:rPr>
            </w:pPr>
            <w:r>
              <w:rPr>
                <w:sz w:val="4"/>
                <w:szCs w:val="4"/>
              </w:rPr>
            </w:r>
          </w:p>
        </w:tc>
        <w:tc>
          <w:tcPr>
            <w:tcW w:w="12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803"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c>
          <w:tcPr>
            <w:tcW w:w="5470" w:type="dxa"/>
            <w:vMerge w:val="continue"/>
            <w:tcBorders/>
            <w:shd w:fill="CCEEFF" w:val="clear"/>
            <w:vAlign w:val="bottom"/>
          </w:tcPr>
          <w:p>
            <w:pPr>
              <w:pStyle w:val="Normal"/>
              <w:bidi w:val="0"/>
              <w:jc w:val="left"/>
              <w:rPr/>
            </w:pPr>
            <w:r>
              <w:rPr/>
            </w:r>
          </w:p>
        </w:tc>
        <w:tc>
          <w:tcPr>
            <w:tcW w:w="559" w:type="dxa"/>
            <w:vMerge w:val="continue"/>
            <w:tcBorders/>
            <w:shd w:fill="CCEEFF" w:val="clear"/>
            <w:vAlign w:val="bottom"/>
          </w:tcPr>
          <w:p>
            <w:pPr>
              <w:pStyle w:val="Normal"/>
              <w:bidi w:val="0"/>
              <w:jc w:val="left"/>
              <w:rPr/>
            </w:pPr>
            <w:r>
              <w:rPr/>
            </w:r>
          </w:p>
        </w:tc>
        <w:tc>
          <w:tcPr>
            <w:tcW w:w="2212" w:type="dxa"/>
            <w:gridSpan w:val="2"/>
            <w:vMerge w:val="continue"/>
            <w:tcBorders>
              <w:bottom w:val="single" w:sz="8" w:space="0" w:color="000000"/>
            </w:tcBorders>
            <w:shd w:fill="CCEEFF" w:val="clear"/>
            <w:tcMar>
              <w:bottom w:w="28" w:type="dxa"/>
            </w:tcMar>
            <w:vAlign w:val="bottom"/>
          </w:tcPr>
          <w:p>
            <w:pPr>
              <w:pStyle w:val="Normal"/>
              <w:bidi w:val="0"/>
              <w:jc w:val="left"/>
              <w:rPr/>
            </w:pPr>
            <w:r>
              <w:rPr/>
            </w:r>
          </w:p>
        </w:tc>
        <w:tc>
          <w:tcPr>
            <w:tcW w:w="60" w:type="dxa"/>
            <w:vMerge w:val="continue"/>
            <w:tcBorders/>
            <w:shd w:fill="CCEEFF" w:val="clear"/>
            <w:vAlign w:val="bottom"/>
          </w:tcPr>
          <w:p>
            <w:pPr>
              <w:pStyle w:val="Normal"/>
              <w:bidi w:val="0"/>
              <w:jc w:val="left"/>
              <w:rPr/>
            </w:pPr>
            <w:r>
              <w:rPr/>
            </w:r>
          </w:p>
        </w:tc>
        <w:tc>
          <w:tcPr>
            <w:tcW w:w="8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Lionel F. Conacher</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346,312</w:t>
            </w:r>
          </w:p>
        </w:tc>
        <w:tc>
          <w:tcPr>
            <w:tcW w:w="62" w:type="dxa"/>
            <w:tcBorders/>
            <w:shd w:fill="CCEEFF" w:val="clear"/>
            <w:vAlign w:val="bottom"/>
          </w:tcPr>
          <w:p>
            <w:pPr>
              <w:pStyle w:val="TableContents"/>
              <w:bidi w:val="0"/>
              <w:spacing w:before="0" w:after="283"/>
              <w:jc w:val="left"/>
              <w:rPr/>
            </w:pPr>
            <w:r>
              <w:rPr/>
              <w:t> </w:t>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Harvey S. Kanter</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729,857</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Carmen R. Bauza</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118,879</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Jack Boyle</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547,154</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 Mesdag</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2,593,758</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r>
        <w:trPr/>
        <w:tc>
          <w:tcPr>
            <w:tcW w:w="5470" w:type="dxa"/>
            <w:tcBorders/>
          </w:tcPr>
          <w:p>
            <w:pPr>
              <w:pStyle w:val="TableContents"/>
              <w:bidi w:val="0"/>
              <w:spacing w:before="0" w:after="0"/>
              <w:jc w:val="left"/>
              <w:rPr>
                <w:rFonts w:ascii="Times New Roman" w:hAnsi="Times New Roman"/>
                <w:sz w:val="20"/>
              </w:rPr>
            </w:pPr>
            <w:r>
              <w:rPr>
                <w:rFonts w:ascii="Times New Roman" w:hAnsi="Times New Roman"/>
                <w:sz w:val="20"/>
              </w:rPr>
              <w:t>Ivy Ross</w:t>
            </w:r>
          </w:p>
        </w:tc>
        <w:tc>
          <w:tcPr>
            <w:tcW w:w="559"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2087" w:type="dxa"/>
            <w:tcBorders/>
            <w:vAlign w:val="bottom"/>
          </w:tcPr>
          <w:p>
            <w:pPr>
              <w:pStyle w:val="TableContents"/>
              <w:bidi w:val="0"/>
              <w:spacing w:before="0" w:after="283"/>
              <w:jc w:val="right"/>
              <w:rPr/>
            </w:pPr>
            <w:r>
              <w:rPr/>
              <w:t>275,095</w:t>
            </w:r>
          </w:p>
        </w:tc>
        <w:tc>
          <w:tcPr>
            <w:tcW w:w="60" w:type="dxa"/>
            <w:tcBorders/>
            <w:vAlign w:val="bottom"/>
          </w:tcPr>
          <w:p>
            <w:pPr>
              <w:pStyle w:val="TableContents"/>
              <w:bidi w:val="0"/>
              <w:spacing w:before="0" w:after="283"/>
              <w:jc w:val="left"/>
              <w:rPr/>
            </w:pPr>
            <w:r>
              <w:rPr/>
              <w:t> </w:t>
            </w:r>
          </w:p>
        </w:tc>
        <w:tc>
          <w:tcPr>
            <w:tcW w:w="1904" w:type="dxa"/>
            <w:gridSpan w:val="5"/>
            <w:tcBorders/>
          </w:tcPr>
          <w:p>
            <w:pPr>
              <w:pStyle w:val="TableContents"/>
              <w:bidi w:val="0"/>
              <w:spacing w:before="0" w:after="283"/>
              <w:jc w:val="left"/>
              <w:rPr>
                <w:sz w:val="4"/>
                <w:szCs w:val="4"/>
              </w:rPr>
            </w:pPr>
            <w:r>
              <w:rPr>
                <w:sz w:val="4"/>
                <w:szCs w:val="4"/>
              </w:rPr>
            </w:r>
          </w:p>
        </w:tc>
      </w:tr>
      <w:tr>
        <w:trPr/>
        <w:tc>
          <w:tcPr>
            <w:tcW w:w="5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Elaine Rubin</w:t>
            </w:r>
          </w:p>
        </w:tc>
        <w:tc>
          <w:tcPr>
            <w:tcW w:w="559"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2087" w:type="dxa"/>
            <w:tcBorders/>
            <w:shd w:fill="CCEEFF" w:val="clear"/>
            <w:vAlign w:val="bottom"/>
          </w:tcPr>
          <w:p>
            <w:pPr>
              <w:pStyle w:val="TableContents"/>
              <w:bidi w:val="0"/>
              <w:spacing w:before="0" w:after="283"/>
              <w:jc w:val="right"/>
              <w:rPr/>
            </w:pPr>
            <w:r>
              <w:rPr/>
              <w:t>210,391</w:t>
            </w:r>
          </w:p>
        </w:tc>
        <w:tc>
          <w:tcPr>
            <w:tcW w:w="60" w:type="dxa"/>
            <w:tcBorders/>
            <w:shd w:fill="CCEEFF" w:val="clear"/>
            <w:vAlign w:val="bottom"/>
          </w:tcPr>
          <w:p>
            <w:pPr>
              <w:pStyle w:val="TableContents"/>
              <w:bidi w:val="0"/>
              <w:spacing w:before="0" w:after="283"/>
              <w:jc w:val="left"/>
              <w:rPr/>
            </w:pPr>
            <w:r>
              <w:rPr/>
              <w:t> </w:t>
            </w:r>
          </w:p>
        </w:tc>
        <w:tc>
          <w:tcPr>
            <w:tcW w:w="1904" w:type="dxa"/>
            <w:gridSpan w:val="5"/>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VOTING AGREEMENT - SCHEDULE A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u w:val="single"/>
        </w:rPr>
        <w:t>Exhibit D</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Directors and Officers of the Surviving Company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Jim Fogarty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w:t>
      </w:r>
    </w:p>
    <w:p>
      <w:pPr>
        <w:pStyle w:val="TextBody"/>
        <w:bidi w:val="0"/>
        <w:spacing w:before="360" w:after="0"/>
        <w:jc w:val="left"/>
        <w:rPr>
          <w:rFonts w:ascii="Times New Roman" w:hAnsi="Times New Roman"/>
          <w:b/>
          <w:sz w:val="20"/>
        </w:rPr>
      </w:pPr>
      <w:r>
        <w:rPr>
          <w:rFonts w:ascii="Times New Roman" w:hAnsi="Times New Roman"/>
          <w:b/>
          <w:sz w:val="20"/>
        </w:rPr>
        <w:t xml:space="preserve">Officers: </w:t>
      </w:r>
    </w:p>
    <w:p>
      <w:pPr>
        <w:pStyle w:val="TextBody"/>
        <w:bidi w:val="0"/>
        <w:spacing w:before="120" w:after="0"/>
        <w:jc w:val="left"/>
        <w:rPr>
          <w:rFonts w:ascii="Times New Roman" w:hAnsi="Times New Roman"/>
          <w:sz w:val="20"/>
        </w:rPr>
      </w:pPr>
      <w:r>
        <w:rPr>
          <w:rFonts w:ascii="Times New Roman" w:hAnsi="Times New Roman"/>
          <w:sz w:val="20"/>
        </w:rPr>
        <w:t xml:space="preserve">Jim Fogarty,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Peter H. Stratton, Jr.,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0" w:name="tx76201_90"/>
      <w:bookmarkEnd w:id="220"/>
      <w:r>
        <w:rPr>
          <w:rFonts w:ascii="Times New Roman" w:hAnsi="Times New Roman"/>
          <w:b/>
          <w:sz w:val="20"/>
        </w:rPr>
        <w:t xml:space="preserve">ANNEX B </w:t>
      </w:r>
    </w:p>
    <w:p>
      <w:pPr>
        <w:pStyle w:val="TextBody"/>
        <w:bidi w:val="0"/>
        <w:spacing w:before="240" w:after="0"/>
        <w:jc w:val="left"/>
        <w:rPr>
          <w:rFonts w:ascii="Times New Roman" w:hAnsi="Times New Roman"/>
          <w:sz w:val="20"/>
        </w:rPr>
      </w:pPr>
      <w:r>
        <w:rPr>
          <w:rFonts w:ascii="Times New Roman" w:hAnsi="Times New Roman"/>
          <w:b/>
          <w:sz w:val="20"/>
        </w:rPr>
        <w:t xml:space="preserve">On May 26, 2026, following the discussion between and among the DXL Board and its outside legal and financial advisors regarding the May 2026 Supplemental Financial Analyses (as defined and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b/>
          <w:sz w:val="20"/>
        </w:rPr>
        <w:t xml:space="preserve">, Guggenheim Securities advised the DXL Board that, in light of the May 2026 DXL-Provided Financial Projections and the May 2026 Synergy Estimates (each as described in the section entitled </w:t>
      </w:r>
      <w:r>
        <w:rPr>
          <w:rFonts w:ascii="Times New Roman" w:hAnsi="Times New Roman"/>
          <w:sz w:val="20"/>
        </w:rPr>
        <w:t>“</w:t>
      </w:r>
      <w:r>
        <w:rPr>
          <w:rFonts w:ascii="Times New Roman" w:hAnsi="Times New Roman"/>
          <w:b/>
          <w:i/>
          <w:sz w:val="20"/>
        </w:rPr>
        <w:t>The Merger—May 2026 Supplemental Financial Analyses</w:t>
      </w:r>
      <w:r>
        <w:rPr>
          <w:rFonts w:ascii="Times New Roman" w:hAnsi="Times New Roman"/>
          <w:sz w:val="20"/>
        </w:rPr>
        <w:t xml:space="preserve"> </w:t>
      </w:r>
      <w:r>
        <w:rPr>
          <w:rFonts w:ascii="Times New Roman" w:hAnsi="Times New Roman"/>
          <w:b/>
          <w:i/>
          <w:sz w:val="20"/>
        </w:rPr>
        <w:t>Prepared by Guggenheim Securities, Financial Advisor to DXL”)</w:t>
      </w:r>
      <w:r>
        <w:rPr>
          <w:rFonts w:ascii="Times New Roman" w:hAnsi="Times New Roman"/>
          <w:sz w:val="20"/>
        </w:rPr>
        <w:t xml:space="preserve"> </w:t>
      </w:r>
      <w:r>
        <w:rPr>
          <w:rFonts w:ascii="Times New Roman" w:hAnsi="Times New Roman"/>
          <w:b/>
          <w:sz w:val="20"/>
        </w:rPr>
        <w:t>and the May 2026 Supplemental Financial Analyses, THE DXL BOARD SHOULD NO LONGER RELY ON THE DECEMBER 2025 OPINION EXPRESSED IN GUGGENHEIM SECURITIES’ DECEMBER 10, 2025 LETTER TO THE DXL BOARD OR ON THE FINANCIAL ANALYSES GUGGENHEIM SECURITIES REVIEWED WITH THE DXL BOARD AT THE DECEMBER 10, 2025 DXL BOARD MEETING IN CONNECTION WITH THE DECEMBER 2025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December 2025 Opinion</w:t>
      </w:r>
      <w:r>
        <w:rPr>
          <w:rFonts w:ascii="Times New Roman" w:hAnsi="Times New Roman"/>
          <w:sz w:val="20"/>
        </w:rPr>
        <w:t xml:space="preserve"> </w:t>
      </w:r>
      <w:r>
        <w:rPr>
          <w:rFonts w:ascii="Times New Roman" w:hAnsi="Times New Roman"/>
          <w:b/>
          <w:sz w:val="20"/>
        </w:rPr>
        <w:t>was rendered only on and as of December 10, 2025 and has not been and will not be updated.</w:t>
      </w:r>
      <w:r>
        <w:rPr>
          <w:rFonts w:ascii="Times New Roman" w:hAnsi="Times New Roman"/>
          <w:sz w:val="20"/>
        </w:rPr>
        <w:t xml:space="preserve"> </w:t>
      </w:r>
      <w:r>
        <w:rPr>
          <w:rFonts w:ascii="Times New Roman" w:hAnsi="Times New Roman"/>
          <w:b/>
          <w:sz w:val="20"/>
        </w:rPr>
        <w:t>DXL STOCKHOLDERS SHOULD NOT RELY ON THE DECEMBER 2025 OPINION AND IT DOES NOT CONSTITUTE ADVICE OR A RECOMMENDATION TO ANY DXL STOCKHOLDER AS TO HOW ANY DXL STOCKHOLDER SHOULD VOTE OR ACT IN CONNECTION WITH THE MERGER OR OTHERWISE</w:t>
      </w:r>
      <w:r>
        <w:rPr>
          <w:rFonts w:ascii="Times New Roman" w:hAnsi="Times New Roman"/>
          <w:sz w:val="20"/>
        </w:rPr>
        <w:t xml:space="preserve">. </w:t>
      </w:r>
      <w:r>
        <w:rPr>
          <w:rFonts w:ascii="Times New Roman" w:hAnsi="Times New Roman"/>
          <w:b/>
          <w:sz w:val="20"/>
        </w:rPr>
        <w:t>The December 2025 Opinion and the summary of the financial analyses underlying the December 2025 Opinion should be read only together with</w:t>
      </w:r>
      <w:r>
        <w:rPr>
          <w:rFonts w:ascii="Times New Roman" w:hAnsi="Times New Roman"/>
          <w:sz w:val="20"/>
        </w:rPr>
        <w:t xml:space="preserve"> </w:t>
      </w:r>
      <w:r>
        <w:rPr>
          <w:rFonts w:ascii="Times New Roman" w:hAnsi="Times New Roman"/>
          <w:b/>
          <w:sz w:val="20"/>
        </w:rPr>
        <w:t xml:space="preserve">the May 2026 Supplemental Financial Analyses </w:t>
      </w:r>
      <w:r>
        <w:rPr>
          <w:rFonts w:ascii="Times New Roman" w:hAnsi="Times New Roman"/>
          <w:b/>
          <w:i/>
          <w:sz w:val="20"/>
        </w:rPr>
        <w:t>.</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3"/>
        <w:gridCol w:w="3266"/>
        <w:gridCol w:w="204"/>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drawing>
                <wp:inline distT="0" distB="0" distL="0" distR="0">
                  <wp:extent cx="1741805" cy="141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741805" cy="14160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p>
            <w:pPr>
              <w:pStyle w:val="TableContents"/>
              <w:bidi w:val="0"/>
              <w:spacing w:before="0" w:after="0"/>
              <w:jc w:val="left"/>
              <w:rPr>
                <w:rFonts w:ascii="Times New Roman" w:hAnsi="Times New Roman"/>
                <w:sz w:val="20"/>
              </w:rPr>
            </w:pPr>
            <w:r>
              <w:rPr>
                <w:rFonts w:ascii="Times New Roman" w:hAnsi="Times New Roman"/>
                <w:sz w:val="20"/>
              </w:rPr>
              <w:t>330 Madison Avenue</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rFonts w:ascii="Times New Roman" w:hAnsi="Times New Roman"/>
                <w:sz w:val="20"/>
              </w:rPr>
            </w:pPr>
            <w:r>
              <w:rPr>
                <w:rFonts w:ascii="Times New Roman" w:hAnsi="Times New Roman"/>
                <w:sz w:val="20"/>
              </w:rPr>
              <w:t>GuggenheimPartners.com</w:t>
            </w:r>
          </w:p>
        </w:tc>
      </w:tr>
    </w:tbl>
    <w:p>
      <w:pPr>
        <w:pStyle w:val="TextBody"/>
        <w:bidi w:val="0"/>
        <w:spacing w:before="200" w:after="0"/>
        <w:jc w:val="left"/>
        <w:rPr>
          <w:rFonts w:ascii="Times New Roman" w:hAnsi="Times New Roman"/>
          <w:sz w:val="20"/>
        </w:rPr>
      </w:pPr>
      <w:r>
        <w:rPr>
          <w:rFonts w:ascii="Times New Roman" w:hAnsi="Times New Roman"/>
          <w:sz w:val="20"/>
        </w:rPr>
        <w:t xml:space="preserve">December 10, 2025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555 Turnpike Street </w:t>
      </w:r>
    </w:p>
    <w:p>
      <w:pPr>
        <w:pStyle w:val="TextBody"/>
        <w:bidi w:val="0"/>
        <w:spacing w:before="0" w:after="0"/>
        <w:jc w:val="left"/>
        <w:rPr>
          <w:rFonts w:ascii="Times New Roman" w:hAnsi="Times New Roman"/>
          <w:sz w:val="20"/>
        </w:rPr>
      </w:pPr>
      <w:r>
        <w:rPr>
          <w:rFonts w:ascii="Times New Roman" w:hAnsi="Times New Roman"/>
          <w:sz w:val="20"/>
        </w:rPr>
        <w:t xml:space="preserve">Canton, MA 02021 </w:t>
      </w:r>
    </w:p>
    <w:p>
      <w:pPr>
        <w:pStyle w:val="TextBody"/>
        <w:bidi w:val="0"/>
        <w:spacing w:before="240" w:after="0"/>
        <w:jc w:val="left"/>
        <w:rPr>
          <w:rFonts w:ascii="Times New Roman" w:hAnsi="Times New Roman"/>
          <w:sz w:val="20"/>
        </w:rPr>
      </w:pPr>
      <w:r>
        <w:rPr>
          <w:rFonts w:ascii="Times New Roman" w:hAnsi="Times New Roman"/>
          <w:sz w:val="20"/>
        </w:rPr>
        <w:t xml:space="preserve">Members of the Board: </w:t>
      </w:r>
    </w:p>
    <w:p>
      <w:pPr>
        <w:pStyle w:val="TextBody"/>
        <w:bidi w:val="0"/>
        <w:spacing w:before="120" w:after="0"/>
        <w:jc w:val="left"/>
        <w:rPr>
          <w:rFonts w:ascii="Times New Roman" w:hAnsi="Times New Roman"/>
          <w:sz w:val="20"/>
        </w:rPr>
      </w:pPr>
      <w:r>
        <w:rPr>
          <w:rFonts w:ascii="Times New Roman" w:hAnsi="Times New Roman"/>
          <w:sz w:val="20"/>
        </w:rPr>
        <w:t xml:space="preserve">We understand that Destination XL Group, Inc. (“Destination XL”) and FBB Holdings I, Inc. (“FBB”) intend to enter into an Agreement and Plan of Merger to be dated as of December 11, 2025 (the “Agreement”) pursuant to which Divine Merger Sub I, Inc., a wholly owned subsidiary of Destination XL (“Merger Sub”), will be merged with and into FBB (the “Merger”) and FBB will become a wholly owned subsidiary of Destination XL. Pursuant to the Agreement, each of the issued and outstanding shares of the common stock, par value $0.01 per share, of FBB (“FBB Common Stock”), subject to certain exceptions, will be converted into the right to receive that number of shares of the common stock, par value $0.01 per share, of Destination XL (“DXL Common Stock”) equal to (i) the number of shares of DXL Common Stock outstanding immediately before the Merger multiplied by (y) the quotient of fifty-five per cent (55%) divided by (z) forty-five per cent (45%) then (ii) divided by the number of shares of FBB Common Stock outstanding immediately before the Merger, with the aggregate shares of DXL Common Stock to be issued in the Merger referred to herein as the “Merger Consideration.” The terms and conditions of the Merger are more fully set forth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You have asked us to render our opinion as to whether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our opinion, we have: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a draft of the Agreement dated as of December 9,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publicly available business and financial information regarding Destination XL;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Destination XL and FBB and their respective businesses and future prospects (including (i) certain financial projections for Destination XL on a stand-alone basis for the fiscal years ending January 31, 2026 through January 31, 2035, (ii) certain financial projections for FBB on a stand-alone basis for the calendar years ending December 31, 2025 through December 31, 2034, (iii) certain estimates as to potentially realizable existing net operating loss carry-forwards expected to be utilized by Destination XL and (iv) certain estimates as to potentially realizable benefits under Section 163(j) of the Code (as defined below) available and expected to be utilized by FBB (together, the ”Destination XL-Provided Financial Projections”) and certain other estimates and other forward-looking information), all as prepared by, discussed with and approved for our use by Destination XL’s senior management (collectively with the Synergy Estimates (as defined below), the “Destination XL-Provided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non-public business and financial information regarding FBB and its business and future prospects (including certain financial projections for FBB on a stand-alone basis for the calendar years ending December 31, 2025 through December 31, 2029 (the “FBB-Provided Financial Projections” and together with the Destination XL-Provided Financial Projections, the “Financial Projections”) and certain other estimates and other forward looking information), all as prepared by and discussed with FBB’s senior management and reviewed by, discussed with and approved for our use by Destination XL’s senior management (collectively, the “FBB-Provided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certain estimated cost savings, operating synergies and other combination benefits expected to result from the Merger and estimated costs to achieve the same (collectively, the “Synergy Estimates” or the “Synergies”), all as prepared by and discussed with Destination XL’s and FBB’s respective senior management and approved for our use by Destination XL’s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XL’s senior management their strategic and financial rationale for the Merger as well as their views of Destination XL’s and FBB’s respective businesses,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FBB’s senior management their strategic and financial rationale for the Merger as well as their views of FBB’s business, operations, historical and projected financial results, liquidity, funding needs, access to capital and future prospects and the commercial and competitive dynamics in the consumer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discounted cash flow analyses with respect to Destination XL, FBB and the Synergies based on the Destination XL-Provided Financial Projections and the Synergy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historical prices, certain trading multiples and the trading activity of the Destination XL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Compared the financial performance of Destination XL and FBB and certain trading multiples and the trading activity of the Destination XL Common Stock with corresponding data for certain publicly traded companies that we deemed relevant in evaluating Destination XL and FBB;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Reviewed the </w:t>
            </w:r>
            <w:r>
              <w:rPr>
                <w:rFonts w:ascii="Times New Roman" w:hAnsi="Times New Roman"/>
                <w:i/>
                <w:sz w:val="20"/>
              </w:rPr>
              <w:t>pro forma</w:t>
            </w:r>
            <w:r>
              <w:rPr>
                <w:rFonts w:ascii="Times New Roman" w:hAnsi="Times New Roman"/>
                <w:sz w:val="20"/>
              </w:rPr>
              <w:t xml:space="preserve"> financial results, financial condition and capitalization of Destination XL giving effect to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Conducted such other studies, analyses, inquiries and investigations as we deemed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respect to the information used in arriving at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relied upon and assumed the accuracy, completeness and reasonableness of all industry, business, financial, legal, regulatory, tax, accounting, actuarial and other information provided by or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Destination XL or FBB (including, without limitation, the Destination XL-Provided Information and the FBB-Provided Information) or obtained from public sources, data suppliers and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do not assume any responsibility, obligation or liability for the accuracy, completeness, reasonableness, achievability or independent verification of, and we have not independently verified, any such information (including, without limitation, the Destination XL-Provided Information or the FBB-Provided Information), (ii) express no view or opinion regarding the reasonableness or achievability of the Financial Projections, the Synergy Estimates, any other estimates or any other forward-looking information provided by Destination XL or FBB or the assumptions upon which any of the foregoing are based and (iii) have relied upon the assurances of Destination XL’s senior management that they are (in the case of the Destination XL-Provided Information) and have assumed that FBB’s senior management are (in the case of the FBB-Provided Information) unaware of any facts or circumstances that would make the Destination XL-Provided Information or the FBB-Provided Information incomplete, inaccurate or misleading.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 have been advised by Destination XL’s senior management, and have assumed, that the Destination XL-Provided Financial Projections have been (y) reasonably prepared on bases reflecting the best currently available estimates and judgments of Destination XL’s senior management as to the expected future performance of Destination XL and FBB and (z) reviewed by Destination XL’s Board of Directors with the understanding that such information will be used and relied upon by us in connection with rendering our opinion, (ii) have been advised by Destination XL’s senior management, and have assumed, that the Synergy Estimates have been (y) reasonably prepared on bases reflecting the best currently available estimates and judgments of Destination XL’s and FBB’s respective senior management as to the expected amounts and realization of the Synergies and (z) reviewed by Destination XL’s Board of Directors with the understanding that such information will be used and relied upon by us in connection with rendering our opinion, (iii) have assumed that the FBB-Provided Financial Projections have been reasonably prepared on bases reflecting the best currently available estimates and judgments of FBB’s senior management as to the expected future performance of FBB on a stand-alone basis and (iv) have assumed that any financial projections/forecasts, any other estimates and/or any other forward-looking information obtained by us from public sources, data suppliers and other third parties are reasonable and reliable.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course of our engagement, we were asked by Destination XL’s Board of Directors to solicit indications of interest from various potential third-party transaction counterparties regarding a potential extraordinary corporate transaction with or involving Destination XL, and we have considered the results of such solicitation process in rendering our opinion. </w:t>
      </w:r>
    </w:p>
    <w:p>
      <w:pPr>
        <w:pStyle w:val="TextBody"/>
        <w:bidi w:val="0"/>
        <w:spacing w:before="240" w:after="0"/>
        <w:jc w:val="left"/>
        <w:rPr>
          <w:rFonts w:ascii="Times New Roman" w:hAnsi="Times New Roman"/>
          <w:sz w:val="20"/>
        </w:rPr>
      </w:pPr>
      <w:r>
        <w:rPr>
          <w:rFonts w:ascii="Times New Roman" w:hAnsi="Times New Roman"/>
          <w:sz w:val="20"/>
        </w:rPr>
        <w:t xml:space="preserve">In arriving at our opinion, we have not performed or obtained any independent appraisal of the assets or liabilities (including any contingent, derivative or off-balance sheet assets and liabilities) of Destination XL, FBB or any other entity or the solvency or fair value of Destination XL, FBB or any other entity, nor have we been furnished with any such appraisals. We are not legal, regulatory, tax, consulting, accounting, appraisal or actuarial experts and nothing in our opinion should be construed as constituting advice with respect to such matters; accordingly, we have relied on the assessments of Destination XL’s senior management, FBB’s senior management and Destination XL’s other professional advisors with respect to such matters. We have assumed that the Merger will qualify, for US federal income tax purposes, as a “reorganization” within the meaning of Section 368(a) of the Internal Revenue Code of 1986, as amended (the “Code”). We are not expressing any view or rendering any opinion regarding the tax consequences of the Merger to Destination XL, FBB or their respective securityholders.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rendering our opinion, we have assumed that, in all respects meaningful to our analyses, (i) the final executed form of the Agreement will not differ from the draft that we have reviewed, (ii) Destination XL, FBB and Merger Sub will comply with all terms and provisions of the Agreement and (iii) the representations and warranties of Destination XL, FBB and Merger Sub contained in the Agreement are true and correct and all conditions to the obligations of each party to the Agreement to consummate the Merger will be satisfied without any waiver, amendment or modification thereof. We also have assumed that the Merger will be consummated in a timely manner in accordance with the terms of the Agreement and in compliance with all applicable legal and other requirements, without any delays, limitations, restrictions, conditions, waivers, amendments or modifications (regulatory, tax-related or otherwise) that would have an effect on Destination XL, FBB or the Merger (including its contemplated benefits) in any way meaningful to our analyses or opinion. Further, in rendering our opinion we have assumed in all respects meaningful to our analyses that concurrently with, but immediately prior to, the Merger, those certain Commitment and Subscription Agreements (as defined in the Agreement) by and between FBB and certain FBB investors will be consummated on the terms and subject to the conditions set forth in such Commitment and Subscription Agreements, such that the aggregate amount of indebtedness of FBB upon consummation of the Merger shall be as reflected in the Destination XL-Provided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do not express any view or opinion as to (i) the prices at which the shares of Destination XL Common Stock, FBB Common Stock or other securities or financial instruments of or relating to Destination XL or FBB may trade or otherwise be transferable at any time, (ii) the potential effects of volatility in the credit, financial or equity markets on Destination XL or FBB, their respective securities or other financial instruments or the Merger or (iii) the impact of the Merger on the solvency or viability of Destination XL, FBB or Merger Sub or the ability of Destination XL, FBB or Merger Sub to pay their respective obligations when they come due.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a financial advisor to Destination XL in connection with the Merger and will receive a customary fee for such services, an installment of which is payable upon the rendering of our opinion and an additional installment may be payable upon successful consummation of the Merger. In addition, Destination XL has agreed to reimburse us for certain expenses and to indemnify us against certain liabilities arising out of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(i) aside from our current engagement by Destination XL, we have not been previously engaged during the past two years by Destination XL to provide financial advisory or investment banking services for which we received fees and (ii) we have not been previously engaged during the past two years by FBB to provide financial advisory or investment banking services for which we received fees, except that we acted as financial advisor to FBB in connection with its July 2024 acquisition of Avenue, for which we received agreed upon fees. We may in the future seek to provide Destination XL and FBB or their respective affiliates with financial advisory and investment banking services unrelated to the Merger, for which services we would expect to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We and our affiliates and related entities engage in a wide range of financial services activities for our and their own accounts and the accounts of customers, including but not limited to: asset, investment and wealth management; insurance services; investment banking, corporate finance, mergers and acquisitions and restructuring; merchant banking; fixed income and equity sales, trading and research; and derivatives, foreign exchange and futures. In the ordinary course of these activities, we and our affiliates and related entities may (i) provide such financial services to Destination XL, FBB, other participants in the Merger or their respective affiliates, for which services we and our affiliates and related entities may have received, and may in the future receive, compensation and (ii) directly and indirectly hold long and short positions, trade and otherwise conduct such activities in or with respect to loans, debt and equity securities and derivative products of or relating to Destination XL, FBB, other participants in the Merger or their respective affiliates. Furthermore, our and our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left"/>
        <w:rPr>
          <w:rFonts w:ascii="Times New Roman" w:hAnsi="Times New Roman"/>
          <w:sz w:val="20"/>
        </w:rPr>
      </w:pPr>
      <w:r>
        <w:rPr>
          <w:rFonts w:ascii="Times New Roman" w:hAnsi="Times New Roman"/>
          <w:sz w:val="20"/>
        </w:rPr>
        <w:t xml:space="preserve">December 10, 2025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affiliates’ and related entities’ respective directors, officers, employees, consultants and agents may have investments in Destination XL, FBB, other participants in the Merger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guidelines, we have adopted certain policies and procedures to establish and maintain the independence of our research departments and personnel. As a result, our research analysts may hold views, make statements or investment recommendations and publish research reports with respect to Destination XL, FBB, other participants in the Merger or their respective affiliates or the Merger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provided to Destination XL’s Board of Directors (in its capacity as such) for its information and assistance in connection with its evaluation of the Merger Consideration. Our opinion may not be disclosed publicly, made available to third parties or reproduced, disseminated, quoted from or referred to at any time, in whole or in part, without our prior written consent; provided, however, that this letter may be included in its entirety in any proxy statement to be distributed to the stockholders of Destination XL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Our opinion and any materials provided in connection therewith do not constitute a recommendation to Destination XL’s Board of Directors with respect to the Merger, nor does our opinion or any summary of our underlying analyses constitute advice or a recommendation to any stockholder of Destination XL as to how to vote or act in connection with the Merger or otherwise. Our opinion does not address Destination XL’s underlying business or financial decision to pursue or effect the Merger, the relative merits of the Merger as compared to any alternative business or financial strategies that might exist for Destination XL or the effects of any other transaction in which Destination XL might engage. Our opinion addresses only the fairness, from a financial point of view and as of the date hereof, of the Merger Consideration to the extent expressly specified herein. We do not express any view or opinion as to (i) any other term, aspect or implication of (y) the Merger (including, without limitation, the form or structure of the Merger) or the Agreement or (z) any other agreement, transaction document or instrument contemplated by the Agreement or to be entered into or amended in connection with the Merger or (ii) the fairness, financial or otherwise, of the Merger to, or of any consideration to be paid to or received by, the holders of any class of securities (other than as expressly specified herein), creditors or other constituencies of Destination XL or FBB. Furthermore, we do not express any view or opinion as to the fairness, financial or otherwise, of the amount or nature of any compensation payable to or to be received by any of Destination XL’s or FBB’s directors, officers or employees, or any class of such persons, in connection with the Merger relative to the Merger Consideration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opinion has been authorized for issuance by our Fairness Opinion and Valuation Committee. Our opinion is subject to the assumptions, limitations, qualifications and other conditions contained herein and is necessarily based on economic, business, capital markets and other conditions, and the information made available to us, as of the date hereof. We assume no responsibility for updating or revising our opinion based on facts, circumstances or events occurring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it is our opinion that, as of the date hereof, the Merger Consideration is fair, from a financial point of view, to the stockholders of Destination XL.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p>
      <w:pPr>
        <w:pStyle w:val="TextBody"/>
        <w:bidi w:val="0"/>
        <w:spacing w:before="0" w:after="0"/>
        <w:jc w:val="left"/>
        <w:rPr/>
      </w:pPr>
      <w:r>
        <w:rPr/>
        <w:drawing>
          <wp:inline distT="0" distB="0" distL="0" distR="0">
            <wp:extent cx="2476500" cy="37211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2476500" cy="37211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GUGGENHEIM SECURITIES, LLC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1" w:name="tx76201_91"/>
      <w:bookmarkEnd w:id="221"/>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240" w:after="0"/>
        <w:jc w:val="left"/>
        <w:rPr>
          <w:rFonts w:ascii="Times New Roman" w:hAnsi="Times New Roman"/>
          <w:sz w:val="20"/>
        </w:rPr>
      </w:pPr>
      <w:r>
        <w:rPr>
          <w:rFonts w:ascii="Times New Roman" w:hAnsi="Times New Roman"/>
          <w:sz w:val="20"/>
        </w:rPr>
        <w:t>Destination XL Group, Inc, a Delaware corporation (the “</w:t>
      </w:r>
      <w:r>
        <w:rPr>
          <w:rFonts w:ascii="Times New Roman" w:hAnsi="Times New Roman"/>
          <w:b/>
          <w:i/>
          <w:sz w:val="20"/>
        </w:rPr>
        <w:t>Corporation</w:t>
      </w:r>
      <w:r>
        <w:rPr>
          <w:rFonts w:ascii="Times New Roman" w:hAnsi="Times New Roman"/>
          <w:sz w:val="20"/>
        </w:rPr>
        <w:t xml:space="preserve">”), hereby certifies that: </w:t>
      </w:r>
    </w:p>
    <w:p>
      <w:pPr>
        <w:pStyle w:val="TextBody"/>
        <w:bidi w:val="0"/>
        <w:spacing w:before="120" w:after="0"/>
        <w:jc w:val="left"/>
        <w:rPr>
          <w:rFonts w:ascii="Times New Roman" w:hAnsi="Times New Roman"/>
          <w:sz w:val="20"/>
        </w:rPr>
      </w:pPr>
      <w:r>
        <w:rPr>
          <w:rFonts w:ascii="Times New Roman" w:hAnsi="Times New Roman"/>
          <w:sz w:val="20"/>
        </w:rPr>
        <w:t xml:space="preserve">1. The certificate of incorporation of the Corporation is hereby amended by inserting the following at the beginning of Article FOURTH thereof: </w:t>
      </w:r>
    </w:p>
    <w:p>
      <w:pPr>
        <w:pStyle w:val="TextBody"/>
        <w:bidi w:val="0"/>
        <w:spacing w:before="120" w:after="0"/>
        <w:jc w:val="left"/>
        <w:rPr>
          <w:rFonts w:ascii="Times New Roman" w:hAnsi="Times New Roman"/>
          <w:sz w:val="20"/>
        </w:rPr>
      </w:pPr>
      <w:r>
        <w:rPr>
          <w:rFonts w:ascii="Times New Roman" w:hAnsi="Times New Roman"/>
          <w:sz w:val="20"/>
        </w:rPr>
        <w:t>Effective immediately upon the effectiveness of the Certificate of Amendment adding this paragraph to this Restated Certificate of Incorporation (the “</w:t>
      </w:r>
      <w:r>
        <w:rPr>
          <w:rFonts w:ascii="Times New Roman" w:hAnsi="Times New Roman"/>
          <w:b/>
          <w:sz w:val="20"/>
        </w:rPr>
        <w:t>Effective Time</w:t>
      </w:r>
      <w:r>
        <w:rPr>
          <w:rFonts w:ascii="Times New Roman" w:hAnsi="Times New Roman"/>
          <w:sz w:val="20"/>
        </w:rPr>
        <w:t>”), each two (2) to thirty (30) shares of Common Stock that are issued and outstanding immediately prior to the Effective Time shall be reclassified and combined into one (1) validly issued, fully paid, and non-assessable share of Common Stock, with the exact ratio within such range to be determined by the Board of Directors prior to the Effective Time and notice of such ratio to be given by the Corporation to its stockholders (the “</w:t>
      </w:r>
      <w:r>
        <w:rPr>
          <w:rFonts w:ascii="Times New Roman" w:hAnsi="Times New Roman"/>
          <w:b/>
          <w:sz w:val="20"/>
        </w:rPr>
        <w:t>Reverse Split</w:t>
      </w:r>
      <w:r>
        <w:rPr>
          <w:rFonts w:ascii="Times New Roman" w:hAnsi="Times New Roman"/>
          <w:sz w:val="20"/>
        </w:rPr>
        <w:t>”). The Reverse Split shall occur automatically without any further action by the Corporation or its stockholders and whether or not any certificate representing such shares immediately prior to the Effective Time (the “</w:t>
      </w:r>
      <w:r>
        <w:rPr>
          <w:rFonts w:ascii="Times New Roman" w:hAnsi="Times New Roman"/>
          <w:b/>
          <w:sz w:val="20"/>
        </w:rPr>
        <w:t>Old Certificate</w:t>
      </w:r>
      <w:r>
        <w:rPr>
          <w:rFonts w:ascii="Times New Roman" w:hAnsi="Times New Roman"/>
          <w:sz w:val="20"/>
        </w:rPr>
        <w:t xml:space="preserve">”) is surrendered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2. This Certificate of Amendment has been adopted in accordance with Section 242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3. On ______ __, 2026, the Board of Directors of the Corporation determined that each ____ (__) shares of the Corporation’s Common Stock that are issued and outstanding immediately prior to the Effective Time, shall automatically be reclassified and combined into one (1) validly issued, fully paid, and non-assessable share of Common Stock, pursuant to the amendment set forth in this Certificate of Amendment. The Corporation gave notice to its stockholders of this ratio on ______ __, 2026.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w:t>
      </w:r>
      <w:r>
        <w:rPr>
          <w:rFonts w:ascii="Times New Roman" w:hAnsi="Times New Roman"/>
          <w:sz w:val="20"/>
        </w:rPr>
        <w:t xml:space="preserve">This Certificate of Amendment shall be effective on ______ __, 2026 at __:__ </w:t>
      </w:r>
      <w:r>
        <w:rPr>
          <w:rFonts w:ascii="Times New Roman" w:hAnsi="Times New Roman"/>
          <w:b/>
          <w:sz w:val="20"/>
        </w:rPr>
        <w:t>[</w:t>
      </w:r>
      <w:r>
        <w:rPr>
          <w:rFonts w:ascii="Times New Roman" w:hAnsi="Times New Roman"/>
          <w:sz w:val="20"/>
        </w:rPr>
        <w:t>a</w:t>
      </w:r>
      <w:r>
        <w:rPr>
          <w:rFonts w:ascii="Times New Roman" w:hAnsi="Times New Roman"/>
          <w:b/>
          <w:sz w:val="20"/>
        </w:rPr>
        <w:t>][</w:t>
      </w:r>
      <w:r>
        <w:rPr>
          <w:rFonts w:ascii="Times New Roman" w:hAnsi="Times New Roman"/>
          <w:sz w:val="20"/>
        </w:rPr>
        <w:t>p</w:t>
      </w:r>
      <w:r>
        <w:rPr>
          <w:rFonts w:ascii="Times New Roman" w:hAnsi="Times New Roman"/>
          <w:b/>
          <w:sz w:val="20"/>
        </w:rPr>
        <w:t>]</w:t>
      </w:r>
      <w:r>
        <w:rPr>
          <w:rFonts w:ascii="Times New Roman" w:hAnsi="Times New Roman"/>
          <w:sz w:val="20"/>
        </w:rPr>
        <w:t>.m. Eastern Time.</w:t>
      </w:r>
      <w:r>
        <w:rPr>
          <w:rFonts w:ascii="Times New Roman" w:hAnsi="Times New Roman"/>
          <w:b/>
          <w:sz w:val="20"/>
        </w:rPr>
        <w: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w:t>
      </w:r>
      <w:r>
        <w:rPr>
          <w:rFonts w:ascii="Times New Roman" w:hAnsi="Times New Roman"/>
          <w:i/>
          <w:sz w:val="20"/>
        </w:rPr>
        <w:t>Signature Page Follows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executed and acknowledged this certificate on the date set forth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63"/>
        <w:gridCol w:w="233"/>
        <w:gridCol w:w="2586"/>
      </w:tblGrid>
      <w:tr>
        <w:trPr/>
        <w:tc>
          <w:tcPr>
            <w:tcW w:w="1263" w:type="dxa"/>
            <w:tcBorders/>
            <w:vAlign w:val="center"/>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DESTINATION XL GROUP, INC.</w:t>
            </w:r>
          </w:p>
        </w:tc>
      </w:tr>
      <w:tr>
        <w:trPr>
          <w:trHeight w:val="240" w:hRule="atLeast"/>
        </w:trPr>
        <w:tc>
          <w:tcPr>
            <w:tcW w:w="1263" w:type="dxa"/>
            <w:tcBorders/>
            <w:vAlign w:val="center"/>
          </w:tcPr>
          <w:p>
            <w:pPr>
              <w:pStyle w:val="TableContents"/>
              <w:bidi w:val="0"/>
              <w:spacing w:before="0" w:after="283"/>
              <w:jc w:val="left"/>
              <w:rPr>
                <w:sz w:val="4"/>
                <w:szCs w:val="4"/>
              </w:rPr>
            </w:pPr>
            <w:r>
              <w:rPr>
                <w:sz w:val="4"/>
                <w:szCs w:val="4"/>
              </w:rPr>
            </w:r>
          </w:p>
        </w:tc>
        <w:tc>
          <w:tcPr>
            <w:tcW w:w="2819" w:type="dxa"/>
            <w:gridSpan w:val="2"/>
            <w:tcBorders/>
            <w:vAlign w:val="center"/>
          </w:tcPr>
          <w:p>
            <w:pPr>
              <w:pStyle w:val="TableContents"/>
              <w:bidi w:val="0"/>
              <w:spacing w:before="0" w:after="283"/>
              <w:jc w:val="left"/>
              <w:rPr>
                <w:sz w:val="4"/>
                <w:szCs w:val="4"/>
              </w:rPr>
            </w:pPr>
            <w:r>
              <w:rPr>
                <w:sz w:val="4"/>
                <w:szCs w:val="4"/>
              </w:rPr>
            </w:r>
          </w:p>
        </w:tc>
      </w:tr>
      <w:tr>
        <w:trPr/>
        <w:tc>
          <w:tcPr>
            <w:tcW w:w="1263" w:type="dxa"/>
            <w:tcBorders/>
          </w:tcPr>
          <w:p>
            <w:pPr>
              <w:pStyle w:val="TableContents"/>
              <w:bidi w:val="0"/>
              <w:spacing w:before="0" w:after="283"/>
              <w:jc w:val="left"/>
              <w:rPr/>
            </w:pPr>
            <w:r>
              <w:rPr/>
              <w:t>By: </w:t>
            </w:r>
          </w:p>
        </w:tc>
        <w:tc>
          <w:tcPr>
            <w:tcW w:w="233" w:type="dxa"/>
            <w:tcBorders>
              <w:bottom w:val="single" w:sz="2" w:space="0" w:color="000000"/>
            </w:tcBorders>
            <w:tcMar>
              <w:bottom w:w="28" w:type="dxa"/>
            </w:tcMar>
            <w:vAlign w:val="bottom"/>
          </w:tcPr>
          <w:p>
            <w:pPr>
              <w:pStyle w:val="TableContents"/>
              <w:bidi w:val="0"/>
              <w:spacing w:before="0" w:after="283"/>
              <w:jc w:val="left"/>
              <w:rPr/>
            </w:pPr>
            <w:r>
              <w:rPr/>
              <w:t> </w:t>
            </w:r>
          </w:p>
        </w:tc>
        <w:tc>
          <w:tcPr>
            <w:tcW w:w="2586"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c>
          <w:tcPr>
            <w:tcW w:w="4082" w:type="dxa"/>
            <w:gridSpan w:val="3"/>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222" w:name="tx76201_92"/>
      <w:bookmarkEnd w:id="222"/>
      <w:r>
        <w:rPr>
          <w:rFonts w:ascii="Times New Roman" w:hAnsi="Times New Roman"/>
          <w:b/>
          <w:sz w:val="20"/>
        </w:rPr>
        <w:t xml:space="preserve">ANNEX D </w:t>
      </w:r>
    </w:p>
    <w:p>
      <w:pPr>
        <w:pStyle w:val="TextBody"/>
        <w:bidi w:val="0"/>
        <w:spacing w:before="240" w:after="0"/>
        <w:jc w:val="left"/>
        <w:rPr>
          <w:rFonts w:ascii="Times New Roman" w:hAnsi="Times New Roman"/>
          <w:sz w:val="20"/>
        </w:rPr>
      </w:pPr>
      <w:r>
        <w:rPr>
          <w:rFonts w:ascii="Times New Roman" w:hAnsi="Times New Roman"/>
          <w:sz w:val="20"/>
          <w:u w:val="single"/>
        </w:rPr>
        <w:t>Explanatory Note</w:t>
      </w:r>
      <w:r>
        <w:rPr>
          <w:rFonts w:ascii="Times New Roman" w:hAnsi="Times New Roman"/>
          <w:sz w:val="20"/>
        </w:rPr>
        <w:t xml:space="preserve">: This Annex D contains a copy of the Destination XL Group, Inc. Second Amended and Restated 2016 Incentive Compensation Plan as proposed to be amended by Proposal 3 included in this Proxy Statement to which this Annex D is attached. </w:t>
      </w:r>
    </w:p>
    <w:p>
      <w:pPr>
        <w:pStyle w:val="TextBody"/>
        <w:bidi w:val="0"/>
        <w:spacing w:before="240" w:after="0"/>
        <w:jc w:val="left"/>
        <w:rPr>
          <w:rFonts w:ascii="Times New Roman" w:hAnsi="Times New Roman"/>
          <w:sz w:val="20"/>
        </w:rPr>
      </w:pPr>
      <w:r>
        <w:rPr>
          <w:rFonts w:ascii="Times New Roman" w:hAnsi="Times New Roman"/>
          <w:sz w:val="20"/>
          <w:u w:val="single"/>
        </w:rPr>
        <w:t>Editing Guide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Proposed additions are shown in blue, bold and as underlined text; </w:t>
      </w:r>
    </w:p>
    <w:p>
      <w:pPr>
        <w:pStyle w:val="TextBody"/>
        <w:bidi w:val="0"/>
        <w:spacing w:before="0" w:after="0"/>
        <w:jc w:val="left"/>
        <w:rPr>
          <w:rFonts w:ascii="Times New Roman" w:hAnsi="Times New Roman"/>
          <w:sz w:val="20"/>
        </w:rPr>
      </w:pPr>
      <w:r>
        <w:rPr>
          <w:rFonts w:ascii="Times New Roman" w:hAnsi="Times New Roman"/>
          <w:sz w:val="20"/>
        </w:rPr>
        <w:t xml:space="preserve">Proposed deletions are shown in red, bold and as strike-throughs; and </w:t>
      </w:r>
    </w:p>
    <w:p>
      <w:pPr>
        <w:pStyle w:val="TextBody"/>
        <w:bidi w:val="0"/>
        <w:spacing w:before="0" w:after="0"/>
        <w:jc w:val="left"/>
        <w:rPr>
          <w:rFonts w:ascii="Times New Roman" w:hAnsi="Times New Roman"/>
          <w:sz w:val="20"/>
        </w:rPr>
      </w:pPr>
      <w:r>
        <w:rPr>
          <w:rFonts w:ascii="Times New Roman" w:hAnsi="Times New Roman"/>
          <w:sz w:val="20"/>
        </w:rPr>
        <w:t>Existing text, which has been moved, is shown in green, as lighter bold with underlined text or strike-through, as applicable.</w:t>
      </w:r>
    </w:p>
    <w:p>
      <w:pPr>
        <w:pStyle w:val="TextBody"/>
        <w:bidi w:val="0"/>
        <w:spacing w:before="24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AS AMENDED EFFECTIVE (</w:t>
      </w:r>
      <w:r>
        <w:rPr>
          <w:rFonts w:ascii="Times New Roman" w:hAnsi="Times New Roman"/>
          <w:b/>
          <w:color w:val="0000FF"/>
          <w:sz w:val="20"/>
          <w:u w:val="single"/>
          <w:bdr w:val="double" w:sz="2" w:space="1" w:color="000000"/>
        </w:rPr>
        <w:t>[XXX, XX, 2026]</w:t>
      </w:r>
      <w:r>
        <w:rPr>
          <w:rFonts w:ascii="Times New Roman" w:hAnsi="Times New Roman"/>
          <w:b/>
          <w:color w:val="0000FF"/>
          <w:sz w:val="20"/>
        </w:rPr>
        <w:t xml:space="preserve"> </w:t>
      </w:r>
      <w:r>
        <w:rPr>
          <w:rFonts w:ascii="Times New Roman" w:hAnsi="Times New Roman"/>
          <w:b/>
          <w:strike/>
          <w:color w:val="FF0000"/>
          <w:sz w:val="20"/>
          <w:u w:val="single"/>
        </w:rPr>
        <w:t>AUGUST 8, 2024</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AMENDED</w:t>
      </w:r>
      <w:r>
        <w:rPr>
          <w:rFonts w:ascii="Times New Roman" w:hAnsi="Times New Roman"/>
          <w:b/>
          <w:sz w:val="20"/>
        </w:rPr>
        <w:t xml:space="preserve"> EFFECTIVE ([XXX, XX,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
        <w:gridCol w:w="111"/>
        <w:gridCol w:w="8959"/>
        <w:gridCol w:w="128"/>
        <w:gridCol w:w="60"/>
        <w:gridCol w:w="525"/>
        <w:gridCol w:w="65"/>
      </w:tblGrid>
      <w:tr>
        <w:trPr/>
        <w:tc>
          <w:tcPr>
            <w:tcW w:w="3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8959"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57" w:type="dxa"/>
            <w:tcBorders/>
          </w:tcPr>
          <w:p>
            <w:pPr>
              <w:pStyle w:val="TableContents"/>
              <w:bidi w:val="0"/>
              <w:spacing w:before="0" w:after="283"/>
              <w:jc w:val="left"/>
              <w:rPr>
                <w:b/>
              </w:rPr>
            </w:pPr>
            <w:r>
              <w:rPr>
                <w:b/>
              </w:rPr>
              <w:t>1.</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99">
              <w:r>
                <w:rPr>
                  <w:rStyle w:val="InternetLink"/>
                  <w:rFonts w:ascii="Times New Roman" w:hAnsi="Times New Roman"/>
                  <w:b/>
                  <w:sz w:val="20"/>
                </w:rPr>
                <w:t>Purpose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2.</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0">
              <w:r>
                <w:rPr>
                  <w:rStyle w:val="InternetLink"/>
                  <w:rFonts w:ascii="Times New Roman" w:hAnsi="Times New Roman"/>
                  <w:b/>
                  <w:sz w:val="20"/>
                </w:rPr>
                <w:t>Definitions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D-3</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3.</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1">
              <w:r>
                <w:rPr>
                  <w:rStyle w:val="InternetLink"/>
                  <w:rFonts w:ascii="Times New Roman" w:hAnsi="Times New Roman"/>
                  <w:b/>
                  <w:sz w:val="20"/>
                </w:rPr>
                <w:t>Administration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D-7</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4.</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2">
              <w:r>
                <w:rPr>
                  <w:rStyle w:val="InternetLink"/>
                  <w:rFonts w:ascii="Times New Roman" w:hAnsi="Times New Roman"/>
                  <w:b/>
                  <w:sz w:val="20"/>
                </w:rPr>
                <w:t>Shares Subject to Plan</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5.</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3">
              <w:r>
                <w:rPr>
                  <w:rStyle w:val="InternetLink"/>
                  <w:rFonts w:ascii="Times New Roman" w:hAnsi="Times New Roman"/>
                  <w:b/>
                  <w:sz w:val="20"/>
                </w:rPr>
                <w:t>Eligibility; Per-Participation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6.</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4">
              <w:r>
                <w:rPr>
                  <w:rStyle w:val="InternetLink"/>
                  <w:rFonts w:ascii="Times New Roman" w:hAnsi="Times New Roman"/>
                  <w:b/>
                  <w:sz w:val="20"/>
                </w:rPr>
                <w:t>Award Vesting Limitations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D-9</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7.</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5">
              <w:r>
                <w:rPr>
                  <w:rStyle w:val="InternetLink"/>
                  <w:rFonts w:ascii="Times New Roman" w:hAnsi="Times New Roman"/>
                  <w:b/>
                  <w:sz w:val="20"/>
                </w:rPr>
                <w:t>Specific Terms of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D-10</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8.</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6">
              <w:r>
                <w:rPr>
                  <w:rStyle w:val="InternetLink"/>
                  <w:rFonts w:ascii="Times New Roman" w:hAnsi="Times New Roman"/>
                  <w:b/>
                  <w:sz w:val="20"/>
                </w:rPr>
                <w:t>Certain Provisions Applicable to Awards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D-15</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9.</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7">
              <w:r>
                <w:rPr>
                  <w:rStyle w:val="InternetLink"/>
                  <w:rFonts w:ascii="Times New Roman" w:hAnsi="Times New Roman"/>
                  <w:b/>
                  <w:sz w:val="20"/>
                </w:rPr>
                <w:t>Change in Control</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D-18</w:t>
            </w:r>
          </w:p>
        </w:tc>
        <w:tc>
          <w:tcPr>
            <w:tcW w:w="65" w:type="dxa"/>
            <w:tcBorders/>
            <w:vAlign w:val="bottom"/>
          </w:tcPr>
          <w:p>
            <w:pPr>
              <w:pStyle w:val="TableContents"/>
              <w:bidi w:val="0"/>
              <w:spacing w:before="0" w:after="283"/>
              <w:jc w:val="left"/>
              <w:rPr/>
            </w:pPr>
            <w:r>
              <w:rPr/>
              <w:t> </w:t>
            </w:r>
          </w:p>
        </w:tc>
      </w:tr>
      <w:tr>
        <w:trPr/>
        <w:tc>
          <w:tcPr>
            <w:tcW w:w="357" w:type="dxa"/>
            <w:tcBorders/>
          </w:tcPr>
          <w:p>
            <w:pPr>
              <w:pStyle w:val="TableContents"/>
              <w:bidi w:val="0"/>
              <w:spacing w:before="0" w:after="283"/>
              <w:jc w:val="left"/>
              <w:rPr>
                <w:b/>
              </w:rPr>
            </w:pPr>
            <w:r>
              <w:rPr>
                <w:b/>
              </w:rPr>
              <w:t>10.</w:t>
            </w:r>
          </w:p>
        </w:tc>
        <w:tc>
          <w:tcPr>
            <w:tcW w:w="111" w:type="dxa"/>
            <w:tcBorders/>
            <w:vAlign w:val="bottom"/>
          </w:tcPr>
          <w:p>
            <w:pPr>
              <w:pStyle w:val="TableContents"/>
              <w:bidi w:val="0"/>
              <w:spacing w:before="0" w:after="283"/>
              <w:jc w:val="left"/>
              <w:rPr/>
            </w:pPr>
            <w:r>
              <w:rPr/>
              <w:t> </w:t>
            </w:r>
          </w:p>
        </w:tc>
        <w:tc>
          <w:tcPr>
            <w:tcW w:w="8959" w:type="dxa"/>
            <w:tcBorders/>
          </w:tcPr>
          <w:p>
            <w:pPr>
              <w:pStyle w:val="TableContents"/>
              <w:bidi w:val="0"/>
              <w:spacing w:before="0" w:after="0"/>
              <w:jc w:val="left"/>
              <w:rPr/>
            </w:pPr>
            <w:hyperlink w:anchor="tx76201_108">
              <w:r>
                <w:rPr>
                  <w:rStyle w:val="InternetLink"/>
                  <w:rFonts w:ascii="Times New Roman" w:hAnsi="Times New Roman"/>
                  <w:b/>
                  <w:sz w:val="20"/>
                </w:rPr>
                <w:t>General Provisions</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5" w:type="dxa"/>
            <w:tcBorders/>
            <w:vAlign w:val="bottom"/>
          </w:tcPr>
          <w:p>
            <w:pPr>
              <w:pStyle w:val="TableContents"/>
              <w:bidi w:val="0"/>
              <w:spacing w:before="0" w:after="283"/>
              <w:jc w:val="right"/>
              <w:rPr>
                <w:b/>
              </w:rPr>
            </w:pPr>
            <w:r>
              <w:rPr>
                <w:b/>
              </w:rPr>
              <w:t>D-20</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DESTINATION XL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2016 INCENTIVE COMPENSATION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AS AMENDED EFFECTIVE ([XXX, XX,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3" w:name="tx76201_99"/>
            <w:bookmarkEnd w:id="223"/>
            <w:r>
              <w:rPr>
                <w:b/>
                <w:i/>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w:t>
            </w:r>
            <w:r>
              <w:rPr>
                <w:rFonts w:ascii="Times New Roman" w:hAnsi="Times New Roman"/>
                <w:b/>
                <w:color w:val="0000FF"/>
                <w:sz w:val="20"/>
                <w:u w:val="single"/>
                <w:bdr w:val="double" w:sz="2" w:space="1" w:color="000000"/>
              </w:rPr>
              <w:t>,</w:t>
            </w:r>
            <w:r>
              <w:rPr>
                <w:rFonts w:ascii="Times New Roman" w:hAnsi="Times New Roman"/>
                <w:sz w:val="20"/>
              </w:rPr>
              <w:t xml:space="preserve"> </w:t>
            </w:r>
            <w:r>
              <w:rPr>
                <w:rFonts w:ascii="Times New Roman" w:hAnsi="Times New Roman"/>
                <w:strike/>
                <w:color w:val="FF0000"/>
                <w:sz w:val="20"/>
              </w:rPr>
              <w:t xml:space="preserve">and </w:t>
            </w:r>
            <w:r>
              <w:rPr>
                <w:rFonts w:ascii="Times New Roman" w:hAnsi="Times New Roman"/>
                <w:sz w:val="20"/>
              </w:rPr>
              <w:t xml:space="preserve">August 5, 2021 </w:t>
            </w:r>
            <w:r>
              <w:rPr>
                <w:rFonts w:ascii="Times New Roman" w:hAnsi="Times New Roman"/>
                <w:b/>
                <w:color w:val="0000FF"/>
                <w:sz w:val="20"/>
                <w:u w:val="single"/>
                <w:bdr w:val="double" w:sz="2" w:space="1" w:color="000000"/>
              </w:rPr>
              <w:t>and August 8, 2024</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4" w:name="tx76201_100"/>
            <w:bookmarkEnd w:id="224"/>
            <w:r>
              <w:rPr>
                <w:b/>
                <w:i/>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Definitions</w:t>
            </w:r>
            <w:r>
              <w:rPr>
                <w:rFonts w:ascii="Times New Roman" w:hAnsi="Times New Roman"/>
                <w:sz w:val="20"/>
              </w:rPr>
              <w:t xml:space="preserve">. For purposes of the Plan, the following terms shall be defined as set forth below, in addition to such terms defined in Section 1 hereof and elsewhere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pPr>
            <w:r>
              <w:rPr/>
              <w:t>“</w:t>
            </w:r>
            <w:r>
              <w:rPr>
                <w:rFonts w:ascii="Times New Roman" w:hAnsi="Times New Roman"/>
                <w:b/>
                <w:i/>
                <w:sz w:val="20"/>
              </w:rPr>
              <w:t>Award</w:t>
            </w:r>
            <w:r>
              <w:rPr>
                <w:rFonts w:ascii="Times New Roman" w:hAnsi="Times New Roman"/>
                <w:sz w:val="20"/>
              </w:rPr>
              <w:t xml:space="preserve">”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w:t>
            </w:r>
            <w:r>
              <w:rPr>
                <w:rFonts w:ascii="Times New Roman" w:hAnsi="Times New Roman"/>
                <w:b/>
                <w:i/>
                <w:sz w:val="20"/>
              </w:rPr>
              <w:t>Award Agreement</w:t>
            </w:r>
            <w:r>
              <w:rPr>
                <w:rFonts w:ascii="Times New Roman" w:hAnsi="Times New Roman"/>
                <w:sz w:val="20"/>
              </w:rPr>
              <w:t xml:space="preserve">” means any written agreement, contract or other instrument or document evidencing any Award granted by the Committee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pPr>
            <w:r>
              <w:rPr/>
              <w:t>“</w:t>
            </w:r>
            <w:r>
              <w:rPr>
                <w:rFonts w:ascii="Times New Roman" w:hAnsi="Times New Roman"/>
                <w:b/>
                <w:i/>
                <w:sz w:val="20"/>
              </w:rPr>
              <w:t>Beneficiary</w:t>
            </w:r>
            <w:r>
              <w:rPr>
                <w:rFonts w:ascii="Times New Roman" w:hAnsi="Times New Roman"/>
                <w:sz w:val="20"/>
              </w:rPr>
              <w:t xml:space="preserve">”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pPr>
            <w:r>
              <w:rPr/>
              <w:t>“</w:t>
            </w:r>
            <w:r>
              <w:rPr>
                <w:rFonts w:ascii="Times New Roman" w:hAnsi="Times New Roman"/>
                <w:b/>
                <w:i/>
                <w:sz w:val="20"/>
              </w:rPr>
              <w:t>Beneficial Owner</w:t>
            </w:r>
            <w:r>
              <w:rPr>
                <w:rFonts w:ascii="Times New Roman" w:hAnsi="Times New Roman"/>
                <w:sz w:val="20"/>
              </w:rPr>
              <w:t xml:space="preserve">” shall have the meaning ascribed to such term in Rule 13d-3 under the Exchange Act and any successor to such Rule.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w:t>
            </w:r>
          </w:p>
        </w:tc>
        <w:tc>
          <w:tcPr>
            <w:tcW w:w="8881" w:type="dxa"/>
            <w:tcBorders/>
          </w:tcPr>
          <w:p>
            <w:pPr>
              <w:pStyle w:val="TableContents"/>
              <w:bidi w:val="0"/>
              <w:spacing w:before="0" w:after="0"/>
              <w:jc w:val="left"/>
              <w:rPr/>
            </w:pPr>
            <w:r>
              <w:rPr/>
              <w:t>“</w:t>
            </w:r>
            <w:r>
              <w:rPr>
                <w:rFonts w:ascii="Times New Roman" w:hAnsi="Times New Roman"/>
                <w:b/>
                <w:i/>
                <w:sz w:val="20"/>
              </w:rPr>
              <w:t>Board</w:t>
            </w:r>
            <w:r>
              <w:rPr>
                <w:rFonts w:ascii="Times New Roman" w:hAnsi="Times New Roman"/>
                <w:sz w:val="20"/>
              </w:rPr>
              <w:t xml:space="preserve">” means the Company’s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(f)</w:t>
            </w:r>
          </w:p>
        </w:tc>
        <w:tc>
          <w:tcPr>
            <w:tcW w:w="8879" w:type="dxa"/>
            <w:tcBorders/>
          </w:tcPr>
          <w:p>
            <w:pPr>
              <w:pStyle w:val="TableContents"/>
              <w:bidi w:val="0"/>
              <w:spacing w:before="0" w:after="0"/>
              <w:jc w:val="left"/>
              <w:rPr/>
            </w:pPr>
            <w:r>
              <w:rPr/>
              <w:t>“</w:t>
            </w:r>
            <w:r>
              <w:rPr>
                <w:rFonts w:ascii="Times New Roman" w:hAnsi="Times New Roman"/>
                <w:b/>
                <w:i/>
                <w:sz w:val="20"/>
              </w:rPr>
              <w:t>Change in Control</w:t>
            </w:r>
            <w:r>
              <w:rPr>
                <w:rFonts w:ascii="Times New Roman" w:hAnsi="Times New Roman"/>
                <w:sz w:val="20"/>
              </w:rPr>
              <w:t xml:space="preserve">” means a Change in Control as defined in Section 9(b)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w:t>
            </w:r>
          </w:p>
        </w:tc>
        <w:tc>
          <w:tcPr>
            <w:tcW w:w="8879" w:type="dxa"/>
            <w:tcBorders/>
          </w:tcPr>
          <w:p>
            <w:pPr>
              <w:pStyle w:val="TableContents"/>
              <w:bidi w:val="0"/>
              <w:spacing w:before="0" w:after="0"/>
              <w:jc w:val="left"/>
              <w:rPr/>
            </w:pPr>
            <w:r>
              <w:rPr/>
              <w:t>“</w:t>
            </w:r>
            <w:r>
              <w:rPr>
                <w:rFonts w:ascii="Times New Roman" w:hAnsi="Times New Roman"/>
                <w:b/>
                <w:i/>
                <w:sz w:val="20"/>
              </w:rPr>
              <w:t>Code</w:t>
            </w:r>
            <w:r>
              <w:rPr>
                <w:rFonts w:ascii="Times New Roman" w:hAnsi="Times New Roman"/>
                <w:sz w:val="20"/>
              </w:rPr>
              <w:t xml:space="preserve">” means the Internal Revenue Code of 1986, as amended from time to time, including regulations thereunder and successor provisions and regulations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w:t>
            </w:r>
          </w:p>
        </w:tc>
        <w:tc>
          <w:tcPr>
            <w:tcW w:w="8880" w:type="dxa"/>
            <w:tcBorders/>
          </w:tcPr>
          <w:p>
            <w:pPr>
              <w:pStyle w:val="TableContents"/>
              <w:bidi w:val="0"/>
              <w:spacing w:before="0" w:after="0"/>
              <w:jc w:val="left"/>
              <w:rPr/>
            </w:pPr>
            <w:r>
              <w:rPr/>
              <w:t>“</w:t>
            </w:r>
            <w:r>
              <w:rPr>
                <w:rFonts w:ascii="Times New Roman" w:hAnsi="Times New Roman"/>
                <w:b/>
                <w:i/>
                <w:sz w:val="20"/>
              </w:rPr>
              <w:t>Committee</w:t>
            </w:r>
            <w:r>
              <w:rPr>
                <w:rFonts w:ascii="Times New Roman" w:hAnsi="Times New Roman"/>
                <w:sz w:val="20"/>
              </w:rPr>
              <w:t xml:space="preserve">”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(ii)”Independent”; provided, however, the failure of the Committee to be so comprised shall not invalidate any Award that otherwise satisfies the terms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pPr>
            <w:r>
              <w:rPr/>
              <w:t>“</w:t>
            </w:r>
            <w:r>
              <w:rPr>
                <w:rFonts w:ascii="Times New Roman" w:hAnsi="Times New Roman"/>
                <w:b/>
                <w:i/>
                <w:sz w:val="20"/>
              </w:rPr>
              <w:t>Consultant</w:t>
            </w:r>
            <w:r>
              <w:rPr>
                <w:rFonts w:ascii="Times New Roman" w:hAnsi="Times New Roman"/>
                <w:sz w:val="20"/>
              </w:rPr>
              <w:t xml:space="preserve">” means any person (other than an Employee or a Director, solely with respect to rendering services in such person’s capacity as a Director) who is engaged by the Company or any Related Entity to render consulting or advisory services to the Company or such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(j)</w:t>
            </w:r>
          </w:p>
        </w:tc>
        <w:tc>
          <w:tcPr>
            <w:tcW w:w="8882" w:type="dxa"/>
            <w:tcBorders/>
          </w:tcPr>
          <w:p>
            <w:pPr>
              <w:pStyle w:val="TableContents"/>
              <w:bidi w:val="0"/>
              <w:spacing w:before="0" w:after="0"/>
              <w:jc w:val="left"/>
              <w:rPr/>
            </w:pPr>
            <w:r>
              <w:rPr/>
              <w:t>“</w:t>
            </w:r>
            <w:r>
              <w:rPr>
                <w:rFonts w:ascii="Times New Roman" w:hAnsi="Times New Roman"/>
                <w:b/>
                <w:i/>
                <w:sz w:val="20"/>
              </w:rPr>
              <w:t>Continuous Service”</w:t>
            </w:r>
            <w:r>
              <w:rPr>
                <w:rFonts w:ascii="Times New Roman" w:hAnsi="Times New Roman"/>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w:t>
            </w:r>
          </w:p>
        </w:tc>
        <w:tc>
          <w:tcPr>
            <w:tcW w:w="8881" w:type="dxa"/>
            <w:tcBorders/>
          </w:tcPr>
          <w:p>
            <w:pPr>
              <w:pStyle w:val="TableContents"/>
              <w:bidi w:val="0"/>
              <w:spacing w:before="0" w:after="0"/>
              <w:jc w:val="left"/>
              <w:rPr/>
            </w:pPr>
            <w:r>
              <w:rPr/>
              <w:t>“</w:t>
            </w:r>
            <w:r>
              <w:rPr>
                <w:rFonts w:ascii="Times New Roman" w:hAnsi="Times New Roman"/>
                <w:b/>
                <w:i/>
                <w:sz w:val="20"/>
              </w:rPr>
              <w:t>Deferred Stock</w:t>
            </w:r>
            <w:r>
              <w:rPr>
                <w:rFonts w:ascii="Times New Roman" w:hAnsi="Times New Roman"/>
                <w:sz w:val="20"/>
              </w:rPr>
              <w:t xml:space="preserve">” means a right to receive Shares, cash measured based upon the value of Shares or a combination thereof, at the end of a specified deferral period, which right is not subject to a substantial risk of forfeiture (other than the potential clawback of benefits under Section 8(f)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(l)</w:t>
            </w:r>
          </w:p>
        </w:tc>
        <w:tc>
          <w:tcPr>
            <w:tcW w:w="8879" w:type="dxa"/>
            <w:tcBorders/>
          </w:tcPr>
          <w:p>
            <w:pPr>
              <w:pStyle w:val="TableContents"/>
              <w:bidi w:val="0"/>
              <w:spacing w:before="0" w:after="0"/>
              <w:jc w:val="left"/>
              <w:rPr/>
            </w:pPr>
            <w:r>
              <w:rPr/>
              <w:t>“</w:t>
            </w:r>
            <w:r>
              <w:rPr>
                <w:rFonts w:ascii="Times New Roman" w:hAnsi="Times New Roman"/>
                <w:b/>
                <w:i/>
                <w:sz w:val="20"/>
              </w:rPr>
              <w:t>Deferred Award</w:t>
            </w:r>
            <w:r>
              <w:rPr>
                <w:rFonts w:ascii="Times New Roman" w:hAnsi="Times New Roman"/>
                <w:sz w:val="20"/>
              </w:rPr>
              <w:t xml:space="preserve">” means an Award of Deferred Stock or Restricted Stock Units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(m)</w:t>
            </w:r>
          </w:p>
        </w:tc>
        <w:tc>
          <w:tcPr>
            <w:tcW w:w="8880" w:type="dxa"/>
            <w:tcBorders/>
          </w:tcPr>
          <w:p>
            <w:pPr>
              <w:pStyle w:val="TableContents"/>
              <w:bidi w:val="0"/>
              <w:spacing w:before="0" w:after="0"/>
              <w:jc w:val="left"/>
              <w:rPr/>
            </w:pPr>
            <w:r>
              <w:rPr/>
              <w:t>“</w:t>
            </w:r>
            <w:r>
              <w:rPr>
                <w:rFonts w:ascii="Times New Roman" w:hAnsi="Times New Roman"/>
                <w:b/>
                <w:i/>
                <w:sz w:val="20"/>
              </w:rPr>
              <w:t>Director</w:t>
            </w:r>
            <w:r>
              <w:rPr>
                <w:rFonts w:ascii="Times New Roman" w:hAnsi="Times New Roman"/>
                <w:sz w:val="20"/>
              </w:rPr>
              <w:t xml:space="preserve">” means a member of the Board or the board of directors of any Related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w:t>
            </w:r>
          </w:p>
        </w:tc>
        <w:tc>
          <w:tcPr>
            <w:tcW w:w="8880" w:type="dxa"/>
            <w:tcBorders/>
          </w:tcPr>
          <w:p>
            <w:pPr>
              <w:pStyle w:val="TableContents"/>
              <w:bidi w:val="0"/>
              <w:spacing w:before="0" w:after="0"/>
              <w:jc w:val="left"/>
              <w:rPr/>
            </w:pPr>
            <w:r>
              <w:rPr/>
              <w:t>“</w:t>
            </w:r>
            <w:r>
              <w:rPr>
                <w:rFonts w:ascii="Times New Roman" w:hAnsi="Times New Roman"/>
                <w:b/>
                <w:i/>
                <w:sz w:val="20"/>
              </w:rPr>
              <w:t>Disability</w:t>
            </w:r>
            <w:r>
              <w:rPr>
                <w:rFonts w:ascii="Times New Roman" w:hAnsi="Times New Roman"/>
                <w:sz w:val="20"/>
              </w:rPr>
              <w:t xml:space="preserve">” means a permanent and total disability (within the meaning of Section 22(e) of the Code), as determined by a medical doctor satisfactory to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(o)</w:t>
            </w:r>
          </w:p>
        </w:tc>
        <w:tc>
          <w:tcPr>
            <w:tcW w:w="8881" w:type="dxa"/>
            <w:tcBorders/>
          </w:tcPr>
          <w:p>
            <w:pPr>
              <w:pStyle w:val="TableContents"/>
              <w:bidi w:val="0"/>
              <w:spacing w:before="0" w:after="0"/>
              <w:jc w:val="left"/>
              <w:rPr/>
            </w:pPr>
            <w:r>
              <w:rPr/>
              <w:t>“</w:t>
            </w:r>
            <w:r>
              <w:rPr>
                <w:rFonts w:ascii="Times New Roman" w:hAnsi="Times New Roman"/>
                <w:b/>
                <w:i/>
                <w:sz w:val="20"/>
              </w:rPr>
              <w:t>Dividend Equivalent</w:t>
            </w:r>
            <w:r>
              <w:rPr>
                <w:rFonts w:ascii="Times New Roman" w:hAnsi="Times New Roman"/>
                <w:sz w:val="20"/>
              </w:rPr>
              <w:t xml:space="preserve">” means a right, granted to a Participant under Section 7(g) hereof, to receive cash, Shares, other Awards or other property equal in value to dividends paid with respect to a specified number of Shares, or other periodic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(p)</w:t>
            </w:r>
          </w:p>
        </w:tc>
        <w:tc>
          <w:tcPr>
            <w:tcW w:w="8882" w:type="dxa"/>
            <w:tcBorders/>
          </w:tcPr>
          <w:p>
            <w:pPr>
              <w:pStyle w:val="TableContents"/>
              <w:bidi w:val="0"/>
              <w:spacing w:before="0" w:after="0"/>
              <w:jc w:val="left"/>
              <w:rPr/>
            </w:pPr>
            <w:r>
              <w:rPr/>
              <w:t>“</w:t>
            </w:r>
            <w:r>
              <w:rPr>
                <w:rFonts w:ascii="Times New Roman" w:hAnsi="Times New Roman"/>
                <w:b/>
                <w:i/>
                <w:sz w:val="20"/>
              </w:rPr>
              <w:t>Effective Date</w:t>
            </w:r>
            <w:r>
              <w:rPr>
                <w:rFonts w:ascii="Times New Roman" w:hAnsi="Times New Roman"/>
                <w:sz w:val="20"/>
              </w:rPr>
              <w:t xml:space="preserve">” means the effective date of the Plan, which shall be the Shareholder Approval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w:t>
            </w:r>
          </w:p>
        </w:tc>
        <w:tc>
          <w:tcPr>
            <w:tcW w:w="8880" w:type="dxa"/>
            <w:tcBorders/>
          </w:tcPr>
          <w:p>
            <w:pPr>
              <w:pStyle w:val="TableContents"/>
              <w:bidi w:val="0"/>
              <w:spacing w:before="0" w:after="0"/>
              <w:jc w:val="left"/>
              <w:rPr/>
            </w:pPr>
            <w:r>
              <w:rPr/>
              <w:t>“</w:t>
            </w:r>
            <w:r>
              <w:rPr>
                <w:rFonts w:ascii="Times New Roman" w:hAnsi="Times New Roman"/>
                <w:b/>
                <w:i/>
                <w:sz w:val="20"/>
              </w:rPr>
              <w:t>Eligible Person</w:t>
            </w:r>
            <w:r>
              <w:rPr>
                <w:rFonts w:ascii="Times New Roman" w:hAnsi="Times New Roman"/>
                <w:sz w:val="20"/>
              </w:rPr>
              <w:t xml:space="preserve">”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(r)</w:t>
            </w:r>
          </w:p>
        </w:tc>
        <w:tc>
          <w:tcPr>
            <w:tcW w:w="8882" w:type="dxa"/>
            <w:tcBorders/>
          </w:tcPr>
          <w:p>
            <w:pPr>
              <w:pStyle w:val="TableContents"/>
              <w:bidi w:val="0"/>
              <w:spacing w:before="0" w:after="0"/>
              <w:jc w:val="left"/>
              <w:rPr/>
            </w:pPr>
            <w:r>
              <w:rPr/>
              <w:t>“</w:t>
            </w:r>
            <w:r>
              <w:rPr>
                <w:rFonts w:ascii="Times New Roman" w:hAnsi="Times New Roman"/>
                <w:b/>
                <w:i/>
                <w:sz w:val="20"/>
              </w:rPr>
              <w:t>Employee</w:t>
            </w:r>
            <w:r>
              <w:rPr>
                <w:rFonts w:ascii="Times New Roman" w:hAnsi="Times New Roman"/>
                <w:sz w:val="20"/>
              </w:rPr>
              <w:t xml:space="preserve">”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w:t>
            </w:r>
          </w:p>
        </w:tc>
        <w:tc>
          <w:tcPr>
            <w:tcW w:w="8880" w:type="dxa"/>
            <w:tcBorders/>
          </w:tcPr>
          <w:p>
            <w:pPr>
              <w:pStyle w:val="TableContents"/>
              <w:bidi w:val="0"/>
              <w:spacing w:before="0" w:after="0"/>
              <w:jc w:val="left"/>
              <w:rPr/>
            </w:pPr>
            <w:r>
              <w:rPr/>
              <w:t>“</w:t>
            </w:r>
            <w:r>
              <w:rPr>
                <w:rFonts w:ascii="Times New Roman" w:hAnsi="Times New Roman"/>
                <w:b/>
                <w:i/>
                <w:sz w:val="20"/>
              </w:rPr>
              <w:t>Exchange Act</w:t>
            </w:r>
            <w:r>
              <w:rPr>
                <w:rFonts w:ascii="Times New Roman" w:hAnsi="Times New Roman"/>
                <w:sz w:val="20"/>
              </w:rPr>
              <w:t xml:space="preserve">” means the Securities Exchange Act of 1934, as amended from time to time, including rules thereunder and successor provisions and rules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(t)</w:t>
            </w:r>
          </w:p>
        </w:tc>
        <w:tc>
          <w:tcPr>
            <w:tcW w:w="8881" w:type="dxa"/>
            <w:tcBorders/>
          </w:tcPr>
          <w:p>
            <w:pPr>
              <w:pStyle w:val="TableContents"/>
              <w:bidi w:val="0"/>
              <w:spacing w:before="0" w:after="0"/>
              <w:jc w:val="left"/>
              <w:rPr/>
            </w:pPr>
            <w:r>
              <w:rPr/>
              <w:t>“</w:t>
            </w:r>
            <w:r>
              <w:rPr>
                <w:rFonts w:ascii="Times New Roman" w:hAnsi="Times New Roman"/>
                <w:b/>
                <w:i/>
                <w:sz w:val="20"/>
              </w:rPr>
              <w:t>Fair Market Value</w:t>
            </w:r>
            <w:r>
              <w:rPr>
                <w:rFonts w:ascii="Times New Roman" w:hAnsi="Times New Roman"/>
                <w:sz w:val="20"/>
              </w:rPr>
              <w:t xml:space="preserve">” means the fair market value of Shares, Awards or other property on the date as of which the value is being determined, as determined by the Committee, or under procedures established by the Committee. Unless otherwise determined by the Committee, the Fair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4"/>
        <w:gridCol w:w="8881"/>
      </w:tblGrid>
      <w:tr>
        <w:trPr/>
        <w:tc>
          <w:tcPr>
            <w:tcW w:w="1324" w:type="dxa"/>
            <w:tcBorders/>
            <w:vAlign w:val="center"/>
          </w:tcPr>
          <w:p>
            <w:pPr>
              <w:pStyle w:val="TableContents"/>
              <w:bidi w:val="0"/>
              <w:spacing w:before="0" w:after="283"/>
              <w:jc w:val="left"/>
              <w:rPr/>
            </w:pPr>
            <w:r>
              <w:rPr/>
              <w:t> </w:t>
            </w:r>
          </w:p>
        </w:tc>
        <w:tc>
          <w:tcPr>
            <w:tcW w:w="8881" w:type="dxa"/>
            <w:tcBorders/>
          </w:tcPr>
          <w:p>
            <w:pPr>
              <w:pStyle w:val="TableContents"/>
              <w:bidi w:val="0"/>
              <w:spacing w:before="0" w:after="283"/>
              <w:jc w:val="left"/>
              <w:rPr/>
            </w:pPr>
            <w:r>
              <w:rPr/>
              <w:t xml:space="preserve">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(u)</w:t>
            </w:r>
          </w:p>
        </w:tc>
        <w:tc>
          <w:tcPr>
            <w:tcW w:w="8881" w:type="dxa"/>
            <w:tcBorders/>
          </w:tcPr>
          <w:p>
            <w:pPr>
              <w:pStyle w:val="TableContents"/>
              <w:bidi w:val="0"/>
              <w:spacing w:before="0" w:after="0"/>
              <w:jc w:val="left"/>
              <w:rPr/>
            </w:pPr>
            <w:r>
              <w:rPr/>
              <w:t>“</w:t>
            </w:r>
            <w:r>
              <w:rPr>
                <w:rFonts w:ascii="Times New Roman" w:hAnsi="Times New Roman"/>
                <w:b/>
                <w:i/>
                <w:sz w:val="20"/>
              </w:rPr>
              <w:t>Full Value Award</w:t>
            </w:r>
            <w:r>
              <w:rPr>
                <w:rFonts w:ascii="Times New Roman" w:hAnsi="Times New Roman"/>
                <w:sz w:val="20"/>
              </w:rPr>
              <w:t xml:space="preserve">” means any Award other than an option or a Stock Appreciation Right and that is settled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w:t>
            </w:r>
          </w:p>
        </w:tc>
        <w:tc>
          <w:tcPr>
            <w:tcW w:w="8880" w:type="dxa"/>
            <w:tcBorders/>
          </w:tcPr>
          <w:p>
            <w:pPr>
              <w:pStyle w:val="TableContents"/>
              <w:bidi w:val="0"/>
              <w:spacing w:before="0" w:after="0"/>
              <w:jc w:val="left"/>
              <w:rPr/>
            </w:pPr>
            <w:r>
              <w:rPr/>
              <w:t>“</w:t>
            </w:r>
            <w:r>
              <w:rPr>
                <w:rFonts w:ascii="Times New Roman" w:hAnsi="Times New Roman"/>
                <w:b/>
                <w:i/>
                <w:sz w:val="20"/>
              </w:rPr>
              <w:t>Good Reason</w:t>
            </w:r>
            <w:r>
              <w:rPr>
                <w:rFonts w:ascii="Times New Roman" w:hAnsi="Times New Roman"/>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w:t>
            </w:r>
          </w:p>
        </w:tc>
        <w:tc>
          <w:tcPr>
            <w:tcW w:w="8879" w:type="dxa"/>
            <w:tcBorders/>
          </w:tcPr>
          <w:p>
            <w:pPr>
              <w:pStyle w:val="TableContents"/>
              <w:bidi w:val="0"/>
              <w:spacing w:before="0" w:after="0"/>
              <w:jc w:val="left"/>
              <w:rPr/>
            </w:pPr>
            <w:r>
              <w:rPr/>
              <w:t>“</w:t>
            </w:r>
            <w:r>
              <w:rPr>
                <w:rFonts w:ascii="Times New Roman" w:hAnsi="Times New Roman"/>
                <w:b/>
                <w:i/>
                <w:sz w:val="20"/>
              </w:rPr>
              <w:t>Incentive Stock Option</w:t>
            </w:r>
            <w:r>
              <w:rPr>
                <w:rFonts w:ascii="Times New Roman" w:hAnsi="Times New Roman"/>
                <w:sz w:val="20"/>
              </w:rPr>
              <w:t xml:space="preserve">” means any Option intended to be designated as an incentive stock option within the meaning of Section 422 of the Code or any successor provision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pPr>
            <w:r>
              <w:rPr/>
              <w:t>“</w:t>
            </w:r>
            <w:r>
              <w:rPr>
                <w:rFonts w:ascii="Times New Roman" w:hAnsi="Times New Roman"/>
                <w:b/>
                <w:i/>
                <w:sz w:val="20"/>
              </w:rPr>
              <w:t>Independent</w:t>
            </w:r>
            <w:r>
              <w:rPr>
                <w:rFonts w:ascii="Times New Roman" w:hAnsi="Times New Roman"/>
                <w:sz w:val="20"/>
              </w:rPr>
              <w:t xml:space="preserve">”,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(y)</w:t>
            </w:r>
          </w:p>
        </w:tc>
        <w:tc>
          <w:tcPr>
            <w:tcW w:w="8881" w:type="dxa"/>
            <w:tcBorders/>
          </w:tcPr>
          <w:p>
            <w:pPr>
              <w:pStyle w:val="TableContents"/>
              <w:bidi w:val="0"/>
              <w:spacing w:before="0" w:after="0"/>
              <w:jc w:val="left"/>
              <w:rPr/>
            </w:pPr>
            <w:r>
              <w:rPr/>
              <w:t>“</w:t>
            </w:r>
            <w:r>
              <w:rPr>
                <w:rFonts w:ascii="Times New Roman" w:hAnsi="Times New Roman"/>
                <w:b/>
                <w:i/>
                <w:sz w:val="20"/>
              </w:rPr>
              <w:t>Incumbent Board</w:t>
            </w:r>
            <w:r>
              <w:rPr>
                <w:rFonts w:ascii="Times New Roman" w:hAnsi="Times New Roman"/>
                <w:sz w:val="20"/>
              </w:rPr>
              <w:t xml:space="preserve">” means the Incumbent Board as defined in Section 9(b)(ii)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(z)</w:t>
            </w:r>
          </w:p>
        </w:tc>
        <w:tc>
          <w:tcPr>
            <w:tcW w:w="8879" w:type="dxa"/>
            <w:tcBorders/>
          </w:tcPr>
          <w:p>
            <w:pPr>
              <w:pStyle w:val="TableContents"/>
              <w:bidi w:val="0"/>
              <w:spacing w:before="0" w:after="0"/>
              <w:jc w:val="left"/>
              <w:rPr/>
            </w:pPr>
            <w:r>
              <w:rPr/>
              <w:t>“</w:t>
            </w:r>
            <w:r>
              <w:rPr>
                <w:rFonts w:ascii="Times New Roman" w:hAnsi="Times New Roman"/>
                <w:b/>
                <w:i/>
                <w:sz w:val="20"/>
              </w:rPr>
              <w:t>Justifiable Cause</w:t>
            </w:r>
            <w:r>
              <w:rPr>
                <w:rFonts w:ascii="Times New Roman" w:hAnsi="Times New Roman"/>
                <w:sz w:val="20"/>
              </w:rPr>
              <w:t xml:space="preserve">”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6"/>
        <w:gridCol w:w="8879"/>
      </w:tblGrid>
      <w:tr>
        <w:trPr/>
        <w:tc>
          <w:tcPr>
            <w:tcW w:w="1326" w:type="dxa"/>
            <w:tcBorders/>
            <w:vAlign w:val="center"/>
          </w:tcPr>
          <w:p>
            <w:pPr>
              <w:pStyle w:val="TableContents"/>
              <w:bidi w:val="0"/>
              <w:spacing w:before="0" w:after="283"/>
              <w:jc w:val="left"/>
              <w:rPr/>
            </w:pPr>
            <w:r>
              <w:rPr/>
              <w:t> </w:t>
            </w:r>
          </w:p>
        </w:tc>
        <w:tc>
          <w:tcPr>
            <w:tcW w:w="8879" w:type="dxa"/>
            <w:tcBorders/>
          </w:tcPr>
          <w:p>
            <w:pPr>
              <w:pStyle w:val="TableContents"/>
              <w:bidi w:val="0"/>
              <w:spacing w:before="0" w:after="283"/>
              <w:jc w:val="left"/>
              <w:rPr/>
            </w:pPr>
            <w:r>
              <w:rPr/>
              <w:t xml:space="preserve">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(aa)</w:t>
            </w:r>
          </w:p>
        </w:tc>
        <w:tc>
          <w:tcPr>
            <w:tcW w:w="8880" w:type="dxa"/>
            <w:tcBorders/>
          </w:tcPr>
          <w:p>
            <w:pPr>
              <w:pStyle w:val="TableContents"/>
              <w:bidi w:val="0"/>
              <w:spacing w:before="0" w:after="0"/>
              <w:jc w:val="left"/>
              <w:rPr/>
            </w:pPr>
            <w:r>
              <w:rPr/>
              <w:t>“</w:t>
            </w:r>
            <w:r>
              <w:rPr>
                <w:rFonts w:ascii="Times New Roman" w:hAnsi="Times New Roman"/>
                <w:b/>
                <w:i/>
                <w:sz w:val="20"/>
              </w:rPr>
              <w:t>Listing Market</w:t>
            </w:r>
            <w:r>
              <w:rPr>
                <w:rFonts w:ascii="Times New Roman" w:hAnsi="Times New Roman"/>
                <w:sz w:val="20"/>
              </w:rPr>
              <w:t xml:space="preserve">” means the NASDAQ Stock Market or any national securities exchange on which the Company’s securities are listed for trading and, if not listed for trading on the NASDAQ Stock Market or a national securities exchange, then the NASDAQ Stock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(bb)</w:t>
            </w:r>
          </w:p>
        </w:tc>
        <w:tc>
          <w:tcPr>
            <w:tcW w:w="8880" w:type="dxa"/>
            <w:tcBorders/>
          </w:tcPr>
          <w:p>
            <w:pPr>
              <w:pStyle w:val="TableContents"/>
              <w:bidi w:val="0"/>
              <w:spacing w:before="0" w:after="0"/>
              <w:jc w:val="left"/>
              <w:rPr/>
            </w:pPr>
            <w:r>
              <w:rPr/>
              <w:t>“</w:t>
            </w:r>
            <w:r>
              <w:rPr>
                <w:rFonts w:ascii="Times New Roman" w:hAnsi="Times New Roman"/>
                <w:b/>
                <w:i/>
                <w:sz w:val="20"/>
              </w:rPr>
              <w:t>Option</w:t>
            </w:r>
            <w:r>
              <w:rPr>
                <w:rFonts w:ascii="Times New Roman" w:hAnsi="Times New Roman"/>
                <w:sz w:val="20"/>
              </w:rPr>
              <w:t xml:space="preserve">” means a right granted to a Participant under Section 7(b) hereof, to purchase Shares or other Awards at a specified price during specified time periods.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(cc)</w:t>
            </w:r>
          </w:p>
        </w:tc>
        <w:tc>
          <w:tcPr>
            <w:tcW w:w="8879" w:type="dxa"/>
            <w:tcBorders/>
          </w:tcPr>
          <w:p>
            <w:pPr>
              <w:pStyle w:val="TableContents"/>
              <w:bidi w:val="0"/>
              <w:spacing w:before="0" w:after="0"/>
              <w:jc w:val="left"/>
              <w:rPr/>
            </w:pPr>
            <w:r>
              <w:rPr/>
              <w:t>“</w:t>
            </w:r>
            <w:r>
              <w:rPr>
                <w:rFonts w:ascii="Times New Roman" w:hAnsi="Times New Roman"/>
                <w:b/>
                <w:i/>
                <w:sz w:val="20"/>
              </w:rPr>
              <w:t>Optionee</w:t>
            </w:r>
            <w:r>
              <w:rPr>
                <w:rFonts w:ascii="Times New Roman" w:hAnsi="Times New Roman"/>
                <w:sz w:val="20"/>
              </w:rPr>
              <w:t xml:space="preserve">” means a person to whom an Option is granted under this Plan or any person who succeeds to the rights of such person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(dd)</w:t>
            </w:r>
          </w:p>
        </w:tc>
        <w:tc>
          <w:tcPr>
            <w:tcW w:w="8880" w:type="dxa"/>
            <w:tcBorders/>
          </w:tcPr>
          <w:p>
            <w:pPr>
              <w:pStyle w:val="TableContents"/>
              <w:bidi w:val="0"/>
              <w:spacing w:before="0" w:after="0"/>
              <w:jc w:val="left"/>
              <w:rPr/>
            </w:pPr>
            <w:r>
              <w:rPr/>
              <w:t>“</w:t>
            </w:r>
            <w:r>
              <w:rPr>
                <w:rFonts w:ascii="Times New Roman" w:hAnsi="Times New Roman"/>
                <w:b/>
                <w:i/>
                <w:sz w:val="20"/>
              </w:rPr>
              <w:t>Other Stock-Based Awards</w:t>
            </w:r>
            <w:r>
              <w:rPr>
                <w:rFonts w:ascii="Times New Roman" w:hAnsi="Times New Roman"/>
                <w:sz w:val="20"/>
              </w:rPr>
              <w:t xml:space="preserve">” means Awards granted to a Participant under Section 7(i)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(ee)</w:t>
            </w:r>
          </w:p>
        </w:tc>
        <w:tc>
          <w:tcPr>
            <w:tcW w:w="8880" w:type="dxa"/>
            <w:tcBorders/>
          </w:tcPr>
          <w:p>
            <w:pPr>
              <w:pStyle w:val="TableContents"/>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a person who has been granted an Award under the Plan which remains outstanding, including a person who is no longer an Eligible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(ff)</w:t>
            </w:r>
          </w:p>
        </w:tc>
        <w:tc>
          <w:tcPr>
            <w:tcW w:w="8881" w:type="dxa"/>
            <w:tcBorders/>
          </w:tcPr>
          <w:p>
            <w:pPr>
              <w:pStyle w:val="TableContents"/>
              <w:bidi w:val="0"/>
              <w:spacing w:before="0" w:after="0"/>
              <w:jc w:val="left"/>
              <w:rPr/>
            </w:pPr>
            <w:r>
              <w:rPr/>
              <w:t>“</w:t>
            </w:r>
            <w:r>
              <w:rPr>
                <w:rFonts w:ascii="Times New Roman" w:hAnsi="Times New Roman"/>
                <w:b/>
                <w:i/>
                <w:sz w:val="20"/>
              </w:rPr>
              <w:t>Performance Award</w:t>
            </w:r>
            <w:r>
              <w:rPr>
                <w:rFonts w:ascii="Times New Roman" w:hAnsi="Times New Roman"/>
                <w:sz w:val="20"/>
              </w:rPr>
              <w:t xml:space="preserve">” means any Award of Performance Shares or Performance Units granted pursuant to Section 7(h).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(gg)</w:t>
            </w:r>
          </w:p>
        </w:tc>
        <w:tc>
          <w:tcPr>
            <w:tcW w:w="8880" w:type="dxa"/>
            <w:tcBorders/>
          </w:tcPr>
          <w:p>
            <w:pPr>
              <w:pStyle w:val="TableContents"/>
              <w:bidi w:val="0"/>
              <w:spacing w:before="0" w:after="0"/>
              <w:jc w:val="left"/>
              <w:rPr/>
            </w:pPr>
            <w:r>
              <w:rPr/>
              <w:t>“</w:t>
            </w:r>
            <w:r>
              <w:rPr>
                <w:rFonts w:ascii="Times New Roman" w:hAnsi="Times New Roman"/>
                <w:b/>
                <w:i/>
                <w:sz w:val="20"/>
              </w:rPr>
              <w:t>Performance Period</w:t>
            </w:r>
            <w:r>
              <w:rPr>
                <w:rFonts w:ascii="Times New Roman" w:hAnsi="Times New Roman"/>
                <w:sz w:val="20"/>
              </w:rPr>
              <w:t xml:space="preserve">” means that period established by the Committee at the time any Performance Award is granted or at any time thereafter during which any performance goals specified by the Committee with respect to such Award are to be measured.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(hh)</w:t>
            </w:r>
          </w:p>
        </w:tc>
        <w:tc>
          <w:tcPr>
            <w:tcW w:w="8880" w:type="dxa"/>
            <w:tcBorders/>
          </w:tcPr>
          <w:p>
            <w:pPr>
              <w:pStyle w:val="TableContents"/>
              <w:bidi w:val="0"/>
              <w:spacing w:before="0" w:after="0"/>
              <w:jc w:val="left"/>
              <w:rPr/>
            </w:pPr>
            <w:r>
              <w:rPr/>
              <w:t>“</w:t>
            </w:r>
            <w:r>
              <w:rPr>
                <w:rFonts w:ascii="Times New Roman" w:hAnsi="Times New Roman"/>
                <w:b/>
                <w:i/>
                <w:sz w:val="20"/>
              </w:rPr>
              <w:t>Performance Share</w:t>
            </w:r>
            <w:r>
              <w:rPr>
                <w:rFonts w:ascii="Times New Roman" w:hAnsi="Times New Roman"/>
                <w:sz w:val="20"/>
              </w:rPr>
              <w:t xml:space="preserve">”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pPr>
            <w:r>
              <w:rPr/>
              <w:t>“</w:t>
            </w:r>
            <w:r>
              <w:rPr>
                <w:rFonts w:ascii="Times New Roman" w:hAnsi="Times New Roman"/>
                <w:b/>
                <w:i/>
                <w:sz w:val="20"/>
              </w:rPr>
              <w:t>Performance Unit</w:t>
            </w:r>
            <w:r>
              <w:rPr>
                <w:rFonts w:ascii="Times New Roman" w:hAnsi="Times New Roman"/>
                <w:sz w:val="20"/>
              </w:rPr>
              <w:t xml:space="preserve">”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(jj)</w:t>
            </w:r>
          </w:p>
        </w:tc>
        <w:tc>
          <w:tcPr>
            <w:tcW w:w="8880" w:type="dxa"/>
            <w:tcBorders/>
          </w:tcPr>
          <w:p>
            <w:pPr>
              <w:pStyle w:val="TableContents"/>
              <w:bidi w:val="0"/>
              <w:spacing w:before="0" w:after="0"/>
              <w:jc w:val="left"/>
              <w:rPr/>
            </w:pPr>
            <w:r>
              <w:rPr/>
              <w:t>“</w:t>
            </w:r>
            <w:r>
              <w:rPr>
                <w:rFonts w:ascii="Times New Roman" w:hAnsi="Times New Roman"/>
                <w:b/>
                <w:i/>
                <w:sz w:val="20"/>
              </w:rPr>
              <w:t>Person</w:t>
            </w:r>
            <w:r>
              <w:rPr>
                <w:rFonts w:ascii="Times New Roman" w:hAnsi="Times New Roman"/>
                <w:sz w:val="20"/>
              </w:rPr>
              <w:t xml:space="preserve">” shall have the meaning ascribed to such term in Section 3(a)(9) of the Exchange Act and used in Sections 13(d) and 14(d) thereof, and shall include a “group” as defined in Section 13(d)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(kk)</w:t>
            </w:r>
          </w:p>
        </w:tc>
        <w:tc>
          <w:tcPr>
            <w:tcW w:w="8881" w:type="dxa"/>
            <w:tcBorders/>
          </w:tcPr>
          <w:p>
            <w:pPr>
              <w:pStyle w:val="TableContents"/>
              <w:bidi w:val="0"/>
              <w:spacing w:before="0" w:after="0"/>
              <w:jc w:val="left"/>
              <w:rPr/>
            </w:pPr>
            <w:r>
              <w:rPr/>
              <w:t>“</w:t>
            </w:r>
            <w:r>
              <w:rPr>
                <w:rFonts w:ascii="Times New Roman" w:hAnsi="Times New Roman"/>
                <w:b/>
                <w:i/>
                <w:sz w:val="20"/>
              </w:rPr>
              <w:t>PriorPlan</w:t>
            </w:r>
            <w:r>
              <w:rPr>
                <w:rFonts w:ascii="Times New Roman" w:hAnsi="Times New Roman"/>
                <w:sz w:val="20"/>
              </w:rPr>
              <w:t xml:space="preserve">” means the Company’s 2006 Incentive Compensation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(ll)</w:t>
            </w:r>
          </w:p>
        </w:tc>
        <w:tc>
          <w:tcPr>
            <w:tcW w:w="8881" w:type="dxa"/>
            <w:tcBorders/>
          </w:tcPr>
          <w:p>
            <w:pPr>
              <w:pStyle w:val="TableContents"/>
              <w:bidi w:val="0"/>
              <w:spacing w:before="0" w:after="0"/>
              <w:jc w:val="left"/>
              <w:rPr/>
            </w:pPr>
            <w:r>
              <w:rPr/>
              <w:t>“</w:t>
            </w:r>
            <w:r>
              <w:rPr>
                <w:rFonts w:ascii="Times New Roman" w:hAnsi="Times New Roman"/>
                <w:b/>
                <w:i/>
                <w:sz w:val="20"/>
              </w:rPr>
              <w:t>Related Entity</w:t>
            </w:r>
            <w:r>
              <w:rPr>
                <w:rFonts w:ascii="Times New Roman" w:hAnsi="Times New Roman"/>
                <w:sz w:val="20"/>
              </w:rPr>
              <w:t xml:space="preserve">”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478"/>
        <w:gridCol w:w="8825"/>
      </w:tblGrid>
      <w:tr>
        <w:trPr/>
        <w:tc>
          <w:tcPr>
            <w:tcW w:w="902" w:type="dxa"/>
            <w:tcBorders/>
            <w:vAlign w:val="center"/>
          </w:tcPr>
          <w:p>
            <w:pPr>
              <w:pStyle w:val="TableContents"/>
              <w:bidi w:val="0"/>
              <w:spacing w:before="0" w:after="283"/>
              <w:jc w:val="left"/>
              <w:rPr/>
            </w:pPr>
            <w:r>
              <w:rPr/>
              <w:t> </w:t>
            </w:r>
          </w:p>
        </w:tc>
        <w:tc>
          <w:tcPr>
            <w:tcW w:w="478" w:type="dxa"/>
            <w:tcBorders/>
          </w:tcPr>
          <w:p>
            <w:pPr>
              <w:pStyle w:val="TableContents"/>
              <w:bidi w:val="0"/>
              <w:spacing w:before="0" w:after="283"/>
              <w:jc w:val="left"/>
              <w:rPr/>
            </w:pPr>
            <w:r>
              <w:rPr/>
              <w:t>(mm)</w:t>
            </w:r>
          </w:p>
        </w:tc>
        <w:tc>
          <w:tcPr>
            <w:tcW w:w="8825" w:type="dxa"/>
            <w:tcBorders/>
          </w:tcPr>
          <w:p>
            <w:pPr>
              <w:pStyle w:val="TableContents"/>
              <w:bidi w:val="0"/>
              <w:spacing w:before="0" w:after="0"/>
              <w:jc w:val="left"/>
              <w:rPr/>
            </w:pPr>
            <w:r>
              <w:rPr/>
              <w:t>“</w:t>
            </w:r>
            <w:r>
              <w:rPr>
                <w:rFonts w:ascii="Times New Roman" w:hAnsi="Times New Roman"/>
                <w:b/>
                <w:i/>
                <w:sz w:val="20"/>
              </w:rPr>
              <w:t>Restricted Stock</w:t>
            </w:r>
            <w:r>
              <w:rPr>
                <w:rFonts w:ascii="Times New Roman" w:hAnsi="Times New Roman"/>
                <w:sz w:val="20"/>
              </w:rPr>
              <w:t xml:space="preserve">”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(nn)</w:t>
            </w:r>
          </w:p>
        </w:tc>
        <w:tc>
          <w:tcPr>
            <w:tcW w:w="8880" w:type="dxa"/>
            <w:tcBorders/>
          </w:tcPr>
          <w:p>
            <w:pPr>
              <w:pStyle w:val="TableContents"/>
              <w:bidi w:val="0"/>
              <w:spacing w:before="0" w:after="0"/>
              <w:jc w:val="left"/>
              <w:rPr/>
            </w:pPr>
            <w:r>
              <w:rPr/>
              <w:t>“</w:t>
            </w:r>
            <w:r>
              <w:rPr>
                <w:rFonts w:ascii="Times New Roman" w:hAnsi="Times New Roman"/>
                <w:b/>
                <w:i/>
                <w:sz w:val="20"/>
              </w:rPr>
              <w:t>Restricted Stock Award</w:t>
            </w:r>
            <w:r>
              <w:rPr>
                <w:rFonts w:ascii="Times New Roman" w:hAnsi="Times New Roman"/>
                <w:sz w:val="20"/>
              </w:rPr>
              <w:t xml:space="preserve">” means an Award of Restricted Stock granted to a Participant under Section 7(d)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(oo)</w:t>
            </w:r>
          </w:p>
        </w:tc>
        <w:tc>
          <w:tcPr>
            <w:tcW w:w="8880" w:type="dxa"/>
            <w:tcBorders/>
          </w:tcPr>
          <w:p>
            <w:pPr>
              <w:pStyle w:val="TableContents"/>
              <w:bidi w:val="0"/>
              <w:spacing w:before="0" w:after="0"/>
              <w:jc w:val="left"/>
              <w:rPr/>
            </w:pPr>
            <w:r>
              <w:rPr/>
              <w:t>“</w:t>
            </w:r>
            <w:r>
              <w:rPr>
                <w:rFonts w:ascii="Times New Roman" w:hAnsi="Times New Roman"/>
                <w:b/>
                <w:i/>
                <w:sz w:val="20"/>
              </w:rPr>
              <w:t>Restricted Stock Unit</w:t>
            </w:r>
            <w:r>
              <w:rPr>
                <w:rFonts w:ascii="Times New Roman" w:hAnsi="Times New Roman"/>
                <w:sz w:val="20"/>
              </w:rPr>
              <w:t xml:space="preserve">” means a right to receive Shares, including Restricted Stock, cash measured based upon the value of Shares or a combination thereof, at the end of a specified deferral period, which right is subject to a risk of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(pp)</w:t>
            </w:r>
          </w:p>
        </w:tc>
        <w:tc>
          <w:tcPr>
            <w:tcW w:w="8880" w:type="dxa"/>
            <w:tcBorders/>
          </w:tcPr>
          <w:p>
            <w:pPr>
              <w:pStyle w:val="TableContents"/>
              <w:bidi w:val="0"/>
              <w:spacing w:before="0" w:after="0"/>
              <w:jc w:val="left"/>
              <w:rPr/>
            </w:pPr>
            <w:r>
              <w:rPr/>
              <w:t>“</w:t>
            </w:r>
            <w:r>
              <w:rPr>
                <w:rFonts w:ascii="Times New Roman" w:hAnsi="Times New Roman"/>
                <w:b/>
                <w:i/>
                <w:sz w:val="20"/>
              </w:rPr>
              <w:t>Restricted Stock Unit Award</w:t>
            </w:r>
            <w:r>
              <w:rPr>
                <w:rFonts w:ascii="Times New Roman" w:hAnsi="Times New Roman"/>
                <w:sz w:val="20"/>
              </w:rPr>
              <w:t xml:space="preserve">” means an Award of Restricted Stock Unit granted to a Participant under Section 7(e)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(qq)</w:t>
            </w:r>
          </w:p>
        </w:tc>
        <w:tc>
          <w:tcPr>
            <w:tcW w:w="8880" w:type="dxa"/>
            <w:tcBorders/>
          </w:tcPr>
          <w:p>
            <w:pPr>
              <w:pStyle w:val="TableContents"/>
              <w:bidi w:val="0"/>
              <w:spacing w:before="0" w:after="0"/>
              <w:jc w:val="left"/>
              <w:rPr/>
            </w:pPr>
            <w:r>
              <w:rPr/>
              <w:t>“</w:t>
            </w:r>
            <w:r>
              <w:rPr>
                <w:rFonts w:ascii="Times New Roman" w:hAnsi="Times New Roman"/>
                <w:b/>
                <w:i/>
                <w:sz w:val="20"/>
              </w:rPr>
              <w:t>Rule 16b-3</w:t>
            </w:r>
            <w:r>
              <w:rPr>
                <w:rFonts w:ascii="Times New Roman" w:hAnsi="Times New Roman"/>
                <w:sz w:val="20"/>
              </w:rPr>
              <w:t xml:space="preserve">” means Rule 16b-3, as from time to time in effect and applicable to the Plan and Participants, promulgated by the Securities and Exchange Commission under Section 16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(rr)</w:t>
            </w:r>
          </w:p>
        </w:tc>
        <w:tc>
          <w:tcPr>
            <w:tcW w:w="8880" w:type="dxa"/>
            <w:tcBorders/>
          </w:tcPr>
          <w:p>
            <w:pPr>
              <w:pStyle w:val="TableContents"/>
              <w:bidi w:val="0"/>
              <w:spacing w:before="0" w:after="0"/>
              <w:jc w:val="left"/>
              <w:rPr/>
            </w:pPr>
            <w:r>
              <w:rPr/>
              <w:t>“</w:t>
            </w:r>
            <w:r>
              <w:rPr>
                <w:rFonts w:ascii="Times New Roman" w:hAnsi="Times New Roman"/>
                <w:b/>
                <w:i/>
                <w:sz w:val="20"/>
              </w:rPr>
              <w:t>Shareholder Approval Date</w:t>
            </w:r>
            <w:r>
              <w:rPr>
                <w:rFonts w:ascii="Times New Roman" w:hAnsi="Times New Roman"/>
                <w:sz w:val="20"/>
              </w:rPr>
              <w:t xml:space="preserve">”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(ss)</w:t>
            </w:r>
          </w:p>
        </w:tc>
        <w:tc>
          <w:tcPr>
            <w:tcW w:w="8880" w:type="dxa"/>
            <w:tcBorders/>
          </w:tcPr>
          <w:p>
            <w:pPr>
              <w:pStyle w:val="TableContents"/>
              <w:bidi w:val="0"/>
              <w:spacing w:before="0" w:after="0"/>
              <w:jc w:val="left"/>
              <w:rPr/>
            </w:pPr>
            <w:r>
              <w:rPr/>
              <w:t>“</w:t>
            </w:r>
            <w:r>
              <w:rPr>
                <w:rFonts w:ascii="Times New Roman" w:hAnsi="Times New Roman"/>
                <w:b/>
                <w:i/>
                <w:sz w:val="20"/>
              </w:rPr>
              <w:t>Shares</w:t>
            </w:r>
            <w:r>
              <w:rPr>
                <w:rFonts w:ascii="Times New Roman" w:hAnsi="Times New Roman"/>
                <w:sz w:val="20"/>
              </w:rPr>
              <w:t xml:space="preserve">” means the shares of common stock of the Company, par value $.01 per share, and such other securities as may be substituted (or resubstituted) for Shares pursuant to Section 10(c)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(tt)</w:t>
            </w:r>
          </w:p>
        </w:tc>
        <w:tc>
          <w:tcPr>
            <w:tcW w:w="8880" w:type="dxa"/>
            <w:tcBorders/>
          </w:tcPr>
          <w:p>
            <w:pPr>
              <w:pStyle w:val="TableContents"/>
              <w:bidi w:val="0"/>
              <w:spacing w:before="0" w:after="0"/>
              <w:jc w:val="left"/>
              <w:rPr/>
            </w:pPr>
            <w:r>
              <w:rPr/>
              <w:t>“</w:t>
            </w:r>
            <w:r>
              <w:rPr>
                <w:rFonts w:ascii="Times New Roman" w:hAnsi="Times New Roman"/>
                <w:b/>
                <w:i/>
                <w:sz w:val="20"/>
              </w:rPr>
              <w:t>Stock Appreciation Right</w:t>
            </w:r>
            <w:r>
              <w:rPr>
                <w:rFonts w:ascii="Times New Roman" w:hAnsi="Times New Roman"/>
                <w:sz w:val="20"/>
              </w:rPr>
              <w:t xml:space="preserve">” means a right granted to a Participant under Section 7(c) 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(uu)</w:t>
            </w:r>
          </w:p>
        </w:tc>
        <w:tc>
          <w:tcPr>
            <w:tcW w:w="8880" w:type="dxa"/>
            <w:tcBorders/>
          </w:tcPr>
          <w:p>
            <w:pPr>
              <w:pStyle w:val="TableContents"/>
              <w:bidi w:val="0"/>
              <w:spacing w:before="0" w:after="0"/>
              <w:jc w:val="left"/>
              <w:rPr/>
            </w:pPr>
            <w:r>
              <w:rPr/>
              <w:t>“</w:t>
            </w:r>
            <w:r>
              <w:rPr>
                <w:rFonts w:ascii="Times New Roman" w:hAnsi="Times New Roman"/>
                <w:b/>
                <w:i/>
                <w:sz w:val="20"/>
              </w:rPr>
              <w:t>Subsidiary</w:t>
            </w:r>
            <w:r>
              <w:rPr>
                <w:rFonts w:ascii="Times New Roman" w:hAnsi="Times New Roman"/>
                <w:sz w:val="20"/>
              </w:rPr>
              <w:t xml:space="preserve">”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(vv)</w:t>
            </w:r>
          </w:p>
        </w:tc>
        <w:tc>
          <w:tcPr>
            <w:tcW w:w="8880" w:type="dxa"/>
            <w:tcBorders/>
          </w:tcPr>
          <w:p>
            <w:pPr>
              <w:pStyle w:val="TableContents"/>
              <w:bidi w:val="0"/>
              <w:spacing w:before="0" w:after="0"/>
              <w:jc w:val="left"/>
              <w:rPr/>
            </w:pPr>
            <w:r>
              <w:rPr/>
              <w:t>“</w:t>
            </w:r>
            <w:r>
              <w:rPr>
                <w:rFonts w:ascii="Times New Roman" w:hAnsi="Times New Roman"/>
                <w:b/>
                <w:i/>
                <w:sz w:val="20"/>
              </w:rPr>
              <w:t>Substitute Awards</w:t>
            </w:r>
            <w:r>
              <w:rPr>
                <w:rFonts w:ascii="Times New Roman" w:hAnsi="Times New Roman"/>
                <w:sz w:val="20"/>
              </w:rPr>
              <w:t xml:space="preserve">”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i/>
              </w:rPr>
            </w:pPr>
            <w:bookmarkStart w:id="225" w:name="tx76201_101"/>
            <w:bookmarkEnd w:id="225"/>
            <w:r>
              <w:rPr>
                <w:b/>
                <w:i/>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Administration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Authority of the Committee</w:t>
            </w:r>
            <w:r>
              <w:rPr>
                <w:rFonts w:ascii="Times New Roman" w:hAnsi="Times New Roman"/>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b.</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Manner of Exercise of Committee Authority</w:t>
            </w:r>
            <w:r>
              <w:rPr>
                <w:rFonts w:ascii="Times New Roman" w:hAnsi="Times New Roman"/>
                <w:sz w:val="20"/>
              </w:rPr>
              <w:t xml:space="preserve">. The Committee, and not the Board, shall exercise sole and exclusive discretion (i) on any matter relating to a Participant then subject to Section 16 of the Exchange Act with respect to the Company to the extent necessary in order that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283"/>
              <w:jc w:val="left"/>
              <w:rPr/>
            </w:pPr>
            <w:r>
              <w:rPr/>
              <w:t xml:space="preserve">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of Liability</w:t>
            </w:r>
            <w:r>
              <w:rPr>
                <w:rFonts w:ascii="Times New Roman" w:hAnsi="Times New Roman"/>
                <w:sz w:val="20"/>
              </w:rPr>
              <w:t xml:space="preserve">.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26" w:name="tx76201_102"/>
            <w:bookmarkEnd w:id="226"/>
            <w:r>
              <w:rPr>
                <w:b/>
                <w:i/>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Shares Subject to Plan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Overall Number of Shares Available for Delivery Under Plan</w:t>
            </w:r>
            <w:r>
              <w:rPr>
                <w:rFonts w:ascii="Times New Roman" w:hAnsi="Times New Roman"/>
                <w:sz w:val="20"/>
              </w:rPr>
              <w:t xml:space="preserve">. Subject to adjustment as provided in Section 10(c) hereof, the aggregate number of Shares reserved and available for delivery under the Plan shall be equal to the sum of (i)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Application of Limitation to Grants of Award</w:t>
            </w:r>
            <w:r>
              <w:rPr>
                <w:rFonts w:ascii="Times New Roman" w:hAnsi="Times New Roman"/>
                <w:sz w:val="20"/>
              </w:rPr>
              <w:t xml:space="preserve">.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Availability of Shares Not Delivered under Awards and Adjustments to Limits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w:t>
            </w:r>
            <w:r>
              <w:rPr>
                <w:rFonts w:ascii="Times New Roman" w:hAnsi="Times New Roman"/>
                <w:b/>
                <w:strike/>
                <w:color w:val="FF0000"/>
                <w:sz w:val="20"/>
              </w:rPr>
              <w:t>1.9</w:t>
            </w:r>
            <w:r>
              <w:rPr>
                <w:rFonts w:ascii="Times New Roman" w:hAnsi="Times New Roman"/>
                <w:b/>
                <w:color w:val="0000FF"/>
                <w:sz w:val="20"/>
                <w:u w:val="single"/>
                <w:bdr w:val="double" w:sz="2" w:space="1" w:color="000000"/>
              </w:rPr>
              <w:t>1.5</w:t>
            </w:r>
            <w:r>
              <w:rPr>
                <w:rFonts w:ascii="Times New Roman" w:hAnsi="Times New Roman"/>
                <w:sz w:val="20"/>
              </w:rPr>
              <w:t xml:space="preserve"> Shares for each Share subject to such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Value Award, and such number of credited Shares may again be made available for Awards under the Plan, subject to Section 4(c)(iv)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4(c) to the contrary but subject to adjustment as provided in Section 10(c) hereof, the maximum aggregate number of Shares that may be delivered under the Plan as a result of the exercise of the Incentive Stock Options shall be </w:t>
            </w:r>
            <w:r>
              <w:rPr>
                <w:rFonts w:ascii="Times New Roman" w:hAnsi="Times New Roman"/>
                <w:b/>
                <w:strike/>
                <w:color w:val="FF0000"/>
                <w:sz w:val="20"/>
              </w:rPr>
              <w:t>20,745,000</w:t>
            </w:r>
            <w:r>
              <w:rPr>
                <w:rFonts w:ascii="Times New Roman" w:hAnsi="Times New Roman"/>
                <w:sz w:val="20"/>
              </w:rPr>
              <w:t xml:space="preserve"> </w:t>
            </w:r>
            <w:r>
              <w:rPr>
                <w:rFonts w:ascii="Times New Roman" w:hAnsi="Times New Roman"/>
                <w:b/>
                <w:color w:val="0000FF"/>
                <w:sz w:val="20"/>
                <w:u w:val="single"/>
                <w:bdr w:val="double" w:sz="2" w:space="1" w:color="000000"/>
              </w:rPr>
              <w:t>34,245,000</w:t>
            </w:r>
            <w:r>
              <w:rPr>
                <w:rFonts w:ascii="Times New Roman" w:hAnsi="Times New Roman"/>
                <w:sz w:val="20"/>
              </w:rPr>
              <w:t xml:space="preserve"> Shares. In no event shall any Incentive Stock Options be granted under the Plan after the tenth anniversary of the date on which the Board adopts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d.</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 Further Awards Under Prior Plan</w:t>
            </w:r>
            <w:r>
              <w:rPr>
                <w:rFonts w:ascii="Times New Roman" w:hAnsi="Times New Roman"/>
                <w:sz w:val="20"/>
              </w:rPr>
              <w:t xml:space="preserve">. No further awards shall be made under the Prior Plan after July 31,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7" w:name="tx76201_103"/>
            <w:bookmarkEnd w:id="227"/>
            <w:r>
              <w:rPr>
                <w:b/>
                <w:i/>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Eligibility</w:t>
            </w:r>
            <w:r>
              <w:rPr>
                <w:rFonts w:ascii="Times New Roman" w:hAnsi="Times New Roman"/>
                <w:b/>
                <w:strike/>
                <w:color w:val="FF0000"/>
                <w:sz w:val="20"/>
              </w:rPr>
              <w:t>; Per-Participant Limitations</w:t>
            </w:r>
            <w:r>
              <w:rPr>
                <w:rFonts w:ascii="Times New Roman" w:hAnsi="Times New Roman"/>
                <w:sz w:val="20"/>
              </w:rPr>
              <w:t xml:space="preserve">. Awards may be granted under the Plan only to Eligible Persons. </w:t>
            </w:r>
            <w:r>
              <w:rPr>
                <w:rFonts w:ascii="Times New Roman" w:hAnsi="Times New Roman"/>
                <w:b/>
                <w:strike/>
                <w:color w:val="FF0000"/>
                <w:sz w:val="20"/>
              </w:rPr>
              <w:t>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r>
              <w:rPr>
                <w:rFonts w:ascii="Times New Roman" w:hAnsi="Times New Roman"/>
                <w:color w:val="FF0000"/>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8" w:name="tx76201_104"/>
            <w:bookmarkEnd w:id="228"/>
            <w:r>
              <w:rPr>
                <w:b/>
                <w:i/>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Vesting Limitations</w:t>
            </w:r>
            <w:r>
              <w:rPr>
                <w:rFonts w:ascii="Times New Roman" w:hAnsi="Times New Roman"/>
                <w:sz w:val="20"/>
              </w:rPr>
              <w:t xml:space="preserve">. Notwithstanding any other provision of the Plan to the contrary, but subject to Section 9 of the Plan, Awards granted under the Plan shall vest no earlier than the first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283"/>
              <w:jc w:val="left"/>
              <w:rPr/>
            </w:pPr>
            <w:r>
              <w:rPr/>
              <w:t xml:space="preserve">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b/>
                <w:i/>
              </w:rPr>
            </w:pPr>
            <w:bookmarkStart w:id="229" w:name="tx76201_105"/>
            <w:bookmarkEnd w:id="229"/>
            <w:r>
              <w:rPr>
                <w:b/>
                <w:i/>
              </w:rPr>
              <w:t>7.</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Specific Terms of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Options</w:t>
            </w:r>
            <w:r>
              <w:rPr>
                <w:rFonts w:ascii="Times New Roman" w:hAnsi="Times New Roman"/>
                <w:sz w:val="20"/>
              </w:rPr>
              <w:t xml:space="preserve">. The Committee is authorized to grant Options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Exercise Price</w:t>
            </w:r>
            <w:r>
              <w:rPr>
                <w:rFonts w:ascii="Times New Roman" w:hAnsi="Times New Roman"/>
                <w:sz w:val="20"/>
              </w:rPr>
              <w:t xml:space="preserve">.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Time and Method of Exercise</w:t>
            </w:r>
            <w:r>
              <w:rPr>
                <w:rFonts w:ascii="Times New Roman" w:hAnsi="Times New Roman"/>
                <w:sz w:val="20"/>
              </w:rPr>
              <w:t xml:space="preserve">. Subject to the maximum term of any Option set forth in Section 8(b),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Form of Settlement</w:t>
            </w:r>
            <w:r>
              <w:rPr>
                <w:rFonts w:ascii="Times New Roman" w:hAnsi="Times New Roman"/>
                <w:sz w:val="20"/>
              </w:rPr>
              <w:t xml:space="preserve">. The Committee may, in its sole discretion, provide that the Shares to be issued upon exercise of an Option shall be in the form of Restricted Stock or other similar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Incentive Stock Options</w:t>
            </w:r>
            <w:r>
              <w:rPr>
                <w:rFonts w:ascii="Times New Roman" w:hAnsi="Times New Roman"/>
                <w:sz w:val="20"/>
              </w:rPr>
              <w:t xml:space="preserve">.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Stock Appreciation Rights</w:t>
            </w:r>
            <w:r>
              <w:rPr>
                <w:rFonts w:ascii="Times New Roman" w:hAnsi="Times New Roman"/>
                <w:sz w:val="20"/>
              </w:rPr>
              <w:t xml:space="preserve">. The Committee may grant Stock Appreciation Rights to any Eligible Person (a “Freestanding Stock Appreciation Right”), upon such terms and conditions as the Committee may establish in its sole discretion, not inconsistent with the provisions of the Plan, including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Right to Payment</w:t>
            </w:r>
            <w:r>
              <w:rPr>
                <w:rFonts w:ascii="Times New Roman" w:hAnsi="Times New Roman"/>
                <w:sz w:val="20"/>
              </w:rPr>
              <w:t xml:space="preserve">. A Stock Appreciation Right shall confer on the Participant to whom it is granted a right to receive, upon exercise thereof, the excess of (A) the Fair Market Value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3"/>
        <w:gridCol w:w="8372"/>
      </w:tblGrid>
      <w:tr>
        <w:trPr/>
        <w:tc>
          <w:tcPr>
            <w:tcW w:w="1833" w:type="dxa"/>
            <w:tcBorders/>
            <w:vAlign w:val="center"/>
          </w:tcPr>
          <w:p>
            <w:pPr>
              <w:pStyle w:val="TableContents"/>
              <w:bidi w:val="0"/>
              <w:spacing w:before="0" w:after="283"/>
              <w:jc w:val="left"/>
              <w:rPr/>
            </w:pPr>
            <w:r>
              <w:rPr/>
              <w:t> </w:t>
            </w:r>
          </w:p>
        </w:tc>
        <w:tc>
          <w:tcPr>
            <w:tcW w:w="8372" w:type="dxa"/>
            <w:tcBorders/>
          </w:tcPr>
          <w:p>
            <w:pPr>
              <w:pStyle w:val="TableContents"/>
              <w:bidi w:val="0"/>
              <w:spacing w:before="0" w:after="283"/>
              <w:jc w:val="left"/>
              <w:rPr/>
            </w:pPr>
            <w:r>
              <w:rPr/>
              <w:t xml:space="preserve">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Terms</w:t>
            </w:r>
            <w:r>
              <w:rPr>
                <w:rFonts w:ascii="Times New Roman" w:hAnsi="Times New Roman"/>
                <w:sz w:val="20"/>
              </w:rPr>
              <w:t xml:space="preserve">. Subject to the maximum term of any Stock Appreciation Right set forth in Section 8(b),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Restricted Stock Awards</w:t>
            </w:r>
            <w:r>
              <w:rPr>
                <w:rFonts w:ascii="Times New Roman" w:hAnsi="Times New Roman"/>
                <w:sz w:val="20"/>
              </w:rPr>
              <w:t xml:space="preserve">. The Committee is authorized to grant Restricted Stock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Grant and Restrictions</w:t>
            </w:r>
            <w:r>
              <w:rPr>
                <w:rFonts w:ascii="Times New Roman" w:hAnsi="Times New Roman"/>
                <w:sz w:val="20"/>
              </w:rPr>
              <w:t xml:space="preserve">.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Certificates for Stock</w:t>
            </w:r>
            <w:r>
              <w:rPr>
                <w:rFonts w:ascii="Times New Roman" w:hAnsi="Times New Roman"/>
                <w:sz w:val="20"/>
              </w:rPr>
              <w:t xml:space="preserve">.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Dividends and Splits</w:t>
            </w:r>
            <w:r>
              <w:rPr>
                <w:rFonts w:ascii="Times New Roman" w:hAnsi="Times New Roman"/>
                <w:sz w:val="20"/>
              </w:rPr>
              <w:t xml:space="preserve">. As a condition to the grant of a Restricted Stock Award, the Committee may require or permit a Participant to elect that any cash dividends paid on a Share of Restricted Stock be automatically reinvested in 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e.</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Deferred Award</w:t>
            </w:r>
            <w:r>
              <w:rPr>
                <w:rFonts w:ascii="Times New Roman" w:hAnsi="Times New Roman"/>
                <w:sz w:val="20"/>
              </w:rPr>
              <w:t xml:space="preserve">. The Committee is authorized to grant “Deferred Awards,” which include Deferred Stock and Restricted Stock Unit Awards, to any Eligible Person on the following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and Restrictions</w:t>
            </w:r>
            <w:r>
              <w:rPr>
                <w:rFonts w:ascii="Times New Roman" w:hAnsi="Times New Roman"/>
                <w:sz w:val="20"/>
              </w:rPr>
              <w:t xml:space="preserve">.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b/>
                <w:i/>
                <w:sz w:val="20"/>
              </w:rPr>
              <w:t>Forfeiture</w:t>
            </w:r>
            <w:r>
              <w:rPr>
                <w:rFonts w:ascii="Times New Roman" w:hAnsi="Times New Roman"/>
                <w:sz w:val="20"/>
              </w:rPr>
              <w:t xml:space="preserve">.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 xml:space="preserve">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Bonus Stock and Awards in Lieu of Obligations</w:t>
            </w:r>
            <w:r>
              <w:rPr>
                <w:rFonts w:ascii="Times New Roman" w:hAnsi="Times New Roman"/>
                <w:sz w:val="20"/>
              </w:rPr>
              <w:t xml:space="preserve">.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Dividend Equivalents</w:t>
            </w:r>
            <w:r>
              <w:rPr>
                <w:rFonts w:ascii="Times New Roman" w:hAnsi="Times New Roman"/>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h.</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Performance Awards</w:t>
            </w:r>
            <w:r>
              <w:rPr>
                <w:rFonts w:ascii="Times New Roman" w:hAnsi="Times New Roman"/>
                <w:sz w:val="20"/>
              </w:rPr>
              <w:t>. The Committee is authorized to grant Performance Awards to any Eligible Person payable in cash, Shares, or other Awards, on terms and conditions established by the Committee.</w:t>
            </w:r>
            <w:r>
              <w:rPr>
                <w:rFonts w:ascii="Times New Roman" w:hAnsi="Times New Roman"/>
                <w:color w:val="0000FF"/>
                <w:sz w:val="20"/>
                <w:u w:val="single"/>
                <w:bdr w:val="double" w:sz="2" w:space="1" w:color="000000"/>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criteria to be achieved during any Performance Period and the length of the Performance Period shall be determined by the Committee upon the grant of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283"/>
              <w:jc w:val="left"/>
              <w:rPr/>
            </w:pPr>
            <w:r>
              <w:rPr/>
              <w:t xml:space="preserve">Performance Award. The Committee shall determine the circumstances in which Awards shall be paid, if at all, or forfeited in the event of termination of Continuous Service by the Participant prior to the end of a Performance Period or settlement of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7"/>
        <w:gridCol w:w="508"/>
        <w:gridCol w:w="8370"/>
      </w:tblGrid>
      <w:tr>
        <w:trPr/>
        <w:tc>
          <w:tcPr>
            <w:tcW w:w="132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Except as</w:t>
            </w:r>
            <w:r>
              <w:rPr>
                <w:rFonts w:ascii="Times New Roman" w:hAnsi="Times New Roman"/>
                <w:strike/>
                <w:color w:val="FF0000"/>
                <w:sz w:val="20"/>
              </w:rPr>
              <w:t>-</w:t>
            </w:r>
            <w:r>
              <w:rPr>
                <w:rFonts w:ascii="Times New Roman" w:hAnsi="Times New Roman"/>
                <w:sz w:val="20"/>
              </w:rPr>
              <w:t xml:space="preserve">may be provided in an Award Agreement, Performance Awards will be distributed or settled only after the end of the relevant Performance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Stock-Based Awards</w:t>
            </w:r>
            <w:r>
              <w:rPr>
                <w:rFonts w:ascii="Times New Roman" w:hAnsi="Times New Roman"/>
                <w:sz w:val="20"/>
              </w:rPr>
              <w:t xml:space="preserve">.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b/>
                <w:i/>
              </w:rPr>
            </w:pPr>
            <w:bookmarkStart w:id="230" w:name="tx76201_106"/>
            <w:bookmarkEnd w:id="230"/>
            <w:r>
              <w:rPr>
                <w:b/>
                <w:i/>
              </w:rPr>
              <w:t>8.</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b/>
                <w:i/>
                <w:sz w:val="20"/>
              </w:rPr>
              <w:t>Certain Provisions Applicable to Awards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Stand-Alone, Additional, Tandem, and Substitute Awards</w:t>
            </w:r>
            <w:r>
              <w:rPr>
                <w:rFonts w:ascii="Times New Roman" w:hAnsi="Times New Roman"/>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Term of Awards</w:t>
            </w:r>
            <w:r>
              <w:rPr>
                <w:rFonts w:ascii="Times New Roman" w:hAnsi="Times New Roman"/>
                <w:sz w:val="20"/>
              </w:rPr>
              <w:t xml:space="preserve">.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9"/>
        <w:gridCol w:w="8879"/>
      </w:tblGrid>
      <w:tr>
        <w:trPr/>
        <w:tc>
          <w:tcPr>
            <w:tcW w:w="917"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b/>
                <w:i/>
              </w:rPr>
            </w:pPr>
            <w:r>
              <w:rPr>
                <w:b/>
                <w:i/>
              </w:rPr>
              <w:t>c.</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Form and Timing of Payment Under Awards; Deferrals</w:t>
            </w:r>
            <w:r>
              <w:rPr>
                <w:rFonts w:ascii="Times New Roman" w:hAnsi="Times New Roman"/>
                <w:sz w:val="20"/>
              </w:rPr>
              <w:t xml:space="preserve">.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Exemptions from Section</w:t>
            </w:r>
            <w:r>
              <w:rPr>
                <w:rFonts w:ascii="Times New Roman" w:hAnsi="Times New Roman"/>
                <w:sz w:val="20"/>
              </w:rPr>
              <w:t> </w:t>
            </w:r>
            <w:r>
              <w:rPr>
                <w:rFonts w:ascii="Times New Roman" w:hAnsi="Times New Roman"/>
                <w:b/>
                <w:i/>
                <w:sz w:val="20"/>
              </w:rPr>
              <w:t>16(b) Liability</w:t>
            </w:r>
            <w:r>
              <w:rPr>
                <w:rFonts w:ascii="Times New Roman" w:hAnsi="Times New Roman"/>
                <w:sz w:val="20"/>
              </w:rPr>
              <w:t xml:space="preserve">.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Code 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The following provisions shall apply to any Award that is or may potentially be subject to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Award Agreement for any Award that the Committee reasonably determines to constitute a “non-qualified deferred compensation plan” under Section 409A of the Code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4"/>
        <w:gridCol w:w="8371"/>
      </w:tblGrid>
      <w:tr>
        <w:trPr/>
        <w:tc>
          <w:tcPr>
            <w:tcW w:w="1834" w:type="dxa"/>
            <w:tcBorders/>
            <w:vAlign w:val="center"/>
          </w:tcPr>
          <w:p>
            <w:pPr>
              <w:pStyle w:val="TableContents"/>
              <w:bidi w:val="0"/>
              <w:spacing w:before="0" w:after="283"/>
              <w:jc w:val="left"/>
              <w:rPr/>
            </w:pPr>
            <w:r>
              <w:rPr/>
              <w:t> </w:t>
            </w:r>
          </w:p>
        </w:tc>
        <w:tc>
          <w:tcPr>
            <w:tcW w:w="8371" w:type="dxa"/>
            <w:tcBorders/>
          </w:tcPr>
          <w:p>
            <w:pPr>
              <w:pStyle w:val="TableContents"/>
              <w:bidi w:val="0"/>
              <w:spacing w:before="0" w:after="283"/>
              <w:jc w:val="left"/>
              <w:rPr/>
            </w:pPr>
            <w:r>
              <w:rPr/>
              <w:t>“</w:t>
            </w:r>
            <w:r>
              <w:rPr/>
              <w:t xml:space="preserve">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Award constitutes a Section 409A Plan, then the Award shall be subject to the following additional requirements, if and to the extent required to comply with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or schedule for any payment of the deferred compensation may not be accelerated, except to the extent provided in applicable Treasury Regulations or other applicable guidance issued by the Internal Revenue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elections with respect to the deferral of such compensation or the time and form of distribution of such deferred compensation shall comply with the requirements of Section 409A(a)(4)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D.</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Participant who is “specified employee”, a distribution on account of a “separation from service” may not be made before the date which is six months after the date of the Participant’s “separation from service” (or, if earlier, the date of the Participant’s death).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f.</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Clawback of Certain Compensation and Benefits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7"/>
        <w:gridCol w:w="8368"/>
      </w:tblGrid>
      <w:tr>
        <w:trPr/>
        <w:tc>
          <w:tcPr>
            <w:tcW w:w="1837" w:type="dxa"/>
            <w:tcBorders/>
            <w:vAlign w:val="center"/>
          </w:tcPr>
          <w:p>
            <w:pPr>
              <w:pStyle w:val="TableContents"/>
              <w:bidi w:val="0"/>
              <w:spacing w:before="0" w:after="283"/>
              <w:jc w:val="left"/>
              <w:rPr/>
            </w:pPr>
            <w:r>
              <w:rPr/>
              <w:t> </w:t>
            </w:r>
          </w:p>
        </w:tc>
        <w:tc>
          <w:tcPr>
            <w:tcW w:w="8368" w:type="dxa"/>
            <w:tcBorders/>
          </w:tcPr>
          <w:p>
            <w:pPr>
              <w:pStyle w:val="TableContents"/>
              <w:bidi w:val="0"/>
              <w:spacing w:before="0" w:after="283"/>
              <w:jc w:val="left"/>
              <w:rPr/>
            </w:pPr>
            <w:r>
              <w:rPr/>
              <w:t>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w:t>
            </w:r>
            <w:r>
              <w:rPr>
                <w:strike/>
                <w:color w:val="FF0000"/>
              </w:rPr>
              <w:t>s</w:t>
            </w:r>
            <w:r>
              <w:rPr/>
              <w:t xml:space="preserve">) may be unilaterally amended by the Company, without the Participant’s consent, to the extent that the Company in its discretion determines to be necessary or appropriate to comply with any Clawback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1" w:name="tx76201_107"/>
            <w:bookmarkEnd w:id="231"/>
            <w:r>
              <w:rPr>
                <w:b/>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Effect of “Change in Control”</w:t>
            </w:r>
            <w:r>
              <w:rPr>
                <w:rFonts w:ascii="Times New Roman" w:hAnsi="Times New Roman"/>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5"/>
        <w:gridCol w:w="8880"/>
      </w:tblGrid>
      <w:tr>
        <w:trPr/>
        <w:tc>
          <w:tcPr>
            <w:tcW w:w="1325" w:type="dxa"/>
            <w:tcBorders/>
            <w:vAlign w:val="center"/>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in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Definition of “Change in Control”</w:t>
            </w:r>
            <w:r>
              <w:rPr>
                <w:rFonts w:ascii="Times New Roman" w:hAnsi="Times New Roman"/>
                <w:sz w:val="20"/>
              </w:rPr>
              <w:t xml:space="preserve">. Unless otherwise specified in any employment or other agreement for services between the Participant and the Company or any Subsidiary, or in an Award Agreement, a “Change in Control” shall mean the occurrence of any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835"/>
        <w:gridCol w:w="8370"/>
      </w:tblGrid>
      <w:tr>
        <w:trPr/>
        <w:tc>
          <w:tcPr>
            <w:tcW w:w="1835" w:type="dxa"/>
            <w:tcBorders/>
            <w:vAlign w:val="center"/>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by the shareholders of the Company of a complete liquidation or dissolution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b/>
              </w:rPr>
            </w:pPr>
            <w:bookmarkStart w:id="232" w:name="tx76201_108"/>
            <w:bookmarkEnd w:id="232"/>
            <w:r>
              <w:rPr>
                <w:b/>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Provisions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Compliance With Legal and Other Requirements</w:t>
            </w:r>
            <w:r>
              <w:rPr>
                <w:rFonts w:ascii="Times New Roman" w:hAnsi="Times New Roman"/>
                <w:sz w:val="20"/>
              </w:rPr>
              <w:t xml:space="preserve">.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Limits on Transferability; Beneficiaries</w:t>
            </w:r>
            <w:r>
              <w:rPr>
                <w:rFonts w:ascii="Times New Roman" w:hAnsi="Times New Roman"/>
                <w:sz w:val="20"/>
              </w:rPr>
              <w:t xml:space="preserve">.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283"/>
              <w:jc w:val="left"/>
              <w:rPr/>
            </w:pPr>
            <w:r>
              <w:rPr/>
              <w:t xml:space="preserve">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1"/>
        <w:gridCol w:w="8370"/>
      </w:tblGrid>
      <w:tr>
        <w:trPr/>
        <w:tc>
          <w:tcPr>
            <w:tcW w:w="1324"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i/>
              </w:rPr>
            </w:pPr>
            <w:r>
              <w:rPr>
                <w:i/>
              </w:rPr>
              <w:t>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to Awards</w:t>
            </w:r>
            <w:r>
              <w:rPr>
                <w:rFonts w:ascii="Times New Roman" w:hAnsi="Times New Roman"/>
                <w:sz w:val="20"/>
              </w:rPr>
              <w:t xml:space="preserve">.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i/>
              </w:rPr>
            </w:pPr>
            <w:r>
              <w:rPr>
                <w:i/>
              </w:rPr>
              <w:t>ii.</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Adjustments in Case of Certain Transactions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of any merger, consolidation or other reorganization in which the Company does not survive, or in the event of any Change in Control (and subject to the provisions of Section 9of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2"/>
        <w:gridCol w:w="7963"/>
      </w:tblGrid>
      <w:tr>
        <w:trPr/>
        <w:tc>
          <w:tcPr>
            <w:tcW w:w="2242" w:type="dxa"/>
            <w:tcBorders/>
            <w:vAlign w:val="center"/>
          </w:tcPr>
          <w:p>
            <w:pPr>
              <w:pStyle w:val="TableContents"/>
              <w:bidi w:val="0"/>
              <w:spacing w:before="0" w:after="283"/>
              <w:jc w:val="left"/>
              <w:rPr/>
            </w:pPr>
            <w:r>
              <w:rPr/>
              <w:t> </w:t>
            </w:r>
          </w:p>
        </w:tc>
        <w:tc>
          <w:tcPr>
            <w:tcW w:w="7963" w:type="dxa"/>
            <w:tcBorders/>
          </w:tcPr>
          <w:p>
            <w:pPr>
              <w:pStyle w:val="TableContents"/>
              <w:bidi w:val="0"/>
              <w:spacing w:before="0" w:after="283"/>
              <w:jc w:val="left"/>
              <w:rPr/>
            </w:pPr>
            <w:r>
              <w:rPr/>
              <w:t xml:space="preserve">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his/her exercise of any Awards upon the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iii.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Adjustments</w:t>
            </w:r>
            <w:r>
              <w:rPr>
                <w:rFonts w:ascii="Times New Roman" w:hAnsi="Times New Roman"/>
                <w:sz w:val="20"/>
              </w:rPr>
              <w:t xml:space="preserve">.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Award Agreements</w:t>
            </w:r>
            <w:r>
              <w:rPr>
                <w:rFonts w:ascii="Times New Roman" w:hAnsi="Times New Roman"/>
                <w:sz w:val="20"/>
              </w:rPr>
              <w:t xml:space="preserve">.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Taxes</w:t>
            </w:r>
            <w:r>
              <w:rPr>
                <w:rFonts w:ascii="Times New Roman" w:hAnsi="Times New Roman"/>
                <w:sz w:val="20"/>
              </w:rPr>
              <w:t xml:space="preserve">. The Company and any Related Entity are authorized to withhold from any Award granted, any payment relating to an Award under the Plan, including from a distribution of Shares, or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b/>
                <w:i/>
              </w:rPr>
            </w:pPr>
            <w:r>
              <w:rPr>
                <w:b/>
                <w:i/>
              </w:rPr>
              <w:t>f.</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Changes to the Plan and Awards</w:t>
            </w:r>
            <w:r>
              <w:rPr>
                <w:rFonts w:ascii="Times New Roman" w:hAnsi="Times New Roman"/>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g.</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Limitation on Rights Conferred Under Plan</w:t>
            </w:r>
            <w:r>
              <w:rPr>
                <w:rFonts w:ascii="Times New Roman" w:hAnsi="Times New Roman"/>
                <w:sz w:val="20"/>
              </w:rPr>
              <w:t xml:space="preserve">.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h.</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Unfunded Status of Awards; Creation of Trusts</w:t>
            </w:r>
            <w:r>
              <w:rPr>
                <w:rFonts w:ascii="Times New Roman" w:hAnsi="Times New Roman"/>
                <w:sz w:val="20"/>
              </w:rPr>
              <w:t xml:space="preserve">.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3"/>
        <w:gridCol w:w="8882"/>
      </w:tblGrid>
      <w:tr>
        <w:trPr/>
        <w:tc>
          <w:tcPr>
            <w:tcW w:w="1323" w:type="dxa"/>
            <w:tcBorders/>
            <w:vAlign w:val="center"/>
          </w:tcPr>
          <w:p>
            <w:pPr>
              <w:pStyle w:val="TableContents"/>
              <w:bidi w:val="0"/>
              <w:spacing w:before="0" w:after="283"/>
              <w:jc w:val="left"/>
              <w:rPr/>
            </w:pPr>
            <w:r>
              <w:rPr/>
              <w:t> </w:t>
            </w:r>
          </w:p>
        </w:tc>
        <w:tc>
          <w:tcPr>
            <w:tcW w:w="8882" w:type="dxa"/>
            <w:tcBorders/>
          </w:tcPr>
          <w:p>
            <w:pPr>
              <w:pStyle w:val="TableContents"/>
              <w:bidi w:val="0"/>
              <w:spacing w:before="0" w:after="283"/>
              <w:jc w:val="left"/>
              <w:rPr/>
            </w:pPr>
            <w:r>
              <w:rPr/>
              <w:t xml:space="preserve">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Nonexclusivity of the Plan</w:t>
            </w:r>
            <w:r>
              <w:rPr>
                <w:rFonts w:ascii="Times New Roman" w:hAnsi="Times New Roman"/>
                <w:sz w:val="20"/>
              </w:rPr>
              <w:t xml:space="preserve">. Neither the adoption of the Plan by the Board nor its submission to the shareholders of the Company for approval shall be construed as creating any limitations on the power of the Board or a committee thereof to adopt such other incentive arrangements as it may deem desirable.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j.</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Payments in the Event of Forfeitures; Fractional Shares</w:t>
            </w:r>
            <w:r>
              <w:rPr>
                <w:rFonts w:ascii="Times New Roman" w:hAnsi="Times New Roman"/>
                <w:sz w:val="20"/>
              </w:rPr>
              <w:t xml:space="preserve">.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k.</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Governing Law</w:t>
            </w:r>
            <w:r>
              <w:rPr>
                <w:rFonts w:ascii="Times New Roman" w:hAnsi="Times New Roman"/>
                <w:sz w:val="20"/>
              </w:rPr>
              <w:t xml:space="preserve">.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7"/>
        <w:gridCol w:w="8882"/>
      </w:tblGrid>
      <w:tr>
        <w:trPr/>
        <w:tc>
          <w:tcPr>
            <w:tcW w:w="91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l.</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Non-U.S. Laws</w:t>
            </w:r>
            <w:r>
              <w:rPr>
                <w:rFonts w:ascii="Times New Roman" w:hAnsi="Times New Roman"/>
                <w:sz w:val="20"/>
              </w:rPr>
              <w:t xml:space="preserve">.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m.</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Plan Effective Date and Shareholder Approval; Termination of Plan</w:t>
            </w:r>
            <w:r>
              <w:rPr>
                <w:rFonts w:ascii="Times New Roman" w:hAnsi="Times New Roman"/>
                <w:sz w:val="20"/>
              </w:rPr>
              <w:t xml:space="preserve">. The Plan shall </w:t>
            </w:r>
            <w:r>
              <w:rPr>
                <w:rFonts w:ascii="Times New Roman" w:hAnsi="Times New Roman"/>
                <w:sz w:val="20"/>
                <w:u w:val="single"/>
              </w:rPr>
              <w:t>become effective on the Effective Date</w:t>
            </w:r>
            <w:r>
              <w:rPr>
                <w:rFonts w:ascii="Times New Roman" w:hAnsi="Times New Roman"/>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i/>
              </w:rPr>
            </w:pPr>
            <w:r>
              <w:rPr>
                <w:b/>
                <w:i/>
              </w:rPr>
              <w:t>n.</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Construction and Interpretation</w:t>
            </w:r>
            <w:r>
              <w:rPr>
                <w:rFonts w:ascii="Times New Roman" w:hAnsi="Times New Roman"/>
                <w:sz w:val="20"/>
              </w:rPr>
              <w:t xml:space="preserve">. Whenever used herein, nouns in the singular shall include the plural, and the masculine pronoun shall include the feminine gender. Headings of Articles and Sections hereof are inserted for convenience and reference and constitute no part of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i/>
              </w:rPr>
            </w:pPr>
            <w:r>
              <w:rPr>
                <w:b/>
                <w:i/>
              </w:rPr>
              <w:t>o.</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b/>
                <w:i/>
                <w:sz w:val="20"/>
              </w:rPr>
              <w:t>Severability</w:t>
            </w:r>
            <w:r>
              <w:rPr>
                <w:rFonts w:ascii="Times New Roman" w:hAnsi="Times New Roman"/>
                <w:sz w:val="20"/>
              </w:rPr>
              <w:t xml:space="preserve">.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986"/>
        <w:gridCol w:w="121"/>
        <w:gridCol w:w="5098"/>
      </w:tblGrid>
      <w:tr>
        <w:trPr/>
        <w:tc>
          <w:tcPr>
            <w:tcW w:w="49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98" w:type="dxa"/>
            <w:tcBorders/>
            <w:vAlign w:val="center"/>
          </w:tcPr>
          <w:p>
            <w:pPr>
              <w:pStyle w:val="TableContents"/>
              <w:bidi w:val="0"/>
              <w:spacing w:before="0" w:after="283"/>
              <w:jc w:val="left"/>
              <w:rPr>
                <w:sz w:val="4"/>
                <w:szCs w:val="4"/>
              </w:rPr>
            </w:pPr>
            <w:r>
              <w:rPr>
                <w:sz w:val="4"/>
                <w:szCs w:val="4"/>
              </w:rPr>
            </w:r>
          </w:p>
        </w:tc>
      </w:tr>
      <w:tr>
        <w:trPr/>
        <w:tc>
          <w:tcPr>
            <w:tcW w:w="498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50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Notice of Special Meeting of</w:t>
            </w:r>
          </w:p>
          <w:p>
            <w:pPr>
              <w:pStyle w:val="TableContents"/>
              <w:bidi w:val="0"/>
              <w:spacing w:before="0" w:after="0"/>
              <w:jc w:val="left"/>
              <w:rPr>
                <w:rFonts w:ascii="Times New Roman" w:hAnsi="Times New Roman"/>
                <w:b/>
                <w:sz w:val="20"/>
              </w:rPr>
            </w:pPr>
            <w:r>
              <w:rPr>
                <w:rFonts w:ascii="Times New Roman" w:hAnsi="Times New Roman"/>
                <w:b/>
                <w:sz w:val="20"/>
              </w:rPr>
              <w:t>Stockholders and Proxy Statement</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w:t>
            </w:r>
            <w:r>
              <w:rPr>
                <w:rFonts w:ascii="Times New Roman" w:hAnsi="Times New Roman"/>
                <w:sz w:val="20"/>
              </w:rPr>
              <w:t>●</w:t>
            </w:r>
            <w:r>
              <w:rPr>
                <w:rFonts w:ascii="Times New Roman" w:hAnsi="Times New Roman"/>
                <w:b/>
                <w:sz w:val="20"/>
              </w:rPr>
              <w:t>], 2026</w:t>
            </w:r>
          </w:p>
          <w:p>
            <w:pPr>
              <w:pStyle w:val="TableContents"/>
              <w:bidi w:val="0"/>
              <w:spacing w:before="0" w:after="0"/>
              <w:jc w:val="left"/>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A.M. Eastern Time</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Destination XL Group, Inc.</w:t>
            </w:r>
          </w:p>
          <w:p>
            <w:pPr>
              <w:pStyle w:val="TableContents"/>
              <w:bidi w:val="0"/>
              <w:spacing w:before="0" w:after="0"/>
              <w:jc w:val="left"/>
              <w:rPr>
                <w:rFonts w:ascii="Times New Roman" w:hAnsi="Times New Roman"/>
                <w:b/>
                <w:sz w:val="20"/>
              </w:rPr>
            </w:pPr>
            <w:r>
              <w:rPr>
                <w:rFonts w:ascii="Times New Roman" w:hAnsi="Times New Roman"/>
                <w:b/>
                <w:sz w:val="20"/>
              </w:rPr>
              <w:t>555 Turnpike Street</w:t>
            </w:r>
          </w:p>
          <w:p>
            <w:pPr>
              <w:pStyle w:val="TableContents"/>
              <w:bidi w:val="0"/>
              <w:spacing w:before="0" w:after="0"/>
              <w:jc w:val="left"/>
              <w:rPr>
                <w:rFonts w:ascii="Times New Roman" w:hAnsi="Times New Roman"/>
                <w:b/>
                <w:sz w:val="20"/>
              </w:rPr>
            </w:pPr>
            <w:r>
              <w:rPr>
                <w:rFonts w:ascii="Times New Roman" w:hAnsi="Times New Roman"/>
                <w:b/>
                <w:sz w:val="20"/>
              </w:rPr>
              <w:t>Canton, Massachusetts 02021</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Please sign your proxy and</w:t>
            </w:r>
          </w:p>
          <w:p>
            <w:pPr>
              <w:pStyle w:val="TableContents"/>
              <w:bidi w:val="0"/>
              <w:spacing w:before="0" w:after="0"/>
              <w:jc w:val="left"/>
              <w:rPr>
                <w:rFonts w:ascii="Times New Roman" w:hAnsi="Times New Roman"/>
                <w:b/>
                <w:sz w:val="20"/>
              </w:rPr>
            </w:pPr>
            <w:r>
              <w:rPr>
                <w:rFonts w:ascii="Times New Roman" w:hAnsi="Times New Roman"/>
                <w:b/>
                <w:sz w:val="20"/>
              </w:rPr>
              <w:t>return it in the enclosed</w:t>
            </w:r>
          </w:p>
          <w:p>
            <w:pPr>
              <w:pStyle w:val="TableContents"/>
              <w:bidi w:val="0"/>
              <w:spacing w:before="0" w:after="0"/>
              <w:jc w:val="left"/>
              <w:rPr>
                <w:rFonts w:ascii="Times New Roman" w:hAnsi="Times New Roman"/>
                <w:b/>
                <w:sz w:val="20"/>
              </w:rPr>
            </w:pPr>
            <w:r>
              <w:rPr>
                <w:rFonts w:ascii="Times New Roman" w:hAnsi="Times New Roman"/>
                <w:b/>
                <w:sz w:val="20"/>
              </w:rPr>
              <w:t>postage-paid envelope so</w:t>
            </w:r>
          </w:p>
          <w:p>
            <w:pPr>
              <w:pStyle w:val="TableContents"/>
              <w:bidi w:val="0"/>
              <w:spacing w:before="0" w:after="0"/>
              <w:jc w:val="left"/>
              <w:rPr>
                <w:rFonts w:ascii="Times New Roman" w:hAnsi="Times New Roman"/>
                <w:b/>
                <w:sz w:val="20"/>
              </w:rPr>
            </w:pPr>
            <w:r>
              <w:rPr>
                <w:rFonts w:ascii="Times New Roman" w:hAnsi="Times New Roman"/>
                <w:b/>
                <w:sz w:val="20"/>
              </w:rPr>
              <w:t>that you may be represented</w:t>
            </w:r>
          </w:p>
          <w:p>
            <w:pPr>
              <w:pStyle w:val="TableContents"/>
              <w:bidi w:val="0"/>
              <w:spacing w:before="0" w:after="20"/>
              <w:jc w:val="left"/>
              <w:rPr>
                <w:rFonts w:ascii="Times New Roman" w:hAnsi="Times New Roman"/>
                <w:b/>
                <w:sz w:val="20"/>
              </w:rPr>
            </w:pPr>
            <w:r>
              <w:rPr>
                <w:rFonts w:ascii="Times New Roman" w:hAnsi="Times New Roman"/>
                <w:b/>
                <w:sz w:val="20"/>
              </w:rPr>
              <w:t>at the Special Meeting.</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OF </w:t>
      </w:r>
    </w:p>
    <w:p>
      <w:pPr>
        <w:pStyle w:val="TextBody"/>
        <w:bidi w:val="0"/>
        <w:spacing w:before="0" w:after="0"/>
        <w:jc w:val="center"/>
        <w:rPr>
          <w:rFonts w:ascii="Times New Roman" w:hAnsi="Times New Roman"/>
          <w:sz w:val="20"/>
        </w:rPr>
      </w:pPr>
      <w:r>
        <w:rPr>
          <w:rFonts w:ascii="Times New Roman" w:hAnsi="Times New Roman"/>
          <w:sz w:val="20"/>
        </w:rPr>
        <w:t xml:space="preserve">DESTINATION XL GROUP, INC. </w:t>
      </w:r>
    </w:p>
    <w:p>
      <w:pPr>
        <w:pStyle w:val="TextBody"/>
        <w:bidi w:val="0"/>
        <w:spacing w:before="0" w:after="0"/>
        <w:jc w:val="center"/>
        <w:rPr>
          <w:rFonts w:ascii="Times New Roman" w:hAnsi="Times New Roman"/>
          <w:sz w:val="20"/>
        </w:rPr>
      </w:pPr>
      <w:r>
        <w:rPr>
          <w:rFonts w:ascii="Times New Roman" w:hAnsi="Times New Roman"/>
          <w:b/>
          <w:sz w:val="20"/>
        </w:rPr>
        <w:t>[</w:t>
      </w:r>
      <w:r>
        <w:rPr>
          <w:rFonts w:ascii="Times New Roman" w:hAnsi="Times New Roman"/>
          <w:sz w:val="20"/>
        </w:rPr>
        <w:t>●</w:t>
      </w:r>
      <w:r>
        <w:rPr>
          <w:rFonts w:ascii="Times New Roman" w:hAnsi="Times New Roman"/>
          <w:b/>
          <w:sz w:val="20"/>
        </w:rPr>
        <w:t xml:space="preserve">], 2026 </w:t>
      </w:r>
    </w:p>
    <w:p>
      <w:pPr>
        <w:pStyle w:val="TextBody"/>
        <w:bidi w:val="0"/>
        <w:spacing w:before="240" w:after="0"/>
        <w:jc w:val="center"/>
        <w:rPr>
          <w:rFonts w:ascii="Times New Roman" w:hAnsi="Times New Roman"/>
          <w:b/>
          <w:sz w:val="20"/>
        </w:rPr>
      </w:pPr>
      <w:r>
        <w:rPr>
          <w:rFonts w:ascii="Times New Roman" w:hAnsi="Times New Roman"/>
          <w:b/>
          <w:sz w:val="20"/>
        </w:rPr>
        <w:t xml:space="preserve">GO GREEN </w:t>
      </w:r>
    </w:p>
    <w:p>
      <w:pPr>
        <w:pStyle w:val="TextBody"/>
        <w:bidi w:val="0"/>
        <w:spacing w:before="120" w:after="0"/>
        <w:jc w:val="center"/>
        <w:rPr>
          <w:rFonts w:ascii="Times New Roman" w:hAnsi="Times New Roman"/>
          <w:sz w:val="20"/>
        </w:rPr>
      </w:pPr>
      <w:r>
        <w:rPr>
          <w:rFonts w:ascii="Times New Roman" w:hAnsi="Times New Roman"/>
          <w:sz w:val="20"/>
        </w:rPr>
        <w:t xml:space="preserve">e-consent makes it easy to go paperless. With e-consent, you can quickly access your proxy material, statements and other eligible documents online, while reducing costs, clutter and paper waste. Enroll today via </w:t>
      </w:r>
      <w:r>
        <w:rPr>
          <w:rFonts w:ascii="Times New Roman" w:hAnsi="Times New Roman"/>
          <w:sz w:val="20"/>
          <w:u w:val="single"/>
        </w:rPr>
        <w:t>www.astfinancial.com</w:t>
      </w:r>
      <w:r>
        <w:rPr>
          <w:rFonts w:ascii="Times New Roman" w:hAnsi="Times New Roman"/>
          <w:sz w:val="20"/>
        </w:rPr>
        <w:t xml:space="preserve"> to enjoy online access. </w:t>
      </w:r>
    </w:p>
    <w:p>
      <w:pPr>
        <w:pStyle w:val="TextBody"/>
        <w:bidi w:val="0"/>
        <w:spacing w:before="240" w:after="0"/>
        <w:jc w:val="center"/>
        <w:rPr>
          <w:rFonts w:ascii="Times New Roman" w:hAnsi="Times New Roman"/>
          <w:sz w:val="20"/>
        </w:rPr>
      </w:pPr>
      <w:r>
        <w:rPr>
          <w:rFonts w:ascii="Times New Roman" w:hAnsi="Times New Roman"/>
          <w:sz w:val="20"/>
          <w:u w:val="single"/>
        </w:rPr>
        <w:t>Important Notice Regarding Internet Availability of Proxy Materials for the Special Meeting of Stockholders to be Held on [], 2026</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The Proxy Statement is available at </w:t>
      </w:r>
      <w:r>
        <w:rPr>
          <w:rFonts w:ascii="Times New Roman" w:hAnsi="Times New Roman"/>
          <w:sz w:val="20"/>
          <w:u w:val="single"/>
        </w:rPr>
        <w:t>https://investor.dxl.com/financial-information/annual-reports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PLEASE SIGN, DATE AND MAIL </w:t>
      </w:r>
    </w:p>
    <w:p>
      <w:pPr>
        <w:pStyle w:val="TextBody"/>
        <w:bidi w:val="0"/>
        <w:spacing w:before="0" w:after="0"/>
        <w:jc w:val="center"/>
        <w:rPr>
          <w:rFonts w:ascii="Times New Roman" w:hAnsi="Times New Roman"/>
          <w:sz w:val="20"/>
        </w:rPr>
      </w:pPr>
      <w:r>
        <w:rPr>
          <w:rFonts w:ascii="Times New Roman" w:hAnsi="Times New Roman"/>
          <w:sz w:val="20"/>
        </w:rPr>
        <w:t xml:space="preserve">YOUR PROXY CARD IN THE ENVELOPE </w:t>
      </w:r>
    </w:p>
    <w:p>
      <w:pPr>
        <w:pStyle w:val="TextBody"/>
        <w:bidi w:val="0"/>
        <w:spacing w:before="0" w:after="0"/>
        <w:jc w:val="center"/>
        <w:rPr>
          <w:rFonts w:ascii="Times New Roman" w:hAnsi="Times New Roman"/>
          <w:sz w:val="20"/>
        </w:rPr>
      </w:pPr>
      <w:r>
        <w:rPr>
          <w:rFonts w:ascii="Times New Roman" w:hAnsi="Times New Roman"/>
          <w:sz w:val="20"/>
        </w:rPr>
        <w:t xml:space="preserve">PROVIDED AS SOON AS POSSIBLE. </w:t>
      </w:r>
    </w:p>
    <w:p>
      <w:pPr>
        <w:pStyle w:val="TextBody"/>
        <w:bidi w:val="0"/>
        <w:spacing w:before="240" w:after="0"/>
        <w:jc w:val="center"/>
        <w:rPr>
          <w:rFonts w:ascii="Times New Roman" w:hAnsi="Times New Roman"/>
          <w:sz w:val="20"/>
        </w:rPr>
      </w:pPr>
      <w:r>
        <w:rPr>
          <w:rFonts w:ascii="Times New Roman" w:hAnsi="Times New Roman"/>
          <w:sz w:val="20"/>
        </w:rPr>
        <w:t xml:space="preserve">Please detach along perforated line and mail in the envelope provided.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center"/>
              <w:rPr>
                <w:rFonts w:ascii="Times New Roman" w:hAnsi="Times New Roman"/>
                <w:b/>
                <w:sz w:val="20"/>
              </w:rPr>
            </w:pPr>
            <w:r>
              <w:rPr>
                <w:rFonts w:ascii="Times New Roman" w:hAnsi="Times New Roman"/>
                <w:b/>
                <w:sz w:val="20"/>
              </w:rPr>
              <w:t>THE BOARD OF DIRECTORS RECOMMENDS A VOTE “AGAINST” PROPOSAL 1 AND “FOR” PROPOSALS 2, 3, AND 4.</w:t>
            </w:r>
          </w:p>
          <w:p>
            <w:pPr>
              <w:pStyle w:val="TableContents"/>
              <w:bidi w:val="0"/>
              <w:spacing w:before="0" w:after="20"/>
              <w:jc w:val="center"/>
              <w:rPr>
                <w:rFonts w:ascii="Times New Roman" w:hAnsi="Times New Roman"/>
                <w:b/>
                <w:sz w:val="20"/>
              </w:rPr>
            </w:pPr>
            <w:r>
              <w:rPr>
                <w:rFonts w:ascii="Times New Roman" w:hAnsi="Times New Roman"/>
                <w:b/>
                <w:sz w:val="20"/>
              </w:rPr>
              <w:t>PLEASE SIGN, DATE AND RETURN PROMPTLY IN THE ENCLOSED ENVELOPE. PLEASE MARK YOUR VOTE IN BLUE OR BLACK INK AS SHOWN HERE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7"/>
        <w:gridCol w:w="120"/>
        <w:gridCol w:w="5437"/>
        <w:gridCol w:w="106"/>
        <w:gridCol w:w="915"/>
        <w:gridCol w:w="106"/>
        <w:gridCol w:w="1456"/>
        <w:gridCol w:w="106"/>
        <w:gridCol w:w="1462"/>
      </w:tblGrid>
      <w:tr>
        <w:trPr/>
        <w:tc>
          <w:tcPr>
            <w:tcW w:w="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3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1.</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the issuance of shares of DXL common stock as the merger consideration pursuant to the terms of the merger agreement and the resulting “change of control” under the Nasdaq rules (“proposal 1 or issuance proposal”)</w:t>
            </w:r>
            <w:r>
              <w:rPr/>
              <w:t>. THE BOARD OF DIRECTORS RECOMMENDS A VOTE “AGAINST” PROPOSAL 1.</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2.</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restated certificate of incorporation of DXL to effect a reverse stock split at a ratio of not less than 1-for-2 and not more than 1-for-30 pursuant to the amendment set forth in Section</w:t>
            </w:r>
            <w:r>
              <w:rPr/>
              <w:t> </w:t>
            </w:r>
            <w:r>
              <w:rPr>
                <w:b/>
              </w:rPr>
              <w:t>1 on Annex C to the proxy statement (“proposal 2” or “reverse stock split proposal”).</w:t>
            </w:r>
            <w:r>
              <w:rPr/>
              <w:t xml:space="preserve"> THE BOARD OF DIRECTORS RECOMMENDS A VOTE “FOR” PROPOSAL 2.</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3.</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and adopt an amendment to the Second Amended and Restated 2016 Incentive Compensation Plan to (a)</w:t>
            </w:r>
            <w:r>
              <w:rPr/>
              <w:t> </w:t>
            </w:r>
            <w:r>
              <w:rPr>
                <w:b/>
              </w:rPr>
              <w:t>increase the total number of shares of DXL common stock available for issuance under the 2016 plan by 13,500,000 shares; (b)</w:t>
            </w:r>
            <w:r>
              <w:rPr/>
              <w:t> </w:t>
            </w:r>
            <w:r>
              <w:rPr>
                <w:b/>
              </w:rPr>
              <w:t>increase the total number of shares of DXL common stock available for issuance upon the exercise of incentive stock options granted under the 2016 plan by 13,500,000 shares; (c)</w:t>
            </w:r>
            <w:r>
              <w:rPr/>
              <w:t> </w:t>
            </w:r>
            <w:r>
              <w:rPr>
                <w:b/>
              </w:rPr>
              <w:t>change the share fungible rate from 1.9 shares to 1.5 shares; and (d)</w:t>
            </w:r>
            <w:r>
              <w:rPr/>
              <w:t> </w:t>
            </w:r>
            <w:r>
              <w:rPr>
                <w:b/>
              </w:rPr>
              <w:t>remove the annual per participant limitations with respect to the share amount and/or dollar value of awards that can be granted under the 2016 plan (“proposal 3” or “2016 plan proposal”).</w:t>
            </w:r>
            <w:r>
              <w:rPr/>
              <w:t xml:space="preserve"> THE BOARD OF DIRECTORS RECOMMENDS A VOTE “FOR” PROPOSAL 3.</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497" w:type="dxa"/>
            <w:tcBorders/>
            <w:vAlign w:val="center"/>
          </w:tcPr>
          <w:p>
            <w:pPr>
              <w:pStyle w:val="TableContents"/>
              <w:bidi w:val="0"/>
              <w:spacing w:before="0" w:after="283"/>
              <w:jc w:val="left"/>
              <w:rPr>
                <w:sz w:val="4"/>
                <w:szCs w:val="4"/>
              </w:rPr>
            </w:pPr>
            <w:r>
              <w:rPr>
                <w:sz w:val="4"/>
                <w:szCs w:val="4"/>
              </w:rPr>
            </w:r>
          </w:p>
        </w:tc>
        <w:tc>
          <w:tcPr>
            <w:tcW w:w="5557" w:type="dxa"/>
            <w:gridSpan w:val="2"/>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497" w:type="dxa"/>
            <w:tcBorders/>
          </w:tcPr>
          <w:p>
            <w:pPr>
              <w:pStyle w:val="TableContents"/>
              <w:bidi w:val="0"/>
              <w:spacing w:before="0" w:after="283"/>
              <w:jc w:val="right"/>
              <w:rPr/>
            </w:pPr>
            <w:r>
              <w:rPr/>
              <w:t>4.</w:t>
            </w:r>
          </w:p>
        </w:tc>
        <w:tc>
          <w:tcPr>
            <w:tcW w:w="120" w:type="dxa"/>
            <w:tcBorders/>
            <w:vAlign w:val="bottom"/>
          </w:tcPr>
          <w:p>
            <w:pPr>
              <w:pStyle w:val="TableContents"/>
              <w:bidi w:val="0"/>
              <w:spacing w:before="0" w:after="283"/>
              <w:jc w:val="left"/>
              <w:rPr/>
            </w:pPr>
            <w:r>
              <w:rPr/>
              <w:t>  </w:t>
            </w:r>
          </w:p>
        </w:tc>
        <w:tc>
          <w:tcPr>
            <w:tcW w:w="5437" w:type="dxa"/>
            <w:tcBorders/>
          </w:tcPr>
          <w:p>
            <w:pPr>
              <w:pStyle w:val="TableContents"/>
              <w:bidi w:val="0"/>
              <w:spacing w:before="0" w:after="283"/>
              <w:jc w:val="left"/>
              <w:rPr/>
            </w:pPr>
            <w:r>
              <w:rPr>
                <w:b/>
              </w:rPr>
              <w:t>To approve an adjournment or postponement of the special meeting for the purpose of soliciting proxies with respect to the issuance proposal, the reverse stock split proposal and/or the 2016 plan proposal (“proposal 4” or “adjournment proposal”).</w:t>
            </w:r>
            <w:r>
              <w:rPr/>
              <w:t xml:space="preserve"> THE BOARD OF DIRECTORS RECOMMENDS A VOTE “FOR” PROPOSAL 4.</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0"/>
              <w:jc w:val="center"/>
              <w:rPr>
                <w:rFonts w:ascii="Times New Roman" w:hAnsi="Times New Roman"/>
                <w:b/>
                <w:sz w:val="20"/>
              </w:rPr>
            </w:pPr>
            <w:r>
              <w:rPr>
                <w:rFonts w:ascii="Times New Roman" w:hAnsi="Times New Roman"/>
                <w:b/>
                <w:sz w:val="20"/>
              </w:rPr>
              <w:t>Against</w:t>
            </w:r>
          </w:p>
          <w:p>
            <w:pPr>
              <w:pStyle w:val="TableContents"/>
              <w:bidi w:val="0"/>
              <w:spacing w:before="0" w:after="0"/>
              <w:jc w:val="left"/>
              <w:rPr/>
            </w:pPr>
            <w:r>
              <w:rPr/>
              <w:t> </w:t>
            </w:r>
          </w:p>
          <w:p>
            <w:pPr>
              <w:pStyle w:val="TableContents"/>
              <w:bidi w:val="0"/>
              <w:spacing w:before="40" w:after="20"/>
              <w:jc w:val="center"/>
              <w:rPr/>
            </w:pPr>
            <w:r>
              <w:rPr/>
              <w:t>☐</w:t>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0"/>
              <w:jc w:val="center"/>
              <w:rPr>
                <w:rFonts w:ascii="Times New Roman" w:hAnsi="Times New Roman"/>
                <w:b/>
                <w:sz w:val="20"/>
              </w:rPr>
            </w:pPr>
            <w:r>
              <w:rPr>
                <w:rFonts w:ascii="Times New Roman" w:hAnsi="Times New Roman"/>
                <w:b/>
                <w:sz w:val="20"/>
              </w:rPr>
              <w:t>Abstain</w:t>
            </w:r>
          </w:p>
          <w:p>
            <w:pPr>
              <w:pStyle w:val="TableContents"/>
              <w:bidi w:val="0"/>
              <w:spacing w:before="0" w:after="0"/>
              <w:jc w:val="left"/>
              <w:rPr/>
            </w:pPr>
            <w:r>
              <w:rPr/>
              <w:t> </w:t>
            </w:r>
          </w:p>
          <w:p>
            <w:pPr>
              <w:pStyle w:val="TableContents"/>
              <w:bidi w:val="0"/>
              <w:spacing w:before="40" w:after="20"/>
              <w:jc w:val="center"/>
              <w:rPr/>
            </w:pPr>
            <w:r>
              <w:rPr/>
              <w:t>☐</w:t>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IF THIS PROXY IS PROPERLY EXECUTED AND RETURNED, IT WILL BE VOTED AS SPECIFIED HEREIN. IF NO SPECIFIC DIRECTION IS GIVEN FOR PROPOSAL 1, IT WILL NOT BE VOTED. IF NO SPECIFIC DIRECTION IS GIVEN FOR PROPOSALS 2, 3 OR 4, IT WILL BE VOTED “FOR” EACH SUCH PROPOSAL. RECEIPT IS HEREBY ACKNOWLEDGED OF THE NOTICE OF SPECIAL MEETING AND PROXY STATEMENT OF DESTINATION XL GROUP, INC. DATED [●], 2026.</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6054" w:type="dxa"/>
            <w:gridSpan w:val="3"/>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1562" w:type="dxa"/>
            <w:gridSpan w:val="2"/>
            <w:tcBorders/>
            <w:vAlign w:val="center"/>
          </w:tcPr>
          <w:p>
            <w:pPr>
              <w:pStyle w:val="TableContents"/>
              <w:bidi w:val="0"/>
              <w:spacing w:before="0" w:after="283"/>
              <w:jc w:val="left"/>
              <w:rPr>
                <w:sz w:val="4"/>
                <w:szCs w:val="4"/>
              </w:rPr>
            </w:pPr>
            <w:r>
              <w:rPr>
                <w:sz w:val="4"/>
                <w:szCs w:val="4"/>
              </w:rPr>
            </w:r>
          </w:p>
        </w:tc>
        <w:tc>
          <w:tcPr>
            <w:tcW w:w="1568" w:type="dxa"/>
            <w:gridSpan w:val="2"/>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MARK “X” HERE IF YOU PLAN TO ATTEND THE SPECIAL MEETING.</w:t>
            </w:r>
          </w:p>
        </w:tc>
        <w:tc>
          <w:tcPr>
            <w:tcW w:w="106" w:type="dxa"/>
            <w:tcBorders/>
            <w:vAlign w:val="bottom"/>
          </w:tcPr>
          <w:p>
            <w:pPr>
              <w:pStyle w:val="TableContents"/>
              <w:bidi w:val="0"/>
              <w:spacing w:before="0" w:after="283"/>
              <w:jc w:val="left"/>
              <w:rPr/>
            </w:pPr>
            <w:r>
              <w:rPr/>
              <w:t> </w:t>
            </w:r>
          </w:p>
        </w:tc>
        <w:tc>
          <w:tcPr>
            <w:tcW w:w="915" w:type="dxa"/>
            <w:tcBorders/>
          </w:tcPr>
          <w:p>
            <w:pPr>
              <w:pStyle w:val="TableContents"/>
              <w:bidi w:val="0"/>
              <w:spacing w:before="0" w:after="283"/>
              <w:jc w:val="center"/>
              <w:rPr/>
            </w:pPr>
            <w:r>
              <w:rPr/>
              <w:t>☐</w:t>
            </w:r>
          </w:p>
        </w:tc>
        <w:tc>
          <w:tcPr>
            <w:tcW w:w="106"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4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Pr>
          <w:p>
            <w:pPr>
              <w:pStyle w:val="TableContents"/>
              <w:bidi w:val="0"/>
              <w:spacing w:before="0" w:after="0"/>
              <w:jc w:val="left"/>
              <w:rPr>
                <w:rFonts w:ascii="Times New Roman" w:hAnsi="Times New Roman"/>
                <w:sz w:val="20"/>
              </w:rPr>
            </w:pPr>
            <w:r>
              <w:rPr>
                <w:rFonts w:ascii="Times New Roman" w:hAnsi="Times New Roman"/>
                <w:sz w:val="20"/>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1"/>
        <w:gridCol w:w="127"/>
        <w:gridCol w:w="2907"/>
        <w:gridCol w:w="60"/>
        <w:gridCol w:w="782"/>
        <w:gridCol w:w="60"/>
        <w:gridCol w:w="1552"/>
        <w:gridCol w:w="60"/>
        <w:gridCol w:w="3179"/>
        <w:gridCol w:w="60"/>
        <w:gridCol w:w="782"/>
        <w:gridCol w:w="108"/>
        <w:gridCol w:w="267"/>
      </w:tblGrid>
      <w:tr>
        <w:trPr/>
        <w:tc>
          <w:tcPr>
            <w:tcW w:w="2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61" w:type="dxa"/>
            <w:tcBorders/>
          </w:tcPr>
          <w:p>
            <w:pPr>
              <w:pStyle w:val="TableContents"/>
              <w:bidi w:val="0"/>
              <w:spacing w:before="0" w:after="0"/>
              <w:jc w:val="left"/>
              <w:rPr/>
            </w:pPr>
            <w:r>
              <w:rPr/>
              <w:t>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907"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3179"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82" w:type="dxa"/>
            <w:tcBorders>
              <w:top w:val="single" w:sz="2" w:space="0" w:color="000000"/>
              <w:bottom w:val="single" w:sz="2" w:space="0" w:color="000000"/>
              <w:right w:val="single" w:sz="2" w:space="0" w:color="000000"/>
            </w:tcBorders>
            <w:tcMar>
              <w:top w:w="28" w:type="dxa"/>
              <w:bottom w:w="28" w:type="dxa"/>
              <w:right w:w="28" w:type="dxa"/>
            </w:tcMar>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right"/>
              <w:rPr/>
            </w:pPr>
            <w:r>
              <w:rPr/>
              <w:t> </w:t>
            </w:r>
          </w:p>
        </w:tc>
      </w:tr>
      <w:tr>
        <w:trPr/>
        <w:tc>
          <w:tcPr>
            <w:tcW w:w="2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907"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15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79" w:type="dxa"/>
            <w:tcBorders/>
            <w:vAlign w:val="bottom"/>
          </w:tcPr>
          <w:p>
            <w:pPr>
              <w:pStyle w:val="TableContents"/>
              <w:bidi w:val="0"/>
              <w:spacing w:before="0" w:after="283"/>
              <w:jc w:val="left"/>
              <w:rPr/>
            </w:pPr>
            <w:r>
              <w:rPr/>
              <w:t>Signature of Stockholder</w:t>
            </w:r>
          </w:p>
        </w:tc>
        <w:tc>
          <w:tcPr>
            <w:tcW w:w="6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left"/>
              <w:rPr/>
            </w:pPr>
            <w:r>
              <w:rPr/>
              <w:t>Date</w:t>
            </w:r>
          </w:p>
        </w:tc>
        <w:tc>
          <w:tcPr>
            <w:tcW w:w="108"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lineRule="atLeast" w:line="142" w:before="0" w:after="40"/>
        <w:jc w:val="left"/>
        <w:rPr>
          <w:bdr w:val="dashed" w:sz="2" w:space="1" w:color="000000"/>
        </w:rPr>
      </w:pPr>
      <w:r>
        <w:rPr>
          <w:bdr w:val="dashed"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tcMar>
              <w:top w:w="28" w:type="dxa"/>
              <w:left w:w="160" w:type="dxa"/>
              <w:right w:w="40" w:type="dxa"/>
            </w:tcMa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DESTINATION XL GROUP, INC.</w:t>
            </w:r>
          </w:p>
          <w:p>
            <w:pPr>
              <w:pStyle w:val="TableContents"/>
              <w:bidi w:val="0"/>
              <w:spacing w:before="0" w:after="0"/>
              <w:jc w:val="center"/>
              <w:rPr>
                <w:rFonts w:ascii="Times New Roman" w:hAnsi="Times New Roman"/>
                <w:sz w:val="20"/>
              </w:rPr>
            </w:pPr>
            <w:r>
              <w:rPr>
                <w:rFonts w:ascii="Times New Roman" w:hAnsi="Times New Roman"/>
                <w:sz w:val="20"/>
              </w:rPr>
              <w:t>555 Turnpike Street</w:t>
            </w:r>
          </w:p>
          <w:p>
            <w:pPr>
              <w:pStyle w:val="TableContents"/>
              <w:bidi w:val="0"/>
              <w:spacing w:before="0" w:after="0"/>
              <w:jc w:val="center"/>
              <w:rPr>
                <w:rFonts w:ascii="Times New Roman" w:hAnsi="Times New Roman"/>
                <w:sz w:val="20"/>
              </w:rPr>
            </w:pPr>
            <w:r>
              <w:rPr>
                <w:rFonts w:ascii="Times New Roman" w:hAnsi="Times New Roman"/>
                <w:sz w:val="20"/>
              </w:rPr>
              <w:t>Canton, Massachusetts 02021</w:t>
            </w:r>
          </w:p>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This Proxy Is Solicited On Behalf Of The Board Of Directors</w:t>
            </w:r>
          </w:p>
          <w:p>
            <w:pPr>
              <w:pStyle w:val="TableContents"/>
              <w:bidi w:val="0"/>
              <w:spacing w:before="0" w:after="0"/>
              <w:jc w:val="center"/>
              <w:rPr>
                <w:rFonts w:ascii="Times New Roman" w:hAnsi="Times New Roman"/>
                <w:sz w:val="20"/>
              </w:rPr>
            </w:pPr>
            <w:r>
              <w:rPr>
                <w:rFonts w:ascii="Times New Roman" w:hAnsi="Times New Roman"/>
                <w:b/>
                <w:sz w:val="20"/>
              </w:rPr>
              <w:t>For The Special Meeting Of Stockholders To Be Held On [</w:t>
            </w:r>
            <w:r>
              <w:rPr>
                <w:rFonts w:ascii="Times New Roman" w:hAnsi="Times New Roman"/>
                <w:sz w:val="20"/>
              </w:rPr>
              <w:t>●</w:t>
            </w:r>
            <w:r>
              <w:rPr>
                <w:rFonts w:ascii="Times New Roman" w:hAnsi="Times New Roman"/>
                <w:b/>
                <w:sz w:val="20"/>
              </w:rPr>
              <w:t>],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undersigned stockholder(s) of Destination XL Group, Inc. (the “Company”) hereby appoint(s) Lionel F. Conacher and Peter H. Stratton, Jr., and each of them, as proxies, with full power of substitution to each and to each substitute appointed pursuant to such power, to vote all shares of Common Stock of the Company that the undersigned would be entitled to vote if personally present at the Special Meeting of Stockholders (the “Special Meeting”) to be held on [●], [●], 2026 at [●] A.M. Eastern Time at the corporate offices of the Company, 555 Turnpike Street, Canton, Massachusetts 02021, and any adjournment or postponement thereof, with all powers that the undersigned would possess if personally present, as set forth on the reverse hereof, upon the matters set forth thereon and more fully described in the Notice and Proxy Statement for the Special Meeting, and, in their discretion, upon all such other matters as may properly come before the Special Meeting. The undersigned hereby revoke(s) all proxies, if any, hitherto given by the undersigned for the Special Meeting.</w:t>
            </w:r>
          </w:p>
          <w:p>
            <w:pPr>
              <w:pStyle w:val="TableContents"/>
              <w:bidi w:val="0"/>
              <w:spacing w:before="0" w:after="20"/>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bidi w:val="0"/>
              <w:spacing w:before="0" w:after="20"/>
              <w:jc w:val="left"/>
              <w:rPr/>
            </w:pPr>
            <w:r>
              <w:rPr/>
              <w:t> </w:t>
            </w:r>
          </w:p>
        </w:tc>
      </w:tr>
    </w:tbl>
    <w:p>
      <w:pPr>
        <w:pStyle w:val="Normal"/>
        <w:bidi w:val="0"/>
        <w:spacing w:before="0" w:after="0"/>
        <w:jc w:val="left"/>
        <w:rPr>
          <w:sz w:val="4"/>
          <w:szCs w:val="4"/>
        </w:rPr>
      </w:pPr>
      <w:r>
        <w:rPr>
          <w:sz w:val="4"/>
          <w:szCs w:val="4"/>
        </w:rPr>
      </w:r>
      <w:bookmarkStart w:id="233" w:name="d76201dexfilingfees.htm"/>
      <w:bookmarkStart w:id="234" w:name="ksd76201dexfilingfees"/>
      <w:bookmarkStart w:id="235" w:name="d76201dexfilingfees.htm"/>
      <w:bookmarkStart w:id="236" w:name="ksd76201dexfilingfees"/>
      <w:bookmarkEnd w:id="235"/>
      <w:bookmarkEnd w:id="236"/>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44"/>
        <w:gridCol w:w="2020"/>
        <w:gridCol w:w="3612"/>
        <w:gridCol w:w="1156"/>
        <w:gridCol w:w="1773"/>
      </w:tblGrid>
      <w:tr>
        <w:trPr/>
        <w:tc>
          <w:tcPr>
            <w:tcW w:w="1644" w:type="dxa"/>
            <w:tcBorders/>
            <w:shd w:fill="9ADAF6" w:val="clear"/>
            <w:vAlign w:val="center"/>
          </w:tcPr>
          <w:p>
            <w:pPr>
              <w:pStyle w:val="TableHeading"/>
              <w:bidi w:val="0"/>
              <w:spacing w:before="0" w:after="283"/>
              <w:rPr>
                <w:sz w:val="4"/>
                <w:szCs w:val="4"/>
              </w:rPr>
            </w:pPr>
            <w:r>
              <w:rPr>
                <w:sz w:val="4"/>
                <w:szCs w:val="4"/>
              </w:rPr>
            </w:r>
          </w:p>
        </w:tc>
        <w:tc>
          <w:tcPr>
            <w:tcW w:w="2020"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773"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44" w:type="dxa"/>
            <w:tcBorders/>
            <w:shd w:fill="E7E7E2" w:val="clear"/>
            <w:vAlign w:val="center"/>
          </w:tcPr>
          <w:p>
            <w:pPr>
              <w:pStyle w:val="TableContents"/>
              <w:bidi w:val="0"/>
              <w:spacing w:before="0" w:after="283"/>
              <w:jc w:val="left"/>
              <w:rPr/>
            </w:pPr>
            <w:r>
              <w:rPr/>
              <w:t xml:space="preserve">Fees to be Paid </w:t>
            </w:r>
          </w:p>
        </w:tc>
        <w:tc>
          <w:tcPr>
            <w:tcW w:w="2020"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$ 43,149,380.19 </w:t>
            </w:r>
          </w:p>
        </w:tc>
        <w:tc>
          <w:tcPr>
            <w:tcW w:w="1156" w:type="dxa"/>
            <w:tcBorders/>
            <w:shd w:fill="E7E7E2" w:val="clear"/>
            <w:vAlign w:val="center"/>
          </w:tcPr>
          <w:p>
            <w:pPr>
              <w:pStyle w:val="TableContents"/>
              <w:bidi w:val="0"/>
              <w:spacing w:before="0" w:after="283"/>
              <w:jc w:val="right"/>
              <w:rPr/>
            </w:pPr>
            <w:r>
              <w:rPr/>
              <w:t xml:space="preserve">0.0001381 </w:t>
            </w:r>
          </w:p>
        </w:tc>
        <w:tc>
          <w:tcPr>
            <w:tcW w:w="1773" w:type="dxa"/>
            <w:tcBorders/>
            <w:shd w:fill="E7E7E2" w:val="clear"/>
            <w:vAlign w:val="center"/>
          </w:tcPr>
          <w:p>
            <w:pPr>
              <w:pStyle w:val="TableContents"/>
              <w:bidi w:val="0"/>
              <w:spacing w:before="0" w:after="283"/>
              <w:jc w:val="right"/>
              <w:rPr/>
            </w:pPr>
            <w:r>
              <w:rPr/>
              <w:t xml:space="preserve">$ 5,958.93 </w:t>
            </w:r>
          </w:p>
        </w:tc>
      </w:tr>
      <w:tr>
        <w:trPr/>
        <w:tc>
          <w:tcPr>
            <w:tcW w:w="1644" w:type="dxa"/>
            <w:tcBorders/>
            <w:shd w:fill="E7E7E2" w:val="clear"/>
            <w:vAlign w:val="center"/>
          </w:tcPr>
          <w:p>
            <w:pPr>
              <w:pStyle w:val="TableContents"/>
              <w:bidi w:val="0"/>
              <w:spacing w:before="0" w:after="283"/>
              <w:jc w:val="left"/>
              <w:rPr/>
            </w:pPr>
            <w:r>
              <w:rPr/>
              <w:t xml:space="preserve">Fees Previously Paid </w:t>
            </w:r>
          </w:p>
        </w:tc>
        <w:tc>
          <w:tcPr>
            <w:tcW w:w="2020"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73" w:type="dxa"/>
            <w:tcBorders/>
            <w:shd w:fill="E7E7E2" w:val="clear"/>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$ 43,149,380.19 </w:t>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37" w:name="TotalFeeAmt"/>
            <w:bookmarkEnd w:id="237"/>
            <w:r>
              <w:rPr/>
              <w:t xml:space="preserve">$ 5,958.93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238" w:name="TotalPreviouslyPaidAmt"/>
            <w:bookmarkEnd w:id="238"/>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239" w:name="TotalOffsetAmt"/>
            <w:bookmarkEnd w:id="239"/>
            <w:r>
              <w:rPr/>
              <w:t xml:space="preserve">$ 0.00 </w:t>
            </w:r>
          </w:p>
        </w:tc>
      </w:tr>
      <w:tr>
        <w:trPr/>
        <w:tc>
          <w:tcPr>
            <w:tcW w:w="164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0"/>
              <w:ind w:left="0" w:right="0" w:hanging="0"/>
              <w:jc w:val="right"/>
              <w:rPr/>
            </w:pPr>
            <w:bookmarkStart w:id="240" w:name="NetFeeAmt"/>
            <w:bookmarkEnd w:id="240"/>
            <w:r>
              <w:rPr/>
              <w:t xml:space="preserve">$ 5,958.93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Based on 68,731,093 shares of common stock, par value $0.01 per share (the "DXL common stock"), of Destination XL Group, Inc. ("DXL") to be issued pursuant to the Agreement and Plan of Merger, dated December 11, 2025, by and among DXL, Divine Merger Sub I, Inc. and FBB Holdings I, Inc. ("FBB"), assuming an exchange ratio determined based on information as to equity ownership as of July 17, 2026, and other assumptions discussed in this proxy statement, including but not limited to the assumptions that, (i) immediately following the merger, FBB stockholders would be expected to own or hold rights to acquire 55% of the combined company and DXL stockholders would be expected to own or hold rights to acquire 45% of the combined company, in each case, on a fully diluted basis using the treasury stock method, and (ii) does not take into consideration any impact of the final reverse stock split (if approved). (2) In accordance with Exchange Act Rule 0-11, the proposed maximum aggregate value of the transaction estimated solely for the purposes of calculating the filing fee was calculated, based upon multiplying (i) 68,731,093 shares of DXL common stock and (ii) $0.6278, which is the average of the high and low trading prices of DXL common stock as reported on the Nasdaq Global Market on July 10, 2026, a date within five business days prior to July 17, 2026. (3) In accordance with Section 14(g) of the Securities Exchange Act of 1934, as amended, and Exchange Act Rule 0-11, the filing fee was determined as the product of the proposed maximum aggregate value of the transaction as calculated in note (2) above multiplied by 0.00013810.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813298/000119312526115660/dxlg-20260131.htm" TargetMode="External"/><Relationship Id="rId5" Type="http://schemas.openxmlformats.org/officeDocument/2006/relationships/hyperlink" Target="http://www.sec.gov/Archives/edgar/data/../../../ix?doc=/Archives/edgar/data/813298/000119312526239304/dxlg-20260131.htm" TargetMode="External"/><Relationship Id="rId6" Type="http://schemas.openxmlformats.org/officeDocument/2006/relationships/hyperlink" Target="http://www.sec.gov/Archives/edgar/data/../../../ix?doc=/Archives/edgar/data/813298/000119312526255525/dxlg-20260502.htm" TargetMode="External"/><Relationship Id="rId7" Type="http://schemas.openxmlformats.org/officeDocument/2006/relationships/hyperlink" Target="http://www.sec.gov/Archives/edgar/data/../../../ix?doc=/Archives/edgar/data/813298/000119312526041326/dxlg-20260204.htm" TargetMode="External"/><Relationship Id="rId8" Type="http://schemas.openxmlformats.org/officeDocument/2006/relationships/hyperlink" Target="http://www.sec.gov/Archives/edgar/data/../../../ix?doc=/Archives/edgar/data/813298/000119312526226858/dxlg-20260511.htm" TargetMode="External"/><Relationship Id="rId9" Type="http://schemas.openxmlformats.org/officeDocument/2006/relationships/hyperlink" Target="http://www.sec.gov/Archives/edgar/data/813298/000119312521266010/d202788d8a12b.htm" TargetMode="Externa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427</Pages>
  <Words>248316</Words>
  <Characters>1333754</Characters>
  <CharactersWithSpaces>1590894</CharactersWithSpaces>
  <Paragraphs>23226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