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ANNUAL REPORT PURSUANT TO SECTION 13 OR 15(d)</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45" w:lineRule="exact"/>
        <w:rPr>
          <w:sz w:val="24"/>
          <w:szCs w:val="24"/>
          <w:color w:val="auto"/>
        </w:rPr>
      </w:pPr>
    </w:p>
    <w:p>
      <w:pPr>
        <w:ind w:left="680"/>
        <w:spacing w:after="0"/>
        <w:tabs>
          <w:tab w:leader="none" w:pos="7340" w:val="left"/>
        </w:tabs>
        <w:rPr>
          <w:sz w:val="20"/>
          <w:szCs w:val="20"/>
          <w:color w:val="auto"/>
        </w:rPr>
      </w:pPr>
      <w:r>
        <w:rPr>
          <w:rFonts w:ascii="Arial" w:cs="Arial" w:eastAsia="Arial" w:hAnsi="Arial"/>
          <w:sz w:val="18"/>
          <w:szCs w:val="18"/>
          <w:b w:val="1"/>
          <w:bCs w:val="1"/>
          <w:color w:val="auto"/>
        </w:rPr>
        <w:t>For the fiscal year ended February 1, 2003 (Fiscal 2003)</w:t>
      </w:r>
      <w:r>
        <w:rPr>
          <w:sz w:val="20"/>
          <w:szCs w:val="20"/>
          <w:color w:val="auto"/>
        </w:rPr>
        <w:tab/>
      </w:r>
      <w:r>
        <w:rPr>
          <w:rFonts w:ascii="Arial" w:cs="Arial" w:eastAsia="Arial" w:hAnsi="Arial"/>
          <w:sz w:val="15"/>
          <w:szCs w:val="15"/>
          <w:b w:val="1"/>
          <w:bCs w:val="1"/>
          <w:color w:val="auto"/>
        </w:rPr>
        <w:t>Commission File Number 0-15898</w:t>
      </w:r>
    </w:p>
    <w:p>
      <w:pPr>
        <w:spacing w:after="0" w:line="12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2580" w:type="dxa"/>
            <w:vAlign w:val="bottom"/>
          </w:tcPr>
          <w:p>
            <w:pPr>
              <w:jc w:val="center"/>
              <w:ind w:right="4"/>
              <w:spacing w:after="0"/>
              <w:rPr>
                <w:sz w:val="20"/>
                <w:szCs w:val="20"/>
                <w:color w:val="auto"/>
              </w:rPr>
            </w:pPr>
            <w:r>
              <w:rPr>
                <w:rFonts w:ascii="Arial" w:cs="Arial" w:eastAsia="Arial" w:hAnsi="Arial"/>
                <w:sz w:val="18"/>
                <w:szCs w:val="18"/>
                <w:b w:val="1"/>
                <w:bCs w:val="1"/>
                <w:color w:val="auto"/>
                <w:w w:val="88"/>
              </w:rPr>
              <w:t>Delaware</w:t>
            </w:r>
          </w:p>
        </w:tc>
        <w:tc>
          <w:tcPr>
            <w:tcW w:w="5520" w:type="dxa"/>
            <w:vAlign w:val="bottom"/>
          </w:tcPr>
          <w:p>
            <w:pPr>
              <w:jc w:val="right"/>
              <w:ind w:right="48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520" w:type="dxa"/>
            <w:vAlign w:val="bottom"/>
          </w:tcPr>
          <w:p>
            <w:pPr>
              <w:jc w:val="center"/>
              <w:ind w:left="348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2580" w:type="dxa"/>
            <w:vAlign w:val="bottom"/>
          </w:tcPr>
          <w:p>
            <w:pPr>
              <w:jc w:val="center"/>
              <w:ind w:right="4"/>
              <w:spacing w:after="0"/>
              <w:rPr>
                <w:sz w:val="20"/>
                <w:szCs w:val="20"/>
                <w:color w:val="auto"/>
              </w:rPr>
            </w:pPr>
            <w:r>
              <w:rPr>
                <w:rFonts w:ascii="Arial" w:cs="Arial" w:eastAsia="Arial" w:hAnsi="Arial"/>
                <w:sz w:val="14"/>
                <w:szCs w:val="14"/>
                <w:b w:val="1"/>
                <w:bCs w:val="1"/>
                <w:color w:val="auto"/>
                <w:w w:val="85"/>
              </w:rPr>
              <w:t>incorporation of principal executive offices)</w:t>
            </w:r>
          </w:p>
        </w:tc>
        <w:tc>
          <w:tcPr>
            <w:tcW w:w="5520" w:type="dxa"/>
            <w:vAlign w:val="bottom"/>
          </w:tcPr>
          <w:p>
            <w:pPr>
              <w:spacing w:after="0"/>
              <w:rPr>
                <w:sz w:val="15"/>
                <w:szCs w:val="15"/>
                <w:color w:val="auto"/>
              </w:rPr>
            </w:pPr>
          </w:p>
        </w:tc>
      </w:tr>
      <w:tr>
        <w:trPr>
          <w:trHeight w:val="339"/>
        </w:trPr>
        <w:tc>
          <w:tcPr>
            <w:tcW w:w="2580" w:type="dxa"/>
            <w:vAlign w:val="bottom"/>
          </w:tcPr>
          <w:p>
            <w:pPr>
              <w:jc w:val="center"/>
              <w:ind w:right="4"/>
              <w:spacing w:after="0"/>
              <w:rPr>
                <w:sz w:val="20"/>
                <w:szCs w:val="20"/>
                <w:color w:val="auto"/>
              </w:rPr>
            </w:pPr>
            <w:r>
              <w:rPr>
                <w:rFonts w:ascii="Arial" w:cs="Arial" w:eastAsia="Arial" w:hAnsi="Arial"/>
                <w:sz w:val="18"/>
                <w:szCs w:val="18"/>
                <w:b w:val="1"/>
                <w:bCs w:val="1"/>
                <w:color w:val="auto"/>
                <w:w w:val="90"/>
              </w:rPr>
              <w:t>555 Turnpike Street, Canton, MA</w:t>
            </w:r>
          </w:p>
        </w:tc>
        <w:tc>
          <w:tcPr>
            <w:tcW w:w="5520" w:type="dxa"/>
            <w:vAlign w:val="bottom"/>
          </w:tcPr>
          <w:p>
            <w:pPr>
              <w:jc w:val="right"/>
              <w:ind w:right="682"/>
              <w:spacing w:after="0"/>
              <w:rPr>
                <w:sz w:val="20"/>
                <w:szCs w:val="20"/>
                <w:color w:val="auto"/>
              </w:rPr>
            </w:pPr>
            <w:r>
              <w:rPr>
                <w:rFonts w:ascii="Arial" w:cs="Arial" w:eastAsia="Arial" w:hAnsi="Arial"/>
                <w:sz w:val="18"/>
                <w:szCs w:val="18"/>
                <w:b w:val="1"/>
                <w:bCs w:val="1"/>
                <w:color w:val="auto"/>
              </w:rPr>
              <w:t>02021</w:t>
            </w:r>
          </w:p>
        </w:tc>
      </w:tr>
      <w:tr>
        <w:trPr>
          <w:trHeight w:val="174"/>
        </w:trPr>
        <w:tc>
          <w:tcPr>
            <w:tcW w:w="2580" w:type="dxa"/>
            <w:vAlign w:val="bottom"/>
          </w:tcPr>
          <w:p>
            <w:pPr>
              <w:jc w:val="center"/>
              <w:ind w:right="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520" w:type="dxa"/>
            <w:vAlign w:val="bottom"/>
          </w:tcPr>
          <w:p>
            <w:pPr>
              <w:jc w:val="center"/>
              <w:ind w:left="3502"/>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2580" w:type="dxa"/>
            <w:vAlign w:val="bottom"/>
          </w:tcPr>
          <w:p>
            <w:pPr>
              <w:spacing w:after="0"/>
              <w:rPr>
                <w:sz w:val="24"/>
                <w:szCs w:val="24"/>
                <w:color w:val="auto"/>
              </w:rPr>
            </w:pPr>
          </w:p>
        </w:tc>
        <w:tc>
          <w:tcPr>
            <w:tcW w:w="5520" w:type="dxa"/>
            <w:vAlign w:val="bottom"/>
          </w:tcPr>
          <w:p>
            <w:pPr>
              <w:jc w:val="right"/>
              <w:ind w:right="3282"/>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80" w:type="dxa"/>
            <w:vAlign w:val="bottom"/>
          </w:tcPr>
          <w:p>
            <w:pPr>
              <w:spacing w:after="0"/>
              <w:rPr>
                <w:sz w:val="15"/>
                <w:szCs w:val="15"/>
                <w:color w:val="auto"/>
              </w:rPr>
            </w:pPr>
          </w:p>
        </w:tc>
        <w:tc>
          <w:tcPr>
            <w:tcW w:w="5520" w:type="dxa"/>
            <w:vAlign w:val="bottom"/>
          </w:tcPr>
          <w:p>
            <w:pPr>
              <w:jc w:val="center"/>
              <w:ind w:right="222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6" w:lineRule="exact"/>
        <w:rPr>
          <w:sz w:val="24"/>
          <w:szCs w:val="24"/>
          <w:color w:val="auto"/>
        </w:rPr>
      </w:pPr>
    </w:p>
    <w:p>
      <w:pPr>
        <w:jc w:val="both"/>
        <w:ind w:right="1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right="6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As of August 2, 2002, the aggregate market value of the common stock held by non-affiliates of the registrant was approximately $63.2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35,744,921 shares of Common Stock, $0.01 par value, outstanding as of April 25, 2003.</w:t>
      </w:r>
    </w:p>
    <w:p>
      <w:pPr>
        <w:spacing w:after="0" w:line="15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80" w:type="dxa"/>
            <w:vAlign w:val="bottom"/>
            <w:gridSpan w:val="13"/>
          </w:tcPr>
          <w:p>
            <w:pPr>
              <w:jc w:val="center"/>
              <w:ind w:right="560"/>
              <w:spacing w:after="0"/>
              <w:rPr>
                <w:sz w:val="20"/>
                <w:szCs w:val="20"/>
                <w:color w:val="auto"/>
              </w:rPr>
            </w:pPr>
            <w:r>
              <w:rPr>
                <w:rFonts w:ascii="Arial" w:cs="Arial" w:eastAsia="Arial" w:hAnsi="Arial"/>
                <w:sz w:val="18"/>
                <w:szCs w:val="18"/>
                <w:b w:val="1"/>
                <w:bCs w:val="1"/>
                <w:color w:val="auto"/>
                <w:w w:val="98"/>
              </w:rPr>
              <w:t>CASUAL MALE RETAIL GROUP, INC.</w:t>
            </w:r>
          </w:p>
        </w:tc>
        <w:tc>
          <w:tcPr>
            <w:tcW w:w="2180" w:type="dxa"/>
            <w:vAlign w:val="bottom"/>
          </w:tcPr>
          <w:p>
            <w:pPr>
              <w:spacing w:after="0"/>
              <w:rPr>
                <w:sz w:val="19"/>
                <w:szCs w:val="19"/>
                <w:color w:val="auto"/>
              </w:rPr>
            </w:pPr>
          </w:p>
        </w:tc>
      </w:tr>
      <w:tr>
        <w:trPr>
          <w:trHeight w:val="178"/>
        </w:trPr>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71"/>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980" w:type="dxa"/>
            <w:vAlign w:val="bottom"/>
            <w:gridSpan w:val="12"/>
          </w:tcPr>
          <w:p>
            <w:pPr>
              <w:jc w:val="center"/>
              <w:ind w:right="2080"/>
              <w:spacing w:after="0"/>
              <w:rPr>
                <w:sz w:val="20"/>
                <w:szCs w:val="20"/>
                <w:color w:val="auto"/>
              </w:rPr>
            </w:pPr>
            <w:r>
              <w:rPr>
                <w:rFonts w:ascii="Arial" w:cs="Arial" w:eastAsia="Arial" w:hAnsi="Arial"/>
                <w:sz w:val="18"/>
                <w:szCs w:val="18"/>
                <w:b w:val="1"/>
                <w:bCs w:val="1"/>
                <w:color w:val="auto"/>
                <w:w w:val="90"/>
              </w:rPr>
              <w:t>Index to Annual Report on Form 10-K</w:t>
            </w:r>
          </w:p>
        </w:tc>
        <w:tc>
          <w:tcPr>
            <w:tcW w:w="2180" w:type="dxa"/>
            <w:vAlign w:val="bottom"/>
          </w:tcPr>
          <w:p>
            <w:pPr>
              <w:spacing w:after="0"/>
              <w:rPr>
                <w:sz w:val="24"/>
                <w:szCs w:val="24"/>
                <w:color w:val="auto"/>
              </w:rPr>
            </w:pPr>
          </w:p>
        </w:tc>
      </w:t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700" w:type="dxa"/>
            <w:vAlign w:val="bottom"/>
            <w:gridSpan w:val="10"/>
          </w:tcPr>
          <w:p>
            <w:pPr>
              <w:jc w:val="center"/>
              <w:ind w:right="2360"/>
              <w:spacing w:after="0"/>
              <w:rPr>
                <w:sz w:val="20"/>
                <w:szCs w:val="20"/>
                <w:color w:val="auto"/>
              </w:rPr>
            </w:pPr>
            <w:r>
              <w:rPr>
                <w:rFonts w:ascii="Arial" w:cs="Arial" w:eastAsia="Arial" w:hAnsi="Arial"/>
                <w:sz w:val="18"/>
                <w:szCs w:val="18"/>
                <w:b w:val="1"/>
                <w:bCs w:val="1"/>
                <w:color w:val="auto"/>
                <w:w w:val="90"/>
              </w:rPr>
              <w:t>Year Ended February 1, 2003</w:t>
            </w:r>
          </w:p>
        </w:tc>
        <w:tc>
          <w:tcPr>
            <w:tcW w:w="2180" w:type="dxa"/>
            <w:vAlign w:val="bottom"/>
          </w:tcPr>
          <w:p>
            <w:pPr>
              <w:spacing w:after="0"/>
              <w:rPr>
                <w:sz w:val="19"/>
                <w:szCs w:val="19"/>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84"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600" w:type="dxa"/>
            <w:vAlign w:val="bottom"/>
            <w:gridSpan w:val="19"/>
          </w:tcPr>
          <w:p>
            <w:pPr>
              <w:spacing w:after="0"/>
              <w:rPr>
                <w:sz w:val="15"/>
                <w:szCs w:val="15"/>
                <w:color w:val="auto"/>
              </w:rPr>
            </w:pPr>
          </w:p>
        </w:tc>
        <w:tc>
          <w:tcPr>
            <w:tcW w:w="21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Properties</w:t>
              </w:r>
            </w:hyperlink>
          </w:p>
        </w:tc>
        <w:tc>
          <w:tcPr>
            <w:tcW w:w="7520" w:type="dxa"/>
            <w:vAlign w:val="bottom"/>
            <w:gridSpan w:val="18"/>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8240" w:type="dxa"/>
            <w:vAlign w:val="bottom"/>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240" w:type="dxa"/>
            <w:vAlign w:val="bottom"/>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Submission of Matters to a Vote of Security Holders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444"/>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8240" w:type="dxa"/>
            <w:vAlign w:val="bottom"/>
            <w:gridSpan w:val="20"/>
          </w:tcPr>
          <w:p>
            <w:pPr>
              <w:spacing w:after="0" w:line="184" w:lineRule="exact"/>
              <w:rPr>
                <w:rFonts w:ascii="Arial" w:cs="Arial" w:eastAsia="Arial" w:hAnsi="Arial"/>
                <w:sz w:val="18"/>
                <w:szCs w:val="18"/>
                <w:color w:val="0000EE"/>
              </w:rPr>
            </w:pPr>
            <w:hyperlink w:anchor="page13">
              <w:r>
                <w:rPr>
                  <w:rFonts w:ascii="Arial" w:cs="Arial" w:eastAsia="Arial" w:hAnsi="Arial"/>
                  <w:sz w:val="18"/>
                  <w:szCs w:val="18"/>
                  <w:color w:val="0000EE"/>
                </w:rPr>
                <w:t>Market for Registrant’s Common Equity and Related Stockholder Matters</w:t>
              </w:r>
            </w:hyperlink>
          </w:p>
        </w:tc>
        <w:tc>
          <w:tcPr>
            <w:tcW w:w="2180" w:type="dxa"/>
            <w:vAlign w:val="bottom"/>
          </w:tcPr>
          <w:p>
            <w:pPr>
              <w:jc w:val="right"/>
              <w:spacing w:after="0" w:line="184" w:lineRule="exact"/>
              <w:rPr>
                <w:sz w:val="20"/>
                <w:szCs w:val="20"/>
                <w:color w:val="auto"/>
              </w:rPr>
            </w:pPr>
            <w:r>
              <w:rPr>
                <w:rFonts w:ascii="Arial" w:cs="Arial" w:eastAsia="Arial" w:hAnsi="Arial"/>
                <w:sz w:val="18"/>
                <w:szCs w:val="18"/>
                <w:color w:val="auto"/>
              </w:rPr>
              <w:t>13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Selected Financial Data</w:t>
              </w:r>
            </w:hyperlink>
          </w:p>
        </w:tc>
        <w:tc>
          <w:tcPr>
            <w:tcW w:w="3520" w:type="dxa"/>
            <w:vAlign w:val="bottom"/>
            <w:tcBorders>
              <w:top w:val="single" w:sz="8" w:color="0000EE"/>
            </w:tcBorders>
            <w:gridSpan w:val="10"/>
          </w:tcPr>
          <w:p>
            <w:pPr>
              <w:spacing w:after="0"/>
              <w:rPr>
                <w:sz w:val="17"/>
                <w:szCs w:val="17"/>
                <w:color w:val="auto"/>
              </w:rPr>
            </w:pPr>
          </w:p>
        </w:tc>
        <w:tc>
          <w:tcPr>
            <w:tcW w:w="3040" w:type="dxa"/>
            <w:vAlign w:val="bottom"/>
            <w:gridSpan w:val="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24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5"/>
          </w:tcPr>
          <w:p>
            <w:pPr>
              <w:spacing w:after="0"/>
              <w:rPr>
                <w:sz w:val="17"/>
                <w:szCs w:val="17"/>
                <w:color w:val="auto"/>
              </w:rPr>
            </w:pPr>
          </w:p>
        </w:tc>
        <w:tc>
          <w:tcPr>
            <w:tcW w:w="1940" w:type="dxa"/>
            <w:vAlign w:val="bottom"/>
            <w:gridSpan w:val="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Financial Statements and Supplementary Data</w:t>
              </w:r>
            </w:hyperlink>
          </w:p>
        </w:tc>
        <w:tc>
          <w:tcPr>
            <w:tcW w:w="4980" w:type="dxa"/>
            <w:vAlign w:val="bottom"/>
            <w:gridSpan w:val="1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824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Changes in and Disagreements with Accountants on Accounting and Financial Disclosure</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444"/>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3540" w:type="dxa"/>
            <w:vAlign w:val="bottom"/>
            <w:tcBorders>
              <w:bottom w:val="single" w:sz="8" w:color="0000EE"/>
            </w:tcBorders>
            <w:gridSpan w:val="10"/>
          </w:tcPr>
          <w:p>
            <w:pPr>
              <w:spacing w:after="0" w:line="184"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Directors and Executive Officers of the Registrant</w:t>
              </w:r>
            </w:hyperlink>
          </w:p>
        </w:tc>
        <w:tc>
          <w:tcPr>
            <w:tcW w:w="4700" w:type="dxa"/>
            <w:vAlign w:val="bottom"/>
            <w:gridSpan w:val="10"/>
          </w:tcPr>
          <w:p>
            <w:pPr>
              <w:spacing w:after="0"/>
              <w:rPr>
                <w:sz w:val="15"/>
                <w:szCs w:val="15"/>
                <w:color w:val="auto"/>
              </w:rPr>
            </w:pPr>
          </w:p>
        </w:tc>
        <w:tc>
          <w:tcPr>
            <w:tcW w:w="2180" w:type="dxa"/>
            <w:vAlign w:val="bottom"/>
          </w:tcPr>
          <w:p>
            <w:pPr>
              <w:jc w:val="right"/>
              <w:spacing w:after="0" w:line="184" w:lineRule="exact"/>
              <w:rPr>
                <w:sz w:val="20"/>
                <w:szCs w:val="20"/>
                <w:color w:val="auto"/>
              </w:rPr>
            </w:pPr>
            <w:r>
              <w:rPr>
                <w:rFonts w:ascii="Arial" w:cs="Arial" w:eastAsia="Arial" w:hAnsi="Arial"/>
                <w:sz w:val="18"/>
                <w:szCs w:val="18"/>
                <w:color w:val="auto"/>
              </w:rPr>
              <w:t>58</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824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Executive Compensation</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47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Security Ownership of Certain Beneficial Owners and Management</w:t>
              </w:r>
            </w:hyperlink>
          </w:p>
        </w:tc>
        <w:tc>
          <w:tcPr>
            <w:tcW w:w="3460" w:type="dxa"/>
            <w:vAlign w:val="bottom"/>
            <w:gridSpan w:val="5"/>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33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Certain Relationships and Related Transactions</w:t>
              </w:r>
            </w:hyperlink>
          </w:p>
        </w:tc>
        <w:tc>
          <w:tcPr>
            <w:tcW w:w="4900" w:type="dxa"/>
            <w:vAlign w:val="bottom"/>
            <w:gridSpan w:val="11"/>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8240" w:type="dxa"/>
            <w:vAlign w:val="bottom"/>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Controls and Procedures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444"/>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8240" w:type="dxa"/>
            <w:vAlign w:val="bottom"/>
            <w:gridSpan w:val="20"/>
          </w:tcPr>
          <w:p>
            <w:pPr>
              <w:spacing w:after="0" w:line="184" w:lineRule="exact"/>
              <w:rPr>
                <w:rFonts w:ascii="Arial" w:cs="Arial" w:eastAsia="Arial" w:hAnsi="Arial"/>
                <w:sz w:val="18"/>
                <w:szCs w:val="18"/>
                <w:color w:val="0000EE"/>
              </w:rPr>
            </w:pPr>
            <w:hyperlink w:anchor="page76">
              <w:r>
                <w:rPr>
                  <w:rFonts w:ascii="Arial" w:cs="Arial" w:eastAsia="Arial" w:hAnsi="Arial"/>
                  <w:sz w:val="18"/>
                  <w:szCs w:val="18"/>
                  <w:color w:val="0000EE"/>
                </w:rPr>
                <w:t>Exhibits, Financial Statement Schedules, and Reports on Form 8-K</w:t>
              </w:r>
            </w:hyperlink>
          </w:p>
        </w:tc>
        <w:tc>
          <w:tcPr>
            <w:tcW w:w="2180" w:type="dxa"/>
            <w:vAlign w:val="bottom"/>
          </w:tcPr>
          <w:p>
            <w:pPr>
              <w:jc w:val="right"/>
              <w:spacing w:after="0" w:line="184" w:lineRule="exact"/>
              <w:rPr>
                <w:sz w:val="20"/>
                <w:szCs w:val="20"/>
                <w:color w:val="auto"/>
              </w:rPr>
            </w:pPr>
            <w:r>
              <w:rPr>
                <w:rFonts w:ascii="Arial" w:cs="Arial" w:eastAsia="Arial" w:hAnsi="Arial"/>
                <w:sz w:val="18"/>
                <w:szCs w:val="18"/>
                <w:color w:val="auto"/>
              </w:rPr>
              <w:t>75</w:t>
            </w:r>
          </w:p>
        </w:tc>
      </w:tr>
      <w:tr>
        <w:trPr>
          <w:trHeight w:val="196"/>
        </w:trPr>
        <w:tc>
          <w:tcPr>
            <w:tcW w:w="1000" w:type="dxa"/>
            <w:vAlign w:val="bottom"/>
          </w:tcPr>
          <w:p>
            <w:pPr>
              <w:spacing w:after="0"/>
              <w:rPr>
                <w:sz w:val="17"/>
                <w:szCs w:val="17"/>
                <w:color w:val="auto"/>
              </w:rPr>
            </w:pPr>
          </w:p>
        </w:tc>
        <w:tc>
          <w:tcPr>
            <w:tcW w:w="47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3520" w:type="dxa"/>
            <w:vAlign w:val="bottom"/>
            <w:gridSpan w:val="6"/>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80" w:type="dxa"/>
            <w:vAlign w:val="bottom"/>
            <w:gridSpan w:val="16"/>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240" w:type="dxa"/>
            <w:vAlign w:val="bottom"/>
            <w:gridSpan w:val="2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Certifications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383"/>
        </w:trPr>
        <w:tc>
          <w:tcPr>
            <w:tcW w:w="1000" w:type="dxa"/>
            <w:vAlign w:val="bottom"/>
          </w:tcPr>
          <w:p>
            <w:pPr>
              <w:spacing w:after="0"/>
              <w:rPr>
                <w:sz w:val="24"/>
                <w:szCs w:val="24"/>
                <w:color w:val="auto"/>
              </w:rPr>
            </w:pPr>
          </w:p>
        </w:tc>
        <w:tc>
          <w:tcPr>
            <w:tcW w:w="960" w:type="dxa"/>
            <w:vAlign w:val="bottom"/>
            <w:tcBorders>
              <w:top w:val="single" w:sz="8" w:color="0000EE"/>
            </w:tcBorders>
            <w:gridSpan w:val="4"/>
          </w:tcPr>
          <w:p>
            <w:pPr>
              <w:spacing w:after="0"/>
              <w:rPr>
                <w:sz w:val="24"/>
                <w:szCs w:val="24"/>
                <w:color w:val="auto"/>
              </w:rPr>
            </w:pPr>
          </w:p>
        </w:tc>
        <w:tc>
          <w:tcPr>
            <w:tcW w:w="3820" w:type="dxa"/>
            <w:vAlign w:val="bottom"/>
            <w:gridSpan w:val="11"/>
          </w:tcPr>
          <w:p>
            <w:pPr>
              <w:jc w:val="center"/>
              <w:ind w:left="3612"/>
              <w:spacing w:after="0"/>
              <w:rPr>
                <w:sz w:val="20"/>
                <w:szCs w:val="20"/>
                <w:color w:val="auto"/>
              </w:rPr>
            </w:pPr>
            <w:r>
              <w:rPr>
                <w:rFonts w:ascii="Arial" w:cs="Arial" w:eastAsia="Arial" w:hAnsi="Arial"/>
                <w:sz w:val="18"/>
                <w:szCs w:val="18"/>
                <w:color w:val="auto"/>
                <w:w w:val="79"/>
              </w:rPr>
              <w:t>2</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i w:val="1"/>
          <w:iCs w:val="1"/>
          <w:color w:val="auto"/>
        </w:rPr>
        <w:t>Business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Casual Male Retail Group, Inc. (formerly known as Designs, Inc.) together with its subsidiaries (the “Company”) is the largest specialty apparel retailer of big and tall men’s apparel, with a presence throughout the United States and Puerto Rico. Unless the context indicates otherwise, all references to “we,” “our,” “ours,” “us” and “the Company” refer to Casual Male Retail Group, Inc. and its consolidated subsidiaries after giving effect to the May 2002 acquisition by Designs, Inc. of substantially all of the assets of Casual Male Corp. and certain of its subsidiaries and to Designs, Inc. and its consolidated subsidiaries prior to the completion of such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incorporated in the State of Delaware in 1976 under the name Designs, Inc. Until fiscal 1996, the Company operated exclusively Levi Strauss</w:t>
      </w:r>
    </w:p>
    <w:p>
      <w:pPr>
        <w:spacing w:after="0" w:line="32" w:lineRule="exact"/>
        <w:rPr>
          <w:sz w:val="20"/>
          <w:szCs w:val="20"/>
          <w:color w:val="auto"/>
        </w:rPr>
      </w:pPr>
    </w:p>
    <w:p>
      <w:pPr>
        <w:ind w:right="140" w:firstLine="8"/>
        <w:spacing w:after="0" w:line="254" w:lineRule="auto"/>
        <w:tabs>
          <w:tab w:leader="none" w:pos="181" w:val="left"/>
        </w:tabs>
        <w:numPr>
          <w:ilvl w:val="0"/>
          <w:numId w:val="1"/>
        </w:numPr>
        <w:rPr>
          <w:rFonts w:ascii="Arial" w:cs="Arial" w:eastAsia="Arial" w:hAnsi="Arial"/>
          <w:sz w:val="18"/>
          <w:szCs w:val="18"/>
          <w:color w:val="auto"/>
        </w:rPr>
      </w:pPr>
      <w:r>
        <w:rPr>
          <w:rFonts w:ascii="Arial" w:cs="Arial" w:eastAsia="Arial" w:hAnsi="Arial"/>
          <w:sz w:val="18"/>
          <w:szCs w:val="18"/>
          <w:color w:val="auto"/>
        </w:rPr>
        <w:t>Co. branded apparel mall and outlet stores. In fiscal 1996, the Company began seeing limited growth opportunities with Levi Strauss &amp; Co. and started to embark on several private label diversification strategies. These strategies ultimately were abandoned by the Company due to a variety of reasons including lack of brand recognition of its private labels by its customers. As a result of these failed strategies, the Company incurred approximately $86 million in operating losses during the fiscal years 1998, 1999 and 2000.</w:t>
      </w:r>
    </w:p>
    <w:p>
      <w:pPr>
        <w:spacing w:after="0" w:line="13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October 1999, the stockholders of the Company elected a new board of directors, which subsequently appointed a new Chairman of the Company and management team. Under this new management, the Company saw significant cost reductions in both its store and overhead operations, resulting in a return to profitability in fiscal 2001. With this new effective low-cost structure in place, the Company renewed its strategy to become the premier operator in the outlet channel for other well-known branded manufacturers, in addition to Levi Strauss &amp; Co.</w:t>
      </w:r>
    </w:p>
    <w:p>
      <w:pPr>
        <w:spacing w:after="0" w:line="130"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In January 2002, the Company entered into a license agreement with Candie’s, Inc. (“Candie’s”), a leading designer and marketer of young women’s footwear, apparel and accessories. This license agreement enabled the Company to open and operate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retail stores in outlet malls and value centers throughout the United States. In the first quarter of fiscal 2003, the Company entered into a joint venture with EcKo Complex, LLC (“EcKo”), a leading design-driven lifestyle brand targeting young men and women with worldwide annual sales exceeding $200 million. Under this joint venture agreement, the Company will exclusively open and operate 75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outlet stores throughout the United States over a six-year period.</w:t>
      </w:r>
    </w:p>
    <w:p>
      <w:pPr>
        <w:spacing w:after="0" w:line="3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In the first quarter of fiscal 2003, the Company continued to see erosion in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The Levi Strauss &amp; Co. brands had been experiencing significant declines and loss of market share which were having a direct effect on the Company’s sales. In May 2002, with limited opportunity to expand its mature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the Company completed its acquisition of the Casual Male business from Casual Male Corp., which, at the time of the acquisition, was the largest retailer of men’s clothing in the big and tall market in the United States. At a bankruptcy ordered auction, the Company acquired substantially all of the assets of Casual Male and certain of its subsidiaries for a purchase price of approximately $170 million, plus assumption of certain operating liabilities. Management of the Company saw substantial opportunities from this acquisition, summarized by the following key factors:</w:t>
      </w:r>
    </w:p>
    <w:p>
      <w:pPr>
        <w:spacing w:after="0" w:line="44" w:lineRule="exact"/>
        <w:rPr>
          <w:sz w:val="20"/>
          <w:szCs w:val="20"/>
          <w:color w:val="auto"/>
        </w:rPr>
      </w:pPr>
    </w:p>
    <w:p>
      <w:pPr>
        <w:ind w:left="460" w:right="40" w:hanging="452"/>
        <w:spacing w:after="0" w:line="253"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approximately 475 stores, Casual Male was twenty times larger than its next largest direct competitor. The big and tall market, which is growing rapidly, is currently estimated to be a multi-billion dollar industry and Casual Male’s market share was only a small percentage, with significant opportunity to increase its store count to between 700-800 over the next several years.</w:t>
      </w:r>
    </w:p>
    <w:p>
      <w:pPr>
        <w:ind w:left="460" w:right="100" w:hanging="452"/>
        <w:spacing w:after="0" w:line="300"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Casual Male was a high margin but high expense company. The Company saw opportunities to lower operating costs by $20-$25 million on an annualized basis over a two year period through cost reductions and synergies, significantly enhancing Casual Male’s operating margins from historical levels.</w:t>
      </w:r>
    </w:p>
    <w:p>
      <w:pPr>
        <w:ind w:left="460" w:right="30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believed that the Casual Male business itself was a strong and growing business with stable profitability and was in bankruptcy primarily because of Casual Male Corp.’s footwear businesses.</w:t>
      </w:r>
    </w:p>
    <w:p>
      <w:pPr>
        <w:ind w:left="460" w:right="2660" w:hanging="452"/>
        <w:spacing w:after="0" w:line="361"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Company saw opportunities to increase Casual Male’s revenues, as the sales base from Casual Male’s catalog and e-commerce operations were less than 10% of the total Casual Male business, providing significant future growth</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right="120"/>
        <w:spacing w:after="0" w:line="332" w:lineRule="auto"/>
        <w:rPr>
          <w:sz w:val="20"/>
          <w:szCs w:val="20"/>
          <w:color w:val="auto"/>
        </w:rPr>
      </w:pPr>
      <w:r>
        <w:rPr>
          <w:rFonts w:ascii="Arial" w:cs="Arial" w:eastAsia="Arial" w:hAnsi="Arial"/>
          <w:sz w:val="16"/>
          <w:szCs w:val="16"/>
          <w:color w:val="auto"/>
        </w:rPr>
        <w:t>opportunities. In addition, management also believed that the merchandise assortments in the Casual Male stores were not necessarily representative of its customer base and believed that sales could be enhanced through better merchandise assortments in the retail stores.</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view of the significance of this acquisition to the growth and future identity of the Company, on August 8, 2002, the Company’s stockholders voted to change the Company’s name to “Casual Male Retail Group, Inc.”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Following the Casual Male acquisition, the Company re-evaluated its strategic initiatives. In light of the continued significant deterioration in its</w:t>
      </w:r>
    </w:p>
    <w:p>
      <w:pPr>
        <w:spacing w:after="0" w:line="1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the less than expected success of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the Company announced that it would downsize these businesses with the intention of eventually exiting them. This would enable management to focus its capital resources and energies on growing its more profitable Casual Male business. See “OTHER BRANDED APPAREL BUSINESSES-Levi’s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businesses” for a description of the Company’s exit strategy.</w:t>
      </w:r>
    </w:p>
    <w:p>
      <w:pPr>
        <w:spacing w:after="0" w:line="144" w:lineRule="exact"/>
        <w:rPr>
          <w:sz w:val="20"/>
          <w:szCs w:val="20"/>
          <w:color w:val="auto"/>
        </w:rPr>
      </w:pPr>
    </w:p>
    <w:p>
      <w:pPr>
        <w:ind w:right="700"/>
        <w:spacing w:after="0" w:line="340" w:lineRule="auto"/>
        <w:rPr>
          <w:sz w:val="20"/>
          <w:szCs w:val="20"/>
          <w:color w:val="auto"/>
        </w:rPr>
      </w:pPr>
      <w:r>
        <w:rPr>
          <w:rFonts w:ascii="Arial" w:cs="Arial" w:eastAsia="Arial" w:hAnsi="Arial"/>
          <w:sz w:val="18"/>
          <w:szCs w:val="18"/>
          <w:color w:val="auto"/>
        </w:rPr>
        <w:t xml:space="preserve">Since the Casual Male acquisition, the Company has operated in two segments, its “Casual Male business” and its “Other Branded Apparel businesses”. </w:t>
      </w:r>
      <w:r>
        <w:rPr>
          <w:rFonts w:ascii="Arial" w:cs="Arial" w:eastAsia="Arial" w:hAnsi="Arial"/>
          <w:sz w:val="18"/>
          <w:szCs w:val="18"/>
          <w:b w:val="1"/>
          <w:bCs w:val="1"/>
          <w:i w:val="1"/>
          <w:iCs w:val="1"/>
          <w:color w:val="auto"/>
        </w:rPr>
        <w:t>CASUAL MALE BUSINESS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Casual Male business, which represents over 80% of the Company’s total annualized revenues, is a multi-channel retailer offering what it believes to be high quality casual wear to the big and tall customer. The Company offers its merchandise to customers through diverse selling and marketing channels, including over 465 retail and outlet stores, which operate under the names “Casual Male Big &amp; Tall” and “Casual Male Big &amp; Tall Outlet” stores, two catalogs and two e-commerce sites.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Position</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previously mentioned, the big and tall market is extremely fragmented and rapidly growing. The Company believes it has opportunities for additional growth from its current market share.</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believes the apparel demands of the big and tall customer historically have not been met through traditional men’s apparel stores. The big and tall customer frequently has difficulty finding an adequate selection of apparel in department and specialty stores. Furthermore, the big and tall market is made up of many small, local stores that typically have a narrow merchandise selection. As the largest retailer in this market, the Company has significant purchasing power and product selection through both size and style and is able to reach its customers in a variety of ways, including through its retail stores, catalogs and e-commerce sites.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 Male Customer</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markets and sells to big men with waist sizes from 40” to 70” and tall men who are 6’2” or taller. According to NPD, a national market research firm, approximately 64% of U.S. adults are overweight or obese, up from 56% just six years ago. The Company tries to appeal to all of its customers by providing multiple ways to shop. For customers that are somewhat uncomfortable in a traditional shopping environment, the Company offers them the opportunity to shop through catalogs as well as through the Company’s e-commerce sites. The Casual Male customer is often a destination shopper when it comes to purchasing apparel for himself.</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discussed above, the Company has also begun to market more to the “Under 30” big and tall customer, who has more discretionary income when it comes to purchasing clothing. By adding well-known branded youth apparel that is geared specifically to this age group, the Company hopes to attract this “Under 30” customer while still appealing to its core customer base.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Multi-Channel Retailer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convenient shopping alternatives to its customers through its stores, catalogs and e-commerce sites.</w:t>
      </w:r>
    </w:p>
    <w:p>
      <w:pPr>
        <w:spacing w:after="0" w:line="7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Casual Male Big &amp; Tall retail stores</w:t>
      </w:r>
    </w:p>
    <w:p>
      <w:pPr>
        <w:spacing w:after="0" w:line="15" w:lineRule="exact"/>
        <w:rPr>
          <w:rFonts w:ascii="Arial" w:cs="Arial" w:eastAsia="Arial" w:hAnsi="Arial"/>
          <w:sz w:val="18"/>
          <w:szCs w:val="18"/>
          <w:color w:val="auto"/>
        </w:rPr>
      </w:pPr>
    </w:p>
    <w:p>
      <w:pPr>
        <w:ind w:left="460" w:right="40"/>
        <w:spacing w:after="0" w:line="254" w:lineRule="auto"/>
        <w:rPr>
          <w:rFonts w:ascii="Arial" w:cs="Arial" w:eastAsia="Arial" w:hAnsi="Arial"/>
          <w:sz w:val="18"/>
          <w:szCs w:val="18"/>
          <w:color w:val="auto"/>
        </w:rPr>
      </w:pPr>
      <w:r>
        <w:rPr>
          <w:rFonts w:ascii="Arial" w:cs="Arial" w:eastAsia="Arial" w:hAnsi="Arial"/>
          <w:sz w:val="18"/>
          <w:szCs w:val="18"/>
          <w:color w:val="auto"/>
        </w:rPr>
        <w:t>At February 1, 2003, the Company operated 409 Casual Male Big &amp; Tall full-price retail stores, located primarily in strip centers, power centers or stand-alone locations. These stores target the middle-income customer seeking good quality at moderate prices. As a result these stores offer a strong selection of basic sportswear and other casual apparel. The average Casual Male store is approximately 3,400 square feet and has approximately $190 in sales per square foot.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Casual Male Big &amp; Tall outlet stores</w:t>
      </w:r>
    </w:p>
    <w:p>
      <w:pPr>
        <w:spacing w:after="0" w:line="15" w:lineRule="exact"/>
        <w:rPr>
          <w:rFonts w:ascii="Arial" w:cs="Arial" w:eastAsia="Arial" w:hAnsi="Arial"/>
          <w:sz w:val="18"/>
          <w:szCs w:val="18"/>
          <w:color w:val="auto"/>
        </w:rPr>
      </w:pPr>
    </w:p>
    <w:p>
      <w:pPr>
        <w:jc w:val="both"/>
        <w:ind w:left="460" w:right="160"/>
        <w:spacing w:after="0" w:line="281" w:lineRule="auto"/>
        <w:rPr>
          <w:rFonts w:ascii="Arial" w:cs="Arial" w:eastAsia="Arial" w:hAnsi="Arial"/>
          <w:sz w:val="18"/>
          <w:szCs w:val="18"/>
          <w:color w:val="auto"/>
        </w:rPr>
      </w:pPr>
      <w:r>
        <w:rPr>
          <w:rFonts w:ascii="Arial" w:cs="Arial" w:eastAsia="Arial" w:hAnsi="Arial"/>
          <w:sz w:val="16"/>
          <w:szCs w:val="16"/>
          <w:color w:val="auto"/>
        </w:rPr>
        <w:t>At February 1, 2003, the Company operated 58 Casual Male Big &amp; Tall outlet stores designed to offer a wide range of casual clothing for the big and tall customer at moderate prices (but generally lower prices than its retail stores) and lower prices. Most of the merchandise in the Company’s outlet stores is offered with the purchasing interests of the value-oriented customer in mind. These stores also serve as a consolidation point for clearance and other slow moving inventory. The average Casual Male outlet store is approximately 3,100 square feet and has approximately $185 in sales per square foot.</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Approximately 20% of the merchandise in the outlet stores originates from the retail stores.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Catalog Business</w:t>
      </w:r>
    </w:p>
    <w:p>
      <w:pPr>
        <w:spacing w:after="0" w:line="15" w:lineRule="exact"/>
        <w:rPr>
          <w:rFonts w:ascii="Arial" w:cs="Arial" w:eastAsia="Arial" w:hAnsi="Arial"/>
          <w:sz w:val="18"/>
          <w:szCs w:val="18"/>
          <w:color w:val="auto"/>
        </w:rPr>
      </w:pPr>
    </w:p>
    <w:p>
      <w:pPr>
        <w:ind w:left="460" w:right="60"/>
        <w:spacing w:after="0" w:line="252" w:lineRule="auto"/>
        <w:rPr>
          <w:rFonts w:ascii="Arial" w:cs="Arial" w:eastAsia="Arial" w:hAnsi="Arial"/>
          <w:sz w:val="18"/>
          <w:szCs w:val="18"/>
          <w:color w:val="auto"/>
        </w:rPr>
      </w:pPr>
      <w:r>
        <w:rPr>
          <w:rFonts w:ascii="Arial" w:cs="Arial" w:eastAsia="Arial" w:hAnsi="Arial"/>
          <w:sz w:val="18"/>
          <w:szCs w:val="18"/>
          <w:color w:val="auto"/>
        </w:rPr>
        <w:t>The Company currently has two catalogs bearing the titles, “Casual Male Big &amp; Tall” and “REPP Big &amp; Tall,” respectively. The “Casual Male Big &amp; Tall” catalog targets customers who have similar demographics to the Company’s Casual Male stores. The catalog carries an assortment of casual merchandise similar to what is available in the stores, but it also offers a broader selection of dress apparel, such as sportcoats, suit separates and other tailored clothing. The “REPP Big &amp; Tall” catalog primarily carries proprietary, branded and designer apparel and is targeted to mid- to upper- income customers. The Company currently issues 17 editions of each catalog, which are released during selling seasons. In fiscal 2003, the Company circulated a total of 7.2 million catalogs.</w:t>
      </w:r>
    </w:p>
    <w:p>
      <w:pPr>
        <w:spacing w:after="0" w:line="53" w:lineRule="exact"/>
        <w:rPr>
          <w:rFonts w:ascii="Arial" w:cs="Arial" w:eastAsia="Arial" w:hAnsi="Arial"/>
          <w:sz w:val="18"/>
          <w:szCs w:val="18"/>
          <w:color w:val="auto"/>
        </w:rPr>
      </w:pPr>
    </w:p>
    <w:p>
      <w:pPr>
        <w:ind w:left="460" w:right="140"/>
        <w:spacing w:after="0" w:line="306" w:lineRule="auto"/>
        <w:rPr>
          <w:rFonts w:ascii="Arial" w:cs="Arial" w:eastAsia="Arial" w:hAnsi="Arial"/>
          <w:sz w:val="18"/>
          <w:szCs w:val="18"/>
          <w:color w:val="auto"/>
        </w:rPr>
      </w:pPr>
      <w:r>
        <w:rPr>
          <w:rFonts w:ascii="Arial" w:cs="Arial" w:eastAsia="Arial" w:hAnsi="Arial"/>
          <w:sz w:val="16"/>
          <w:szCs w:val="16"/>
          <w:color w:val="auto"/>
        </w:rPr>
        <w:t>Beginning in fiscal 2004, the Company plans to transition its REPP Big &amp; Tall catalog customers to its Casual Male Big &amp; Tall catalog. The REPP Big &amp; Tall catalog was an extension of the REPP Ltd. Big &amp; Tall stores, which were previously owned and subsequently closed by Casual Male Corp. The Company has seen a decrease in sales from this catalog due to the lack of name recognition and awareness of the REPP Big &amp; Tall brand.</w:t>
      </w:r>
    </w:p>
    <w:p>
      <w:pPr>
        <w:spacing w:after="0" w:line="12" w:lineRule="exact"/>
        <w:rPr>
          <w:rFonts w:ascii="Arial" w:cs="Arial" w:eastAsia="Arial" w:hAnsi="Arial"/>
          <w:sz w:val="18"/>
          <w:szCs w:val="18"/>
          <w:color w:val="auto"/>
        </w:rPr>
      </w:pPr>
    </w:p>
    <w:p>
      <w:pPr>
        <w:ind w:left="460" w:right="20"/>
        <w:spacing w:after="0" w:line="294" w:lineRule="auto"/>
        <w:rPr>
          <w:rFonts w:ascii="Arial" w:cs="Arial" w:eastAsia="Arial" w:hAnsi="Arial"/>
          <w:sz w:val="18"/>
          <w:szCs w:val="18"/>
          <w:color w:val="auto"/>
        </w:rPr>
      </w:pPr>
      <w:r>
        <w:rPr>
          <w:rFonts w:ascii="Arial" w:cs="Arial" w:eastAsia="Arial" w:hAnsi="Arial"/>
          <w:sz w:val="16"/>
          <w:szCs w:val="16"/>
          <w:color w:val="auto"/>
        </w:rPr>
        <w:t>Prior to the Company’s acquisition of the Casual Male business, catalog mailings by Casual Male Corp. were not targeted to its retail customers. Since the acquisition, however, the Company’s strategy with regard to mailings has been to provide all of its customers with as many options to purchase its products as possible whether it be at a retail store, through a catalog or on the internet. Accordingly, the Company has increased its circulation database with the addition of over two million of its store customers and will be shipping catalogs to these customers beginning in fiscal 2004. As a result, total circulation is expected to increase more than 20% to nine million in fiscal 2004.</w:t>
      </w:r>
    </w:p>
    <w:p>
      <w:pPr>
        <w:spacing w:after="0" w:line="21" w:lineRule="exact"/>
        <w:rPr>
          <w:rFonts w:ascii="Arial" w:cs="Arial" w:eastAsia="Arial" w:hAnsi="Arial"/>
          <w:sz w:val="18"/>
          <w:szCs w:val="18"/>
          <w:color w:val="auto"/>
        </w:rPr>
      </w:pPr>
    </w:p>
    <w:p>
      <w:pPr>
        <w:ind w:left="460" w:right="60"/>
        <w:spacing w:after="0" w:line="254" w:lineRule="auto"/>
        <w:rPr>
          <w:rFonts w:ascii="Arial" w:cs="Arial" w:eastAsia="Arial" w:hAnsi="Arial"/>
          <w:sz w:val="18"/>
          <w:szCs w:val="18"/>
          <w:color w:val="auto"/>
        </w:rPr>
      </w:pPr>
      <w:r>
        <w:rPr>
          <w:rFonts w:ascii="Arial" w:cs="Arial" w:eastAsia="Arial" w:hAnsi="Arial"/>
          <w:sz w:val="18"/>
          <w:szCs w:val="18"/>
          <w:color w:val="auto"/>
        </w:rPr>
        <w:t>The Company also promotes catalog sales in its Casual Male Big &amp; Tall stores. Expanded assortments of items, colors and sizes and brands in the catalogs complement and supplement the stores’ assortment. Such catalog orders are placed by store associates via an intra-net link and are shipped directly to customers from the Company’s distribution center in Canton, Massachusetts. This use of the catalog is intended to generate both additional sales and customer loyalty. In fiscal 2004, the Company plans to expand its catalog reach further by providing large supplies of catalogs to all stores and will test adding sample catalog merchandise to generate greater sales. In-bound calls and order fulfillment for the Company’s catalogs are currently handled at its distribution center. See “Distribution” below.</w:t>
      </w:r>
    </w:p>
    <w:p>
      <w:pPr>
        <w:spacing w:after="0" w:line="1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E-Commerce Business</w:t>
      </w:r>
    </w:p>
    <w:p>
      <w:pPr>
        <w:spacing w:after="0" w:line="15" w:lineRule="exact"/>
        <w:rPr>
          <w:rFonts w:ascii="Arial" w:cs="Arial" w:eastAsia="Arial" w:hAnsi="Arial"/>
          <w:sz w:val="18"/>
          <w:szCs w:val="18"/>
          <w:color w:val="auto"/>
        </w:rPr>
      </w:pPr>
    </w:p>
    <w:p>
      <w:pPr>
        <w:ind w:left="460"/>
        <w:spacing w:after="0" w:line="292" w:lineRule="auto"/>
        <w:rPr>
          <w:rFonts w:ascii="Arial" w:cs="Arial" w:eastAsia="Arial" w:hAnsi="Arial"/>
          <w:sz w:val="18"/>
          <w:szCs w:val="18"/>
          <w:color w:val="auto"/>
        </w:rPr>
      </w:pPr>
      <w:r>
        <w:rPr>
          <w:rFonts w:ascii="Arial" w:cs="Arial" w:eastAsia="Arial" w:hAnsi="Arial"/>
          <w:sz w:val="16"/>
          <w:szCs w:val="16"/>
          <w:color w:val="auto"/>
        </w:rPr>
        <w:t xml:space="preserve">The Company currently has two e-commerce web sites: </w:t>
      </w:r>
      <w:r>
        <w:rPr>
          <w:rFonts w:ascii="Arial" w:cs="Arial" w:eastAsia="Arial" w:hAnsi="Arial"/>
          <w:sz w:val="16"/>
          <w:szCs w:val="16"/>
          <w:u w:val="single" w:color="auto"/>
          <w:color w:val="auto"/>
        </w:rPr>
        <w:t>www.casualmale.com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www.reppbigandtall.com</w:t>
      </w:r>
      <w:r>
        <w:rPr>
          <w:rFonts w:ascii="Arial" w:cs="Arial" w:eastAsia="Arial" w:hAnsi="Arial"/>
          <w:sz w:val="16"/>
          <w:szCs w:val="16"/>
          <w:color w:val="auto"/>
        </w:rPr>
        <w:t xml:space="preserve">. These sites offer substantially the same merchandise as is offered in their respective catalogs. In addition to product offerings, </w:t>
      </w:r>
      <w:r>
        <w:rPr>
          <w:rFonts w:ascii="Arial" w:cs="Arial" w:eastAsia="Arial" w:hAnsi="Arial"/>
          <w:sz w:val="16"/>
          <w:szCs w:val="16"/>
          <w:u w:val="single" w:color="auto"/>
          <w:color w:val="auto"/>
        </w:rPr>
        <w:t>www.casualmale.com</w:t>
      </w:r>
      <w:r>
        <w:rPr>
          <w:rFonts w:ascii="Arial" w:cs="Arial" w:eastAsia="Arial" w:hAnsi="Arial"/>
          <w:sz w:val="16"/>
          <w:szCs w:val="16"/>
          <w:color w:val="auto"/>
        </w:rPr>
        <w:t xml:space="preserve"> contains a store locator directory and a corporate “investor relations” link. The Company uses the Ecometry and WebOrder software system that provides, among other things, electronic shopping carts, order taking, payment and security systems, order management, warehouse and shipping management and real-time inventory availability. The Company currently processes and fulfills orders from its web sites through its distribution center.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Although to date its e-commerce web sites have generated relatively small sales volume, the Company sees the internet as a significant growth opportunity. Internet sales in fiscal 2003 increased 90% over the prior year, and the Company anticipates that internet sales will increase another 75% in fiscal 2004 to exceed $10 million. In addition, the Company has also signed an agreement with Amazon.com, the biggest internet seller of general merchandise, to launch Casual Male Big &amp; Tall apparel shops on the Amazon.com web site by the fiscal 2004 back to school season. The Company expects the agreement with Amazon.com to provide further growth and brand identity for the Company’s Casual Male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w:t>
      </w:r>
    </w:p>
    <w:p>
      <w:pPr>
        <w:spacing w:after="0" w:line="1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Company believes Casual Male offers a wide range of quality casual and dress apparel and footwear for big and tall men at moderate prices. Approximately 60% of Casual Male’s merchandise is basic or fashion-neutral items, such as jeans, casual slacks, tee-shirts and polo shirts. While the Company’s Casual Male business does carry several brand-name names, it also offers merchandise made specifically for Casual Male (“private label” merchandise), such as its Harbor Bay private label, which accounts for approximately 75% of Casual Male’s total merchandise.</w:t>
      </w:r>
    </w:p>
    <w:p>
      <w:pPr>
        <w:spacing w:after="0" w:line="1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second quarter of fiscal 2003, the Company entered into a sourcing agreement with the Kellwood Company. This agreement is intended to assist the Company in obtaining sufficient quantities and assortments of private label merchandise at a competitive cost. In fiscal 2003, merchandise purchased from the Kellwood Company was not material to total purchases for the year.</w:t>
      </w:r>
    </w:p>
    <w:p>
      <w:pPr>
        <w:spacing w:after="0" w:line="127"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In order to attract the younger customer, who is between the ages of 17 and 30, the Company has started to introduce more youth-oriented branded merchandise into approximately 200 of its Casual Male Big &amp; Tall retail stores. The Company believes that this big and tall age group has been under-serviced by apparel retailers and sees this target group as an opportunity to increase revenue growth. This merchandise includes such brands as EcKo Unltd.</w:t>
      </w:r>
      <w:r>
        <w:rPr>
          <w:rFonts w:ascii="Arial" w:cs="Arial" w:eastAsia="Arial" w:hAnsi="Arial"/>
          <w:sz w:val="19"/>
          <w:szCs w:val="19"/>
          <w:color w:val="auto"/>
          <w:vertAlign w:val="superscript"/>
        </w:rPr>
        <w:t>®</w:t>
      </w:r>
      <w:r>
        <w:rPr>
          <w:rFonts w:ascii="Arial" w:cs="Arial" w:eastAsia="Arial" w:hAnsi="Arial"/>
          <w:sz w:val="15"/>
          <w:szCs w:val="15"/>
          <w:color w:val="auto"/>
        </w:rPr>
        <w:t>, Sean John, Rocawear, Pelle Pelle, Karl Kani, and Stacey Adams. Since the Company began to focus on this younger age group, youth wear sales have increased sizably.</w:t>
      </w:r>
    </w:p>
    <w:p>
      <w:pPr>
        <w:spacing w:after="0" w:line="8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will continue to seek merchandise offerings which fulfill the needs of its customer base. During fiscal 2004, the Company expects to launch a custom fit program, by which customers can purchase at its retail stores, from its e-commerce sites or through its catalogs certain styles of pants and shirts custom made to each customer’s specific fit requirements. In addition, the Company intends to broaden its merchandise offerings in activewear by introducing certain branded merchandise in all channels and additional branded products via its e-commerce sites. Depending upon the needs and requirements of its customers, the Company expects to make other merchandise changes or additions in the future.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15"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The Company’s marketing department creates and implements a wide variety of national, regional and local advertising, direct marketing and sales promotion programs. These television, radio and direct mail programs are designed to increase sales and customer awareness of the Casual Male brand name. Local store marketing activities occur on a regular basis and include store opening events and in-store promotion programs.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Advertising and marketing costs for the Casual Male businesses represent approximately 6% of the revenue from the Casual Male business. This includes advertising and all in-store signage for its more than 465 stores, creating and distributing nine million catalogs and supporting e-commerce efforts. Approximately 80% of the Company’s total marketing budget is spent on targeting the customer directly. The Company’s customer database contains more than 2.5 million names, together with their respective Casual Male purchase histories. In fiscal 2004, the Company expects to continue to test broad reach marketing programs in mass mediums in an effort to find cost effective methods for branding Casual Male Big &amp; Tall and reaching its target customers.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Competitors of the Casual Male Business</w:t>
      </w:r>
    </w:p>
    <w:p>
      <w:pPr>
        <w:spacing w:after="0" w:line="15" w:lineRule="exact"/>
        <w:rPr>
          <w:sz w:val="20"/>
          <w:szCs w:val="20"/>
          <w:color w:val="auto"/>
        </w:rPr>
      </w:pPr>
    </w:p>
    <w:p>
      <w:pPr>
        <w:ind w:right="220"/>
        <w:spacing w:after="0" w:line="331" w:lineRule="auto"/>
        <w:rPr>
          <w:sz w:val="20"/>
          <w:szCs w:val="20"/>
          <w:color w:val="auto"/>
        </w:rPr>
      </w:pPr>
      <w:r>
        <w:rPr>
          <w:rFonts w:ascii="Arial" w:cs="Arial" w:eastAsia="Arial" w:hAnsi="Arial"/>
          <w:sz w:val="15"/>
          <w:szCs w:val="15"/>
          <w:color w:val="auto"/>
        </w:rPr>
        <w:t>The Casual Male business faces competition from a variety of sources, including department stores, specialty stores, discount and off-price retailers as well as other retailers that sell big and tall merchandise. While the Company has successfully competed on the basis of merchandise selection, favorable pricing, customer service and desirable store locations, there can be no assurances that other retailers will not adopt purchasing and marketing concepts similar to those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of the Company. In addition, discount retailers with significant buying power, such as Wal-Mart and Target, represent an increasing source of competition for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2004 Casual Male Expansion Program</w:t>
      </w:r>
    </w:p>
    <w:p>
      <w:pPr>
        <w:spacing w:after="0" w:line="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previously mentioned, the Company expects to focus on seeking revenue growth in fiscal 2004 through increased circulation of its catalogs to its retail customers as well as continuing to grow its e-commerce operations, including its recently introduced apparel store on Amazon.com. The Company also plans to open seven new Casual Male Big &amp; Tall retail stores, relocate six additional stores and open nine Casual Male Big &amp; Tall outlets during the first half of fiscal 2004.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BRANDED APPAREL BUSINESSES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Other Branded Apparel businesses consist of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Levi’s</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/Dockers</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and Candies</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outlet businesses</w:t>
      </w:r>
    </w:p>
    <w:p>
      <w:pPr>
        <w:spacing w:after="0" w:line="230" w:lineRule="auto"/>
        <w:rPr>
          <w:sz w:val="20"/>
          <w:szCs w:val="20"/>
          <w:color w:val="auto"/>
        </w:rPr>
      </w:pPr>
      <w:r>
        <w:rPr>
          <w:rFonts w:ascii="Arial" w:cs="Arial" w:eastAsia="Arial" w:hAnsi="Arial"/>
          <w:sz w:val="17"/>
          <w:szCs w:val="17"/>
          <w:color w:val="auto"/>
        </w:rPr>
        <w:t>As discussed above, the Company announced in fiscal 2003 that it would be exiting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and its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 The Company plans to close between 50 to 55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stores over the next 24 months, thereby reducing the sales base of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 to less than 10% of the Company’s total sales. The Company expects that its remaining 30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stores will either be closed at the end of their respective lease terms, or otherwise be divested in a sales transaction. Until such closings or divestiture, these remaining stores will continue to offer an exclusive selection of Levi Strauss &amp; Co. brands of merchandise, which include Levi’s</w:t>
      </w:r>
      <w:r>
        <w:rPr>
          <w:rFonts w:ascii="Arial" w:cs="Arial" w:eastAsia="Arial" w:hAnsi="Arial"/>
          <w:sz w:val="21"/>
          <w:szCs w:val="21"/>
          <w:color w:val="auto"/>
          <w:vertAlign w:val="superscript"/>
        </w:rPr>
        <w:t>®</w:t>
      </w:r>
      <w:r>
        <w:rPr>
          <w:rFonts w:ascii="Arial" w:cs="Arial" w:eastAsia="Arial" w:hAnsi="Arial"/>
          <w:sz w:val="17"/>
          <w:szCs w:val="17"/>
          <w:color w:val="auto"/>
        </w:rPr>
        <w:t>, 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Slates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brands, at outlet prices. As such, the Company will continue to work with Levi Strauss &amp; Co. on obtaining competitive costs for its products and, based on availability, will stock these remaining stores with a higher level of close-out merchandise, which will enable the Company to maintain its margin levels. The Company expects that these remaining stores will generate positive cash flow while they remain open.</w:t>
      </w:r>
    </w:p>
    <w:p>
      <w:pPr>
        <w:spacing w:after="0" w:line="144"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The Company also decided to exit its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 by transferring the operations of seven of these stores to Candies, Inc. for the next 12 to 18 months. After that time, Candies, Inc. will either purchase the stores from the Company or the stores will be closed. The Company plans to convert four of the five stores remaining to either its Casual Male or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 concepts during fiscal 2004.</w:t>
      </w:r>
    </w:p>
    <w:p>
      <w:pPr>
        <w:spacing w:after="0" w:line="45" w:lineRule="exact"/>
        <w:rPr>
          <w:sz w:val="20"/>
          <w:szCs w:val="20"/>
          <w:color w:val="auto"/>
        </w:rPr>
      </w:pPr>
    </w:p>
    <w:p>
      <w:pPr>
        <w:ind w:right="60"/>
        <w:spacing w:after="0" w:line="220" w:lineRule="auto"/>
        <w:rPr>
          <w:sz w:val="20"/>
          <w:szCs w:val="20"/>
          <w:color w:val="auto"/>
        </w:rPr>
      </w:pPr>
      <w:r>
        <w:rPr>
          <w:rFonts w:ascii="Arial" w:cs="Arial" w:eastAsia="Arial" w:hAnsi="Arial"/>
          <w:sz w:val="18"/>
          <w:szCs w:val="18"/>
          <w:color w:val="auto"/>
        </w:rPr>
        <w:t>The restructuring charges that the Company recorded in fiscal 2003 in connection with its decision to exit the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the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were approximately $41.3 million (which included an $8.0 million charge against certain deferred tax assets ) and are discussed in full under “Management’s Discussion and Analysis – Summary of Significant Fiscal 2003 Events.”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EcKo Unltd.</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Business</w:t>
      </w:r>
    </w:p>
    <w:p>
      <w:pPr>
        <w:ind w:right="20"/>
        <w:spacing w:after="0" w:line="258" w:lineRule="auto"/>
        <w:rPr>
          <w:sz w:val="20"/>
          <w:szCs w:val="20"/>
          <w:color w:val="auto"/>
        </w:rPr>
      </w:pPr>
      <w:r>
        <w:rPr>
          <w:rFonts w:ascii="Arial" w:cs="Arial" w:eastAsia="Arial" w:hAnsi="Arial"/>
          <w:sz w:val="17"/>
          <w:szCs w:val="17"/>
          <w:color w:val="auto"/>
        </w:rPr>
        <w:t>Under its joint venture agreement with EcKo Complex, LLC, the Company, a 50.5% partner, owns and manages retail outlet stores bearing the name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featuring EcKo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branded merchandise. EcKo, a 49.5% partner, contributes to the joint venture the use of its trademark and the merchandise requirements, at cost, for the retail outlet stores. The Company contributes all real estate and operating requirements of the retail outlet stores, including but not limited to, the real estate leases, payroll needs and advertising. Each partner shares in the operating profits of the joint venture, after each partner has received reimbursement for its cost contributions. Under the terms of the agreement, the Company must maintain a prescribed store opening schedule and open 75 stores over a six-year period in order to maintain the joint venture’s exclusivity. At certain times during the term of the agreement, the Company may exercise a put option to sell its share of the retail joint venture to EcKo, and EcKo has an option to acquire the Company’s share of the retail joint venture at a price based on the performance of the retail outlet stores.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Sales performance of the six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opened during fiscal 2003 exceeded $600 sales per square foot.</w:t>
      </w:r>
    </w:p>
    <w:p>
      <w:pPr>
        <w:spacing w:after="0" w:line="11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Company believes that its EcKo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Unltd. outlet stores represent an opportunity in the outlet marketplace for the underdeveloped young men’s and junior market because EcKo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is believed to be a cross-over youth brand appealing to both urban and suburban youth with a core customer between the ages of 14 to 24. Accordingly, these stores provide a broad selection of merchandise ranging from hip-hop to extreme sports, and street-wear to fraternity wear, with a core menswear line consisting of fleece, twill and denim bottoms, wovens, printed tee shirts, knits and sweaters.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Management believes that its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compete with other outlet apparel retailers on the basis of selection of quality, service and price. The Company stresses product training with its sales staff and, with the assistance of merchandise materials from EcKo Complex, LLC, provides its sales personnel with substantial product knowledge training across all product lines.</w:t>
      </w:r>
    </w:p>
    <w:p>
      <w:pPr>
        <w:spacing w:after="0" w:line="144" w:lineRule="exact"/>
        <w:rPr>
          <w:sz w:val="20"/>
          <w:szCs w:val="20"/>
          <w:color w:val="auto"/>
        </w:rPr>
      </w:pPr>
    </w:p>
    <w:p>
      <w:pPr>
        <w:ind w:right="200"/>
        <w:spacing w:after="0" w:line="208" w:lineRule="auto"/>
        <w:rPr>
          <w:sz w:val="20"/>
          <w:szCs w:val="20"/>
          <w:color w:val="auto"/>
        </w:rPr>
      </w:pPr>
      <w:r>
        <w:rPr>
          <w:rFonts w:ascii="Arial" w:cs="Arial" w:eastAsia="Arial" w:hAnsi="Arial"/>
          <w:sz w:val="18"/>
          <w:szCs w:val="18"/>
          <w:color w:val="auto"/>
        </w:rPr>
        <w:t>Based on the performance through the end of fiscal 2003 of its six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the Company plans to open a total of 16 or 17 new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during fiscal 2004, with 10 to 12 of such stores opening by the end of June 2003.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1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As part of the Company’s acquisition of the Casual Male business, the Company acquired the property in Canton, Massachusetts that served as Casual Male Corp.’s corporate offices and distribution center. At the end of fiscal 2003, the Company terminated the leases of its two other distribution centers, which were located in Orlando, Florida, and centralized all of its distribution operations in Canton.</w:t>
      </w:r>
    </w:p>
    <w:p>
      <w:pPr>
        <w:spacing w:after="0" w:line="131"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The Company believes that having one centralized distribution facility minimizes the delivered cost of merchandise and maximizes the in-stock position of its stores. The Company believes that the centralized distribution system enables its stores to maximize selling space by reducing necessary levels of back-room stock carried in each store. In addition, the distribution center provides order fulfillment services for the Company’s e-commerce and catalog businesses.</w:t>
      </w:r>
    </w:p>
    <w:p>
      <w:pPr>
        <w:spacing w:after="0" w:line="7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fiscal 2002, the Company partnered with United Parcel Services (“UPS”) to improve upon its distribution methods and reduce shipping costs as a result of not having to use third party trucking companies. By utilizing UPS, the Company is able to track all deliveries from the warehouse to the individual stores and gives the Company the added visibility to the status of in-transit shipments.</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During fiscal 2003, the Company formulated different shipping methods to accommodate the distinct merchandise delivery needs of each of its retail stores. The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which ship to stores multiple times per week, continue to partner with UPS thus taking advantage of UPS volume pricing incentives and the ability to track each shipment from the distribution center to the stores. The Casual Male stores utilize a network of third party LTL (less than full truck carriers), truckload and pool distribution carriers to maintain a once per week shipping schedule to its stores. This flexibility allows the Company to distribute merchandise on an as-needed basis to specific stores while maintaining lower freight costs. The Company continues to review its distribution methods to find more efficient and cost-effective ways to move merchandise to its stores.</w:t>
      </w:r>
    </w:p>
    <w:p>
      <w:pPr>
        <w:spacing w:after="0" w:line="13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fiscal 2004, the Company expects to implement Manhattan Associates’ PKMS warehousing application for its distribution center systems which is expected to significantly streamline the Company’s distribution processes, enhance in-transit times, and significantly reduce distribution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Since the Company’s acquisition of the Casual Male business, one of the Company’s primary goals has been to integrate the systems of the acquired business with those of the Company and to upgrade and enhance current systems where necessary. The Company has identified significant cost savings and synergies that can only be realized upon the completion of this integration and upgrade of the system infrastructure.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At the time of the acquisition, the Casual Male business operated primarily on an IBM mainframe platform. The mainframe based system included an internally supported enterprise retail system, and a human resource/payroll application. The Company’s then-existing e-commerce/catalog fulfillment infrastructure operated on a Hewlett-Packard environment on software from Ecometry, and the remainder of is business operated on an IBM 400 platform. The Company’s financial systems were supported by a client server environment.</w:t>
      </w:r>
    </w:p>
    <w:p>
      <w:pPr>
        <w:spacing w:after="0" w:line="13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Presently, the Company’s management information systems, which are located at the Company’s new corporate headquarters in Canton and at all of its retail stores, consist of a full range of retail merchandising and financial systems which include merchandise planning and reporting, distribution center processing, inventory allocation, sales reporting,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financial processing and reporting. Until integration is complete, the Company’s Casual Male business will continue to operate primarily on a mainframe platform, with the e-commerce/catalog business on the HP environment, and the remainder of the business on the IBM AS/400 platform</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In February 2003, subsequent to the end of fiscal 2003, the Company completed the conversion of the Casual Male business to its Lawson Financial System.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now has several tools from which to manage the business on a consolidated level in a more efficient and effective manner.</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fiscal 2004, the Company plans to implement the JDA E3 Advanced Replenishment system for the Casual Male business. This system will be integrated with the current Casual Male business mainframe platform in an effort to improve sales opportunities and better manage inventories of basic merchandise.</w:t>
      </w:r>
    </w:p>
    <w:p>
      <w:pPr>
        <w:spacing w:after="0" w:line="7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fiscal 2004, the Company plans to complete the systems integration work to upgrade its merchandising systems to the JDA Portfolio Solutions, specifically the MMS Merchandise Management System, E3 Advanced Replenishment, Retail Ideas Data Warehouse, and Arthur Merchandise Planning and Advanced Allocation systems. In addition, the Company also plans to convert its distribution system to Manhattan Associates’ PKMS distribution system. Once the system is converted, the Company should be able to improve sales, better manage its inventory levels, and streamline operations.</w:t>
      </w:r>
    </w:p>
    <w:p>
      <w:pPr>
        <w:spacing w:after="0" w:line="9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Currently, all of the Company’s stores have point-of-sale terminals supplied by IBM, Fujitsu, and NCR. The Casual Male business is supported by a point-of-sale business application provided by Triversity, and the remainder of the Company’s business is supported by a point-of-sale business application by CRS. The point-of-sale applications capture daily transaction information by item, color and size. The Company utilizes barcode technology in tracking sales, inventory and pricing information. Communication between the corporate headquarters and all stores is facilitated on a daily basis through the use of an electronic mail system. The merchandising management systems are updated daily with all store transactions and provide daily sales, inventory, pricing and merchandise information and management reports to assist the Company in operating its retail business. The Company’s merchandising system applications also facilitate the placement and tracking of purchase orders and utilize electronic data interchange. The Company evaluates this information, together with weekly reports on merchandise statistics, prior to making decisions regarding reorders of fast-selling items and the allocation of merchandise.</w:t>
      </w:r>
    </w:p>
    <w:p>
      <w:pPr>
        <w:spacing w:after="0" w:line="1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utilizes a Microsoft NT / Windows 2000 environment running on a local area network to communicate and work-share within its corporate headquarters. The Company also utilizes the services of ADP, an outside payroll processing provider, to prepare, distribute and report its weekly payroll. All of the Company’s payroll processing was consolidated onto the ADP processing effective January 1, 2003.</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5"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Consistent with the retail industry, the Company’s business is seasonal. The Casual Male business traditionally generates the largest volume of its sales in June and the Christmas season. The Company’s outlet businesses, which include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traditionally generate more than 50% of its sales in the second half of the fiscal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The Company owns several servicemarks and trademarks relating to its Casual Male business, including Casual Male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Casual Male Big &amp; Tall</w:t>
      </w:r>
      <w:r>
        <w:rPr>
          <w:rFonts w:ascii="Arial" w:cs="Arial" w:eastAsia="Arial" w:hAnsi="Arial"/>
          <w:sz w:val="21"/>
          <w:szCs w:val="21"/>
          <w:color w:val="auto"/>
          <w:vertAlign w:val="superscript"/>
        </w:rPr>
        <w:t>®</w:t>
      </w:r>
      <w:r>
        <w:rPr>
          <w:rFonts w:ascii="Arial" w:cs="Arial" w:eastAsia="Arial" w:hAnsi="Arial"/>
          <w:sz w:val="17"/>
          <w:szCs w:val="17"/>
          <w:color w:val="auto"/>
        </w:rPr>
        <w:t>.</w:t>
      </w:r>
    </w:p>
    <w:p>
      <w:pPr>
        <w:spacing w:after="0" w:line="11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“Levi’s</w:t>
      </w:r>
      <w:r>
        <w:rPr>
          <w:rFonts w:ascii="Arial" w:cs="Arial" w:eastAsia="Arial" w:hAnsi="Arial"/>
          <w:sz w:val="22"/>
          <w:szCs w:val="22"/>
          <w:color w:val="auto"/>
          <w:vertAlign w:val="superscript"/>
        </w:rPr>
        <w:t>®</w:t>
      </w:r>
      <w:r>
        <w:rPr>
          <w:rFonts w:ascii="Arial" w:cs="Arial" w:eastAsia="Arial" w:hAnsi="Arial"/>
          <w:sz w:val="18"/>
          <w:szCs w:val="18"/>
          <w:color w:val="auto"/>
        </w:rPr>
        <w:t>” and “Slates</w:t>
      </w:r>
      <w:r>
        <w:rPr>
          <w:rFonts w:ascii="Arial" w:cs="Arial" w:eastAsia="Arial" w:hAnsi="Arial"/>
          <w:sz w:val="22"/>
          <w:szCs w:val="22"/>
          <w:color w:val="auto"/>
          <w:vertAlign w:val="superscript"/>
        </w:rPr>
        <w:t>®</w:t>
      </w:r>
      <w:r>
        <w:rPr>
          <w:rFonts w:ascii="Arial" w:cs="Arial" w:eastAsia="Arial" w:hAnsi="Arial"/>
          <w:sz w:val="18"/>
          <w:szCs w:val="18"/>
          <w:color w:val="auto"/>
        </w:rPr>
        <w:t>” are registered trademarks of Levi Strauss &amp; Co. “Candie’s</w:t>
      </w:r>
      <w:r>
        <w:rPr>
          <w:rFonts w:ascii="Arial" w:cs="Arial" w:eastAsia="Arial" w:hAnsi="Arial"/>
          <w:sz w:val="22"/>
          <w:szCs w:val="22"/>
          <w:color w:val="auto"/>
          <w:vertAlign w:val="superscript"/>
        </w:rPr>
        <w:t>®</w:t>
      </w:r>
      <w:r>
        <w:rPr>
          <w:rFonts w:ascii="Arial" w:cs="Arial" w:eastAsia="Arial" w:hAnsi="Arial"/>
          <w:sz w:val="18"/>
          <w:szCs w:val="18"/>
          <w:color w:val="auto"/>
        </w:rPr>
        <w:t>” is a registered trademark of Candie’s, Inc. “EcKo</w:t>
      </w:r>
      <w:r>
        <w:rPr>
          <w:rFonts w:ascii="Arial" w:cs="Arial" w:eastAsia="Arial" w:hAnsi="Arial"/>
          <w:sz w:val="22"/>
          <w:szCs w:val="22"/>
          <w:color w:val="auto"/>
          <w:vertAlign w:val="superscript"/>
        </w:rPr>
        <w:t>®</w:t>
      </w:r>
      <w:r>
        <w:rPr>
          <w:rFonts w:ascii="Arial" w:cs="Arial" w:eastAsia="Arial" w:hAnsi="Arial"/>
          <w:sz w:val="18"/>
          <w:szCs w:val="18"/>
          <w:color w:val="auto"/>
        </w:rPr>
        <w:t>” and “EcKo Unltd.</w:t>
      </w:r>
      <w:r>
        <w:rPr>
          <w:rFonts w:ascii="Arial" w:cs="Arial" w:eastAsia="Arial" w:hAnsi="Arial"/>
          <w:sz w:val="22"/>
          <w:szCs w:val="22"/>
          <w:color w:val="auto"/>
          <w:vertAlign w:val="superscript"/>
        </w:rPr>
        <w:t>®</w:t>
      </w:r>
      <w:r>
        <w:rPr>
          <w:rFonts w:ascii="Arial" w:cs="Arial" w:eastAsia="Arial" w:hAnsi="Arial"/>
          <w:sz w:val="18"/>
          <w:szCs w:val="18"/>
          <w:color w:val="auto"/>
        </w:rPr>
        <w:t>” are registered trademarks of EcKo Complex, LLC.</w:t>
      </w:r>
    </w:p>
    <w:p>
      <w:pPr>
        <w:spacing w:after="0" w:line="58"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operates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pursuant to a trademark license agreement with Levi Strauss &amp; Co., which agreement was most recently amended in October 1998 (as amended, the “Levi Outlet License Agreement”). The Levi Outlet License Agreement authorizes the Company to use certain Levi Strauss &amp; Co. trademarks in connection with the operation of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by Designs in 25 states in the eastern portion of the United States and in Puerto Rico.</w:t>
      </w:r>
    </w:p>
    <w:p>
      <w:pPr>
        <w:spacing w:after="0" w:line="143"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The Company operates its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pursuant to a joint venture agreement with EcKo Complex LLC which authorizes the Company to utilize the EcKo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trademark in connection with the operations of its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5" w:lineRule="exact"/>
        <w:rPr>
          <w:sz w:val="20"/>
          <w:szCs w:val="20"/>
          <w:color w:val="auto"/>
        </w:rPr>
      </w:pPr>
    </w:p>
    <w:p>
      <w:pPr>
        <w:ind w:right="500"/>
        <w:spacing w:after="0" w:line="361" w:lineRule="auto"/>
        <w:rPr>
          <w:sz w:val="20"/>
          <w:szCs w:val="20"/>
          <w:color w:val="auto"/>
        </w:rPr>
      </w:pPr>
      <w:r>
        <w:rPr>
          <w:rFonts w:ascii="Arial" w:cs="Arial" w:eastAsia="Arial" w:hAnsi="Arial"/>
          <w:sz w:val="15"/>
          <w:szCs w:val="15"/>
          <w:color w:val="auto"/>
        </w:rPr>
        <w:t>As of February 1, 2003, the Company employed approximately 4,340 associates, of whom 1,759 were full-time personnel. The Company hires additional temporary employees during the peak Fall and Holiday seasons. None of the Company’s employees is represented by any collective bargaining agreement.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The Company’s corporate web site is </w:t>
      </w:r>
      <w:r>
        <w:rPr>
          <w:rFonts w:ascii="Arial" w:cs="Arial" w:eastAsia="Arial" w:hAnsi="Arial"/>
          <w:sz w:val="18"/>
          <w:szCs w:val="18"/>
          <w:u w:val="single" w:color="auto"/>
          <w:color w:val="auto"/>
        </w:rPr>
        <w:t>www.cmrginc.com</w:t>
      </w:r>
      <w:r>
        <w:rPr>
          <w:rFonts w:ascii="Arial" w:cs="Arial" w:eastAsia="Arial" w:hAnsi="Arial"/>
          <w:sz w:val="18"/>
          <w:szCs w:val="18"/>
          <w:color w:val="auto"/>
        </w:rPr>
        <w:t>. The Company makes available free of charge through its web site its Annual Reports on Form 10-K, Quarterly Reports on Form 10-Q, Current Reports on Form 8-K and amendments to such reports filed or furnished pursuant to Section 13(a) of the Securities Exchange Act of 1934, as amended, as soon as reasonably practicable after the Company has electronically filed such material with, or furnished such materials to, the Securities and Exchange Commission.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i w:val="1"/>
          <w:iCs w:val="1"/>
          <w:color w:val="auto"/>
        </w:rPr>
        <w:t>Properties</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corporate offices and distribution center are located at 555 Turnpike Street in Canton, Massachusetts. The facility is located on 37 acres of land and is owned by Designs Canton Property Corp., a wholly owned subsidiary of Designs Canton Holdings, Inc., which is an indirect wholly owed subsidiary of the Company. The property, which was acquired by the Company as part of its Casual Male acquisition, is subject to an outstanding mortgage of $11.6 million at February 1, 2003. The mortgage is secured by the real estate and the buildings. The property contains about 750,000 square feet, which includes approximately 150,000 square feet of office space.</w:t>
      </w:r>
    </w:p>
    <w:p>
      <w:pPr>
        <w:spacing w:after="0" w:line="1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remains liable on its lease, which expires in January 2006, for its previous corporate offices located at 66 B Street, Needham, Massachusetts. With the exception of the Company’s loss-prevention subsidiary, LP Innovations, Inc., which occupies approximately 19,000 square feet of the Needham facility, the Company has relocated all operations to its Canton offices. Subsequent to year end, on March 1, 2003, the Company entered into a sub-lease agreement whereby it leases approximately 17,000 square feet of the total 80,000 square feet of leased space at the Needham facility. This sublease agreement expires in January 2006.</w:t>
      </w:r>
    </w:p>
    <w:p>
      <w:pPr>
        <w:spacing w:after="0" w:line="1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Until the end of fiscal 2003, the Company leased two distribution centers, totaling approximately 76,000 square feet, both of which were located in Orlando, Florida. As part of the Company’s integration of the Casual Male operations, the Company exercised its right to terminate both of these leases. The total cost to the Company to terminate these leases was approximately $76,000.</w:t>
      </w:r>
    </w:p>
    <w:p>
      <w:pPr>
        <w:spacing w:after="0" w:line="12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As of February 1, 2003, the Company operated 409 Casual Male Big and Tall retail stores, 58 Casual Male Big and Tall outlet stores, 82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and 6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All of these stores are leased by the Company directly from shopping center owners. The store leases are generally five years in length and contain renewal options extending their terms to between 5 and 10 years.</w:t>
      </w:r>
    </w:p>
    <w:p>
      <w:pPr>
        <w:spacing w:after="0" w:line="144"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Company remains principally liable on seven store leases for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the operations of which were transferred to Candies, Inc. at the end of fiscal 2003.</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to the Company’s target customers. These factors include the demographic profile of the area in which the site is located, the types of stores and other retailers in the area, the location of the store within the center and the attractiveness of the store layout. The Company also utilizes financial models to project the profitability of each location using assumptions such as the center’s sales per square foot averages, estimated occupancy costs and return on investment requirements. The Company believes that its selection of locations enables the Company’s stores to attract customers from the general shopping traffic and to generate its own customers from surrounding areas.</w:t>
      </w:r>
    </w:p>
    <w:p>
      <w:pPr>
        <w:spacing w:after="0" w:line="102" w:lineRule="exact"/>
        <w:rPr>
          <w:sz w:val="20"/>
          <w:szCs w:val="20"/>
          <w:color w:val="auto"/>
        </w:rPr>
      </w:pPr>
    </w:p>
    <w:p>
      <w:pPr>
        <w:jc w:val="center"/>
        <w:ind w:right="200"/>
        <w:spacing w:after="0" w:line="440" w:lineRule="auto"/>
        <w:rPr>
          <w:sz w:val="20"/>
          <w:szCs w:val="20"/>
          <w:color w:val="auto"/>
        </w:rPr>
      </w:pPr>
      <w:r>
        <w:rPr>
          <w:rFonts w:ascii="Arial" w:cs="Arial" w:eastAsia="Arial" w:hAnsi="Arial"/>
          <w:sz w:val="18"/>
          <w:szCs w:val="18"/>
          <w:color w:val="auto"/>
        </w:rPr>
        <w:t>See also “Management’s Discussion and Analysis of Financial Condition and Results of Operations – Liquidity and Capital Resources – Capital Expenditures.” 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i w:val="1"/>
          <w:iCs w:val="1"/>
          <w:color w:val="auto"/>
        </w:rPr>
        <w:t>Legal Proceedings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Although the Company is a party to litigation and claims arising in the course of its business, management does not expect the results of these actions to have a material adverse effect on the Company’s business or financial condition.</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i w:val="1"/>
          <w:iCs w:val="1"/>
          <w:color w:val="auto"/>
        </w:rPr>
        <w:t>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the Company’s security holders during the fourth quarter of fiscal 2003.</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i w:val="1"/>
          <w:iCs w:val="1"/>
          <w:color w:val="auto"/>
        </w:rPr>
        <w:t>Market for the Registrant’s Common Equity and Related Stockholder Matters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listed for trading on the Nasdaq National Market under the symbol “CMRG.”</w:t>
      </w:r>
    </w:p>
    <w:p>
      <w:pPr>
        <w:spacing w:after="0" w:line="15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per share closing sales prices for the Common Stock, as reported on the Nasdaq consolidated reporting system.</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Ended</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February 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8058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67310</wp:posOffset>
            </wp:positionV>
            <wp:extent cx="257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67310</wp:posOffset>
            </wp:positionV>
            <wp:extent cx="257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9620" w:space="720"/>
            <w:col w:w="280" w:space="460"/>
            <w:col w:w="340"/>
          </w:cols>
          <w:pgMar w:left="240" w:top="459" w:right="23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9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0"/>
              <w:spacing w:after="0"/>
              <w:rPr>
                <w:sz w:val="20"/>
                <w:szCs w:val="20"/>
                <w:color w:val="auto"/>
              </w:rPr>
            </w:pPr>
            <w:r>
              <w:rPr>
                <w:rFonts w:ascii="Arial" w:cs="Arial" w:eastAsia="Arial" w:hAnsi="Arial"/>
                <w:sz w:val="18"/>
                <w:szCs w:val="18"/>
                <w:color w:val="auto"/>
                <w:w w:val="97"/>
              </w:rPr>
              <w:t>Second Quarter</w:t>
            </w:r>
          </w:p>
        </w:tc>
        <w:tc>
          <w:tcPr>
            <w:tcW w:w="9740" w:type="dxa"/>
            <w:vAlign w:val="bottom"/>
            <w:gridSpan w:val="3"/>
          </w:tcPr>
          <w:p>
            <w:pPr>
              <w:jc w:val="right"/>
              <w:ind w:right="340"/>
              <w:spacing w:after="0"/>
              <w:rPr>
                <w:sz w:val="20"/>
                <w:szCs w:val="20"/>
                <w:color w:val="auto"/>
              </w:rPr>
            </w:pPr>
            <w:r>
              <w:rPr>
                <w:rFonts w:ascii="Arial" w:cs="Arial" w:eastAsia="Arial" w:hAnsi="Arial"/>
                <w:sz w:val="18"/>
                <w:szCs w:val="18"/>
                <w:color w:val="auto"/>
              </w:rPr>
              <w:t>5.60</w:t>
            </w:r>
          </w:p>
        </w:tc>
        <w:tc>
          <w:tcPr>
            <w:tcW w:w="40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9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9740" w:type="dxa"/>
            <w:vAlign w:val="bottom"/>
            <w:gridSpan w:val="3"/>
          </w:tcPr>
          <w:p>
            <w:pPr>
              <w:jc w:val="right"/>
              <w:ind w:right="340"/>
              <w:spacing w:after="0"/>
              <w:rPr>
                <w:sz w:val="20"/>
                <w:szCs w:val="20"/>
                <w:color w:val="auto"/>
              </w:rPr>
            </w:pPr>
            <w:r>
              <w:rPr>
                <w:rFonts w:ascii="Arial" w:cs="Arial" w:eastAsia="Arial" w:hAnsi="Arial"/>
                <w:sz w:val="18"/>
                <w:szCs w:val="18"/>
                <w:color w:val="auto"/>
              </w:rPr>
              <w:t>4.19</w:t>
            </w:r>
          </w:p>
        </w:tc>
        <w:tc>
          <w:tcPr>
            <w:tcW w:w="40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1280" w:type="dxa"/>
            <w:vAlign w:val="bottom"/>
          </w:tcPr>
          <w:p>
            <w:pPr>
              <w:spacing w:after="0"/>
              <w:rPr>
                <w:sz w:val="20"/>
                <w:szCs w:val="20"/>
                <w:color w:val="auto"/>
              </w:rPr>
            </w:pPr>
            <w:r>
              <w:rPr>
                <w:rFonts w:ascii="Arial" w:cs="Arial" w:eastAsia="Arial" w:hAnsi="Arial"/>
                <w:sz w:val="14"/>
                <w:szCs w:val="14"/>
                <w:b w:val="1"/>
                <w:bCs w:val="1"/>
                <w:color w:val="auto"/>
              </w:rPr>
              <w:t>Fiscal Year Ended</w:t>
            </w:r>
          </w:p>
        </w:tc>
        <w:tc>
          <w:tcPr>
            <w:tcW w:w="9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80" w:type="dxa"/>
            <w:vAlign w:val="bottom"/>
          </w:tcPr>
          <w:p>
            <w:pPr>
              <w:spacing w:after="0"/>
              <w:rPr>
                <w:sz w:val="20"/>
                <w:szCs w:val="20"/>
                <w:color w:val="auto"/>
              </w:rPr>
            </w:pPr>
            <w:r>
              <w:rPr>
                <w:rFonts w:ascii="Arial" w:cs="Arial" w:eastAsia="Arial" w:hAnsi="Arial"/>
                <w:sz w:val="14"/>
                <w:szCs w:val="14"/>
                <w:b w:val="1"/>
                <w:bCs w:val="1"/>
                <w:color w:val="auto"/>
              </w:rPr>
              <w:t>February 1, 2003</w:t>
            </w:r>
          </w:p>
        </w:tc>
        <w:tc>
          <w:tcPr>
            <w:tcW w:w="900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1280" w:type="dxa"/>
            <w:vAlign w:val="bottom"/>
            <w:tcBorders>
              <w:bottom w:val="single" w:sz="8" w:color="auto"/>
            </w:tcBorders>
          </w:tcPr>
          <w:p>
            <w:pPr>
              <w:spacing w:after="0"/>
              <w:rPr>
                <w:sz w:val="8"/>
                <w:szCs w:val="8"/>
                <w:color w:val="auto"/>
              </w:rPr>
            </w:pPr>
          </w:p>
        </w:tc>
        <w:tc>
          <w:tcPr>
            <w:tcW w:w="90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80" w:type="dxa"/>
            <w:vAlign w:val="bottom"/>
          </w:tcPr>
          <w:p>
            <w:pPr>
              <w:spacing w:after="0"/>
              <w:rPr>
                <w:sz w:val="8"/>
                <w:szCs w:val="8"/>
                <w:color w:val="auto"/>
              </w:rPr>
            </w:pPr>
          </w:p>
        </w:tc>
        <w:tc>
          <w:tcPr>
            <w:tcW w:w="9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9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0"/>
              <w:spacing w:after="0"/>
              <w:rPr>
                <w:sz w:val="20"/>
                <w:szCs w:val="20"/>
                <w:color w:val="auto"/>
              </w:rPr>
            </w:pPr>
            <w:r>
              <w:rPr>
                <w:rFonts w:ascii="Arial" w:cs="Arial" w:eastAsia="Arial" w:hAnsi="Arial"/>
                <w:sz w:val="18"/>
                <w:szCs w:val="18"/>
                <w:color w:val="auto"/>
                <w:w w:val="97"/>
              </w:rPr>
              <w:t>Second Quarter</w:t>
            </w:r>
          </w:p>
        </w:tc>
        <w:tc>
          <w:tcPr>
            <w:tcW w:w="9740" w:type="dxa"/>
            <w:vAlign w:val="bottom"/>
            <w:gridSpan w:val="3"/>
          </w:tcPr>
          <w:p>
            <w:pPr>
              <w:jc w:val="right"/>
              <w:ind w:right="340"/>
              <w:spacing w:after="0"/>
              <w:rPr>
                <w:sz w:val="20"/>
                <w:szCs w:val="20"/>
                <w:color w:val="auto"/>
              </w:rPr>
            </w:pPr>
            <w:r>
              <w:rPr>
                <w:rFonts w:ascii="Arial" w:cs="Arial" w:eastAsia="Arial" w:hAnsi="Arial"/>
                <w:sz w:val="18"/>
                <w:szCs w:val="18"/>
                <w:color w:val="auto"/>
              </w:rPr>
              <w:t>8.05</w:t>
            </w:r>
          </w:p>
        </w:tc>
        <w:tc>
          <w:tcPr>
            <w:tcW w:w="40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9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9740" w:type="dxa"/>
            <w:vAlign w:val="bottom"/>
            <w:gridSpan w:val="3"/>
          </w:tcPr>
          <w:p>
            <w:pPr>
              <w:jc w:val="right"/>
              <w:ind w:right="340"/>
              <w:spacing w:after="0"/>
              <w:rPr>
                <w:sz w:val="20"/>
                <w:szCs w:val="20"/>
                <w:color w:val="auto"/>
              </w:rPr>
            </w:pPr>
            <w:r>
              <w:rPr>
                <w:rFonts w:ascii="Arial" w:cs="Arial" w:eastAsia="Arial" w:hAnsi="Arial"/>
                <w:sz w:val="18"/>
                <w:szCs w:val="18"/>
                <w:color w:val="auto"/>
              </w:rPr>
              <w:t>4.60</w:t>
            </w:r>
          </w:p>
        </w:tc>
        <w:tc>
          <w:tcPr>
            <w:tcW w:w="400" w:type="dxa"/>
            <w:vAlign w:val="bottom"/>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of April 25, 2003, based upon data provided by independent shareholder communication services and the transfer agent for the Common Stock, there were approximately 349 holders of record of Common Stock.</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has not paid and does not anticipate paying cash dividends on its common stock. For a description of financial covenants in the Company’s loan agreement that may restrict dividend payments, see Note C of the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i w:val="1"/>
          <w:iCs w:val="1"/>
          <w:color w:val="auto"/>
        </w:rPr>
        <w:t>Selected Financial Data</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Selected Financial Data-Historical Results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85"/>
              </w:rPr>
              <w:t xml:space="preserve">Fiscal Years Ended </w:t>
            </w:r>
            <w:r>
              <w:rPr>
                <w:rFonts w:ascii="Arial" w:cs="Arial" w:eastAsia="Arial" w:hAnsi="Arial"/>
                <w:sz w:val="22"/>
                <w:szCs w:val="22"/>
                <w:b w:val="1"/>
                <w:bCs w:val="1"/>
                <w:color w:val="auto"/>
                <w:w w:val="85"/>
                <w:vertAlign w:val="superscript"/>
              </w:rPr>
              <w:t>(1)</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February 1,</w:t>
            </w:r>
          </w:p>
        </w:tc>
        <w:tc>
          <w:tcPr>
            <w:tcW w:w="20" w:type="dxa"/>
            <w:vAlign w:val="bottom"/>
          </w:tcPr>
          <w:p>
            <w:pPr>
              <w:spacing w:after="0"/>
              <w:rPr>
                <w:sz w:val="22"/>
                <w:szCs w:val="22"/>
                <w:color w:val="auto"/>
              </w:rPr>
            </w:pPr>
          </w:p>
        </w:tc>
        <w:tc>
          <w:tcPr>
            <w:tcW w:w="124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w w:val="90"/>
              </w:rPr>
              <w:t>February 2,</w:t>
            </w:r>
          </w:p>
        </w:tc>
        <w:tc>
          <w:tcPr>
            <w:tcW w:w="10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February 3,</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29,</w:t>
            </w:r>
          </w:p>
        </w:tc>
        <w:tc>
          <w:tcPr>
            <w:tcW w:w="20" w:type="dxa"/>
            <w:vAlign w:val="bottom"/>
          </w:tcPr>
          <w:p>
            <w:pPr>
              <w:spacing w:after="0"/>
              <w:rPr>
                <w:sz w:val="22"/>
                <w:szCs w:val="22"/>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January 30,</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54"/>
              <w:spacing w:after="0" w:line="149" w:lineRule="exact"/>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2000</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3"/>
              </w:rPr>
              <w:t xml:space="preserve">(Fiscal 2003) </w:t>
            </w:r>
            <w:r>
              <w:rPr>
                <w:rFonts w:ascii="Arial" w:cs="Arial" w:eastAsia="Arial" w:hAnsi="Arial"/>
                <w:sz w:val="22"/>
                <w:szCs w:val="22"/>
                <w:b w:val="1"/>
                <w:bCs w:val="1"/>
                <w:color w:val="auto"/>
                <w:w w:val="83"/>
                <w:vertAlign w:val="superscript"/>
              </w:rPr>
              <w:t>(2)</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5"/>
              </w:rPr>
              <w:t>(Fiscal 2002)</w:t>
            </w:r>
          </w:p>
        </w:tc>
        <w:tc>
          <w:tcPr>
            <w:tcW w:w="500" w:type="dxa"/>
            <w:vAlign w:val="bottom"/>
          </w:tcPr>
          <w:p>
            <w:pPr>
              <w:spacing w:after="0"/>
              <w:rPr>
                <w:sz w:val="24"/>
                <w:szCs w:val="24"/>
                <w:color w:val="auto"/>
              </w:rPr>
            </w:pPr>
          </w:p>
        </w:tc>
        <w:tc>
          <w:tcPr>
            <w:tcW w:w="1080" w:type="dxa"/>
            <w:vAlign w:val="bottom"/>
            <w:gridSpan w:val="5"/>
          </w:tcPr>
          <w:p>
            <w:pPr>
              <w:ind w:left="20"/>
              <w:spacing w:after="0"/>
              <w:rPr>
                <w:sz w:val="20"/>
                <w:szCs w:val="20"/>
                <w:color w:val="auto"/>
              </w:rPr>
            </w:pPr>
            <w:r>
              <w:rPr>
                <w:rFonts w:ascii="Arial" w:cs="Arial" w:eastAsia="Arial" w:hAnsi="Arial"/>
                <w:sz w:val="14"/>
                <w:szCs w:val="14"/>
                <w:b w:val="1"/>
                <w:bCs w:val="1"/>
                <w:color w:val="auto"/>
              </w:rPr>
              <w:t>(Fiscal 2001)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(Fiscal 2000)</w:t>
            </w:r>
          </w:p>
        </w:tc>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(Fiscal 1999)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00" w:type="dxa"/>
            <w:vAlign w:val="bottom"/>
            <w:gridSpan w:val="2"/>
            <w:vMerge w:val="restart"/>
          </w:tcPr>
          <w:p>
            <w:pPr>
              <w:spacing w:after="0"/>
              <w:rPr>
                <w:sz w:val="20"/>
                <w:szCs w:val="20"/>
                <w:color w:val="auto"/>
              </w:rPr>
            </w:pPr>
            <w:r>
              <w:rPr>
                <w:rFonts w:ascii="Arial" w:cs="Arial" w:eastAsia="Arial" w:hAnsi="Arial"/>
                <w:sz w:val="14"/>
                <w:szCs w:val="14"/>
                <w:color w:val="auto"/>
              </w:rPr>
              <w:t>INCOME STATEMENT DATA:</w:t>
            </w:r>
          </w:p>
        </w:tc>
        <w:tc>
          <w:tcPr>
            <w:tcW w:w="80" w:type="dxa"/>
            <w:vAlign w:val="bottom"/>
          </w:tcPr>
          <w:p>
            <w:pPr>
              <w:spacing w:after="0"/>
              <w:rPr>
                <w:sz w:val="22"/>
                <w:szCs w:val="22"/>
                <w:color w:val="auto"/>
              </w:rPr>
            </w:pPr>
          </w:p>
        </w:tc>
        <w:tc>
          <w:tcPr>
            <w:tcW w:w="5060" w:type="dxa"/>
            <w:vAlign w:val="bottom"/>
            <w:gridSpan w:val="16"/>
          </w:tcPr>
          <w:p>
            <w:pPr>
              <w:jc w:val="center"/>
              <w:ind w:left="434"/>
              <w:spacing w:after="0"/>
              <w:rPr>
                <w:sz w:val="20"/>
                <w:szCs w:val="20"/>
                <w:color w:val="auto"/>
              </w:rPr>
            </w:pPr>
            <w:r>
              <w:rPr>
                <w:rFonts w:ascii="Arial" w:cs="Arial" w:eastAsia="Arial" w:hAnsi="Arial"/>
                <w:sz w:val="14"/>
                <w:szCs w:val="14"/>
                <w:b w:val="1"/>
                <w:bCs w:val="1"/>
                <w:color w:val="auto"/>
                <w:w w:val="86"/>
              </w:rPr>
              <w:t>(In millions, except per share, weighted average shares and operating data)</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5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Sales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398.3</w:t>
            </w:r>
          </w:p>
        </w:tc>
        <w:tc>
          <w:tcPr>
            <w:tcW w:w="5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174.1</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172.1</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w:t>
            </w:r>
          </w:p>
        </w:tc>
        <w:tc>
          <w:tcPr>
            <w:tcW w:w="5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tcPr>
          <w:p>
            <w:pPr>
              <w:spacing w:after="0" w:line="149" w:lineRule="exact"/>
              <w:rPr>
                <w:sz w:val="20"/>
                <w:szCs w:val="20"/>
                <w:color w:val="auto"/>
              </w:rPr>
            </w:pPr>
            <w:r>
              <w:rPr>
                <w:rFonts w:ascii="Arial" w:cs="Arial" w:eastAsia="Arial" w:hAnsi="Arial"/>
                <w:sz w:val="14"/>
                <w:szCs w:val="14"/>
                <w:color w:val="auto"/>
              </w:rPr>
              <w:t>Gross profit, net of occupancy costs</w:t>
            </w:r>
          </w:p>
        </w:tc>
        <w:tc>
          <w:tcPr>
            <w:tcW w:w="8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1"/>
                <w:szCs w:val="11"/>
                <w:color w:val="auto"/>
              </w:rPr>
              <w:t>124.9</w:t>
            </w:r>
            <w:r>
              <w:rPr>
                <w:rFonts w:ascii="Arial" w:cs="Arial" w:eastAsia="Arial" w:hAnsi="Arial"/>
                <w:sz w:val="17"/>
                <w:szCs w:val="17"/>
                <w:color w:val="auto"/>
                <w:vertAlign w:val="superscript"/>
              </w:rPr>
              <w:t>(4)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48.3</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1"/>
                <w:szCs w:val="11"/>
                <w:color w:val="auto"/>
              </w:rPr>
              <w:t>42.2</w:t>
            </w:r>
            <w:r>
              <w:rPr>
                <w:rFonts w:ascii="Arial" w:cs="Arial" w:eastAsia="Arial" w:hAnsi="Arial"/>
                <w:sz w:val="17"/>
                <w:szCs w:val="17"/>
                <w:color w:val="auto"/>
                <w:vertAlign w:val="superscript"/>
              </w:rPr>
              <w:t>(6)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1"/>
                <w:szCs w:val="11"/>
                <w:color w:val="auto"/>
              </w:rPr>
              <w:t>38.5</w:t>
            </w:r>
            <w:r>
              <w:rPr>
                <w:rFonts w:ascii="Arial" w:cs="Arial" w:eastAsia="Arial" w:hAnsi="Arial"/>
                <w:sz w:val="17"/>
                <w:szCs w:val="17"/>
                <w:color w:val="auto"/>
                <w:vertAlign w:val="superscript"/>
              </w:rPr>
              <w:t>(7)</w:t>
            </w: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113.5</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38.1</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store closings, impairment of assets and severance</w:t>
            </w:r>
          </w:p>
        </w:tc>
        <w:tc>
          <w:tcPr>
            <w:tcW w:w="8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1"/>
                <w:szCs w:val="11"/>
                <w:color w:val="auto"/>
              </w:rPr>
              <w:t>14.4</w:t>
            </w:r>
            <w:r>
              <w:rPr>
                <w:rFonts w:ascii="Arial" w:cs="Arial" w:eastAsia="Arial" w:hAnsi="Arial"/>
                <w:sz w:val="17"/>
                <w:szCs w:val="17"/>
                <w:color w:val="auto"/>
                <w:vertAlign w:val="superscript"/>
              </w:rPr>
              <w:t>(4)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7"/>
                <w:szCs w:val="17"/>
                <w:color w:val="auto"/>
                <w:vertAlign w:val="subscript"/>
              </w:rPr>
              <w:t>6.6</w:t>
            </w:r>
            <w:r>
              <w:rPr>
                <w:rFonts w:ascii="Arial" w:cs="Arial" w:eastAsia="Arial" w:hAnsi="Arial"/>
                <w:sz w:val="9"/>
                <w:szCs w:val="9"/>
                <w:color w:val="auto"/>
              </w:rPr>
              <w:t>(6)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1"/>
                <w:szCs w:val="11"/>
                <w:color w:val="auto"/>
              </w:rPr>
              <w:t>14.9</w:t>
            </w:r>
            <w:r>
              <w:rPr>
                <w:rFonts w:ascii="Arial" w:cs="Arial" w:eastAsia="Arial" w:hAnsi="Arial"/>
                <w:sz w:val="17"/>
                <w:szCs w:val="17"/>
                <w:color w:val="auto"/>
                <w:vertAlign w:val="superscript"/>
              </w:rPr>
              <w:t>(7)</w:t>
            </w: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(loss) income</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5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income from continuing operations before minority interest and taxes</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(22.5)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49"/>
        </w:trPr>
        <w:tc>
          <w:tcPr>
            <w:tcW w:w="550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4"/>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7"/>
                <w:szCs w:val="17"/>
                <w:color w:val="auto"/>
                <w:vertAlign w:val="subscript"/>
              </w:rPr>
              <w:t>8.0</w:t>
            </w:r>
            <w:r>
              <w:rPr>
                <w:rFonts w:ascii="Arial" w:cs="Arial" w:eastAsia="Arial" w:hAnsi="Arial"/>
                <w:sz w:val="9"/>
                <w:szCs w:val="9"/>
                <w:color w:val="auto"/>
              </w:rPr>
              <w:t>(4)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7"/>
                <w:szCs w:val="17"/>
                <w:color w:val="auto"/>
                <w:vertAlign w:val="subscript"/>
              </w:rPr>
              <w:t>8.1</w:t>
            </w:r>
            <w:r>
              <w:rPr>
                <w:rFonts w:ascii="Arial" w:cs="Arial" w:eastAsia="Arial" w:hAnsi="Arial"/>
                <w:sz w:val="9"/>
                <w:szCs w:val="9"/>
                <w:color w:val="auto"/>
              </w:rPr>
              <w:t>(5)</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 income from continuing operations</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3"/>
                <w:szCs w:val="13"/>
                <w:color w:val="auto"/>
              </w:rPr>
              <w:t>(30.7)</w:t>
            </w:r>
            <w:r>
              <w:rPr>
                <w:rFonts w:ascii="Arial" w:cs="Arial" w:eastAsia="Arial" w:hAnsi="Arial"/>
                <w:sz w:val="20"/>
                <w:szCs w:val="20"/>
                <w:color w:val="auto"/>
                <w:vertAlign w:val="superscript"/>
              </w:rPr>
              <w:t>(4)</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72"/>
              <w:spacing w:after="0" w:line="176" w:lineRule="exact"/>
              <w:rPr>
                <w:sz w:val="20"/>
                <w:szCs w:val="20"/>
                <w:color w:val="auto"/>
              </w:rPr>
            </w:pPr>
            <w:r>
              <w:rPr>
                <w:rFonts w:ascii="Arial" w:cs="Arial" w:eastAsia="Arial" w:hAnsi="Arial"/>
                <w:sz w:val="13"/>
                <w:szCs w:val="13"/>
                <w:color w:val="auto"/>
              </w:rPr>
              <w:t>(9.5)</w:t>
            </w:r>
            <w:r>
              <w:rPr>
                <w:rFonts w:ascii="Arial" w:cs="Arial" w:eastAsia="Arial" w:hAnsi="Arial"/>
                <w:sz w:val="20"/>
                <w:szCs w:val="20"/>
                <w:color w:val="auto"/>
                <w:vertAlign w:val="superscript"/>
              </w:rPr>
              <w:t>(5)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3"/>
                <w:szCs w:val="13"/>
                <w:color w:val="auto"/>
              </w:rPr>
              <w:t>(12.9)</w:t>
            </w:r>
            <w:r>
              <w:rPr>
                <w:rFonts w:ascii="Arial" w:cs="Arial" w:eastAsia="Arial" w:hAnsi="Arial"/>
                <w:sz w:val="20"/>
                <w:szCs w:val="20"/>
                <w:color w:val="auto"/>
                <w:vertAlign w:val="superscript"/>
              </w:rPr>
              <w:t>(6)</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3"/>
                <w:szCs w:val="13"/>
                <w:color w:val="auto"/>
              </w:rPr>
              <w:t>(18.9)</w:t>
            </w:r>
            <w:r>
              <w:rPr>
                <w:rFonts w:ascii="Arial" w:cs="Arial" w:eastAsia="Arial" w:hAnsi="Arial"/>
                <w:sz w:val="20"/>
                <w:szCs w:val="20"/>
                <w:color w:val="auto"/>
                <w:vertAlign w:val="superscript"/>
              </w:rPr>
              <w:t>(7)</w:t>
            </w: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Arial" w:cs="Arial" w:eastAsia="Arial" w:hAnsi="Arial"/>
                <w:sz w:val="14"/>
                <w:szCs w:val="14"/>
                <w:color w:val="auto"/>
              </w:rPr>
              <w:t>(Loss) income from discontinued operations</w:t>
            </w:r>
          </w:p>
        </w:tc>
        <w:tc>
          <w:tcPr>
            <w:tcW w:w="8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0.4</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5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(38.8)</w:t>
            </w: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(7.9)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(12.5)</w:t>
            </w: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32"/>
        </w:trPr>
        <w:tc>
          <w:tcPr>
            <w:tcW w:w="5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earnings per share from continuing operations – basic and diluted</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(1.22)</w:t>
            </w: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(0.65)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0.13</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(0.80)</w:t>
            </w: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Arial" w:cs="Arial" w:eastAsia="Arial" w:hAnsi="Arial"/>
                <w:sz w:val="14"/>
                <w:szCs w:val="14"/>
                <w:color w:val="auto"/>
              </w:rPr>
              <w:t>Net (loss) income per share – basic and diluted</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60"/>
              <w:spacing w:after="0"/>
              <w:rPr>
                <w:sz w:val="20"/>
                <w:szCs w:val="20"/>
                <w:color w:val="auto"/>
              </w:rPr>
            </w:pPr>
            <w:r>
              <w:rPr>
                <w:rFonts w:ascii="Arial" w:cs="Arial" w:eastAsia="Arial" w:hAnsi="Arial"/>
                <w:sz w:val="14"/>
                <w:szCs w:val="14"/>
                <w:color w:val="auto"/>
              </w:rPr>
              <w:t>(1.54)</w:t>
            </w: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92"/>
              <w:spacing w:after="0"/>
              <w:rPr>
                <w:sz w:val="20"/>
                <w:szCs w:val="20"/>
                <w:color w:val="auto"/>
              </w:rPr>
            </w:pPr>
            <w:r>
              <w:rPr>
                <w:rFonts w:ascii="Arial" w:cs="Arial" w:eastAsia="Arial" w:hAnsi="Arial"/>
                <w:sz w:val="14"/>
                <w:szCs w:val="14"/>
                <w:color w:val="auto"/>
              </w:rPr>
              <w:t>(0.54)</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0.20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(0.78)</w:t>
            </w: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92"/>
        </w:trPr>
        <w:tc>
          <w:tcPr>
            <w:tcW w:w="5500" w:type="dxa"/>
            <w:vAlign w:val="bottom"/>
            <w:gridSpan w:val="2"/>
          </w:tcPr>
          <w:p>
            <w:pPr>
              <w:spacing w:after="0"/>
              <w:rPr>
                <w:sz w:val="20"/>
                <w:szCs w:val="20"/>
                <w:color w:val="auto"/>
              </w:rPr>
            </w:pPr>
            <w:r>
              <w:rPr>
                <w:rFonts w:ascii="Arial" w:cs="Arial" w:eastAsia="Arial" w:hAnsi="Arial"/>
                <w:sz w:val="14"/>
                <w:szCs w:val="14"/>
                <w:color w:val="auto"/>
              </w:rPr>
              <w:t>Weighted average shares outstanding:</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for net (loss) income per share – basic</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25,117</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14,486</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16,015</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16,088</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15,810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500" w:type="dxa"/>
            <w:vAlign w:val="bottom"/>
            <w:gridSpan w:val="2"/>
          </w:tcPr>
          <w:p>
            <w:pPr>
              <w:ind w:left="120"/>
              <w:spacing w:after="0"/>
              <w:rPr>
                <w:sz w:val="20"/>
                <w:szCs w:val="20"/>
                <w:color w:val="auto"/>
              </w:rPr>
            </w:pPr>
            <w:r>
              <w:rPr>
                <w:rFonts w:ascii="Arial" w:cs="Arial" w:eastAsia="Arial" w:hAnsi="Arial"/>
                <w:sz w:val="14"/>
                <w:szCs w:val="14"/>
                <w:color w:val="auto"/>
              </w:rPr>
              <w:t>for net (loss) income per share – diluted</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25,117</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14,486</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16,292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16,088</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15,810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550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5500" w:type="dxa"/>
            <w:vAlign w:val="bottom"/>
            <w:gridSpan w:val="2"/>
          </w:tcPr>
          <w:p>
            <w:pPr>
              <w:spacing w:after="0"/>
              <w:rPr>
                <w:sz w:val="20"/>
                <w:szCs w:val="20"/>
                <w:color w:val="auto"/>
              </w:rPr>
            </w:pPr>
            <w:r>
              <w:rPr>
                <w:rFonts w:ascii="Arial" w:cs="Arial" w:eastAsia="Arial" w:hAnsi="Arial"/>
                <w:sz w:val="14"/>
                <w:szCs w:val="14"/>
                <w:color w:val="auto"/>
              </w:rPr>
              <w:t>EFFECT OF RESTRUCTURING ON PRE-TAX INCOME (LOSS) FROM CONTINUING</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5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OPERATIONS</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 income from continuing operations</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3"/>
                <w:szCs w:val="13"/>
                <w:color w:val="auto"/>
              </w:rPr>
              <w:t>(30.7)</w:t>
            </w:r>
            <w:r>
              <w:rPr>
                <w:rFonts w:ascii="Arial" w:cs="Arial" w:eastAsia="Arial" w:hAnsi="Arial"/>
                <w:sz w:val="20"/>
                <w:szCs w:val="20"/>
                <w:color w:val="auto"/>
                <w:vertAlign w:val="superscript"/>
              </w:rPr>
              <w:t>(4)</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92"/>
              <w:spacing w:after="0"/>
              <w:rPr>
                <w:sz w:val="20"/>
                <w:szCs w:val="20"/>
                <w:color w:val="auto"/>
              </w:rPr>
            </w:pPr>
            <w:r>
              <w:rPr>
                <w:rFonts w:ascii="Arial" w:cs="Arial" w:eastAsia="Arial" w:hAnsi="Arial"/>
                <w:sz w:val="14"/>
                <w:szCs w:val="14"/>
                <w:color w:val="auto"/>
              </w:rPr>
              <w:t>(9.5)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3"/>
                <w:szCs w:val="13"/>
                <w:color w:val="auto"/>
              </w:rPr>
              <w:t>(12.9)</w:t>
            </w:r>
            <w:r>
              <w:rPr>
                <w:rFonts w:ascii="Arial" w:cs="Arial" w:eastAsia="Arial" w:hAnsi="Arial"/>
                <w:sz w:val="20"/>
                <w:szCs w:val="20"/>
                <w:color w:val="auto"/>
                <w:vertAlign w:val="superscript"/>
              </w:rPr>
              <w:t>(6)</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3"/>
                <w:szCs w:val="13"/>
                <w:color w:val="auto"/>
              </w:rPr>
              <w:t>(18.9)</w:t>
            </w:r>
            <w:r>
              <w:rPr>
                <w:rFonts w:ascii="Arial" w:cs="Arial" w:eastAsia="Arial" w:hAnsi="Arial"/>
                <w:sz w:val="20"/>
                <w:szCs w:val="20"/>
                <w:color w:val="auto"/>
                <w:vertAlign w:val="superscript"/>
              </w:rPr>
              <w:t>(7)</w:t>
            </w:r>
          </w:p>
        </w:tc>
        <w:tc>
          <w:tcPr>
            <w:tcW w:w="0" w:type="dxa"/>
            <w:vAlign w:val="bottom"/>
          </w:tcPr>
          <w:p>
            <w:pPr>
              <w:spacing w:after="0"/>
              <w:rPr>
                <w:sz w:val="1"/>
                <w:szCs w:val="1"/>
                <w:color w:val="auto"/>
              </w:rPr>
            </w:pPr>
          </w:p>
        </w:tc>
      </w:tr>
      <w:tr>
        <w:trPr>
          <w:trHeight w:val="149"/>
        </w:trPr>
        <w:tc>
          <w:tcPr>
            <w:tcW w:w="550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income taxes</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38"/>
        </w:trPr>
        <w:tc>
          <w:tcPr>
            <w:tcW w:w="5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Restructuring charges including amounts</w:t>
            </w:r>
          </w:p>
        </w:tc>
        <w:tc>
          <w:tcPr>
            <w:tcW w:w="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25.5</w:t>
            </w:r>
            <w:r>
              <w:rPr>
                <w:rFonts w:ascii="Arial" w:cs="Arial" w:eastAsia="Arial" w:hAnsi="Arial"/>
                <w:sz w:val="22"/>
                <w:szCs w:val="22"/>
                <w:color w:val="auto"/>
                <w:vertAlign w:val="superscript"/>
              </w:rPr>
              <w:t>(4)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5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charged to gross profit</w:t>
            </w:r>
          </w:p>
        </w:tc>
        <w:tc>
          <w:tcPr>
            <w:tcW w:w="80" w:type="dxa"/>
            <w:vAlign w:val="bottom"/>
            <w:shd w:val="clear" w:color="auto" w:fill="CCEEFF"/>
          </w:tcPr>
          <w:p>
            <w:pPr>
              <w:spacing w:after="0"/>
              <w:rPr>
                <w:sz w:val="13"/>
                <w:szCs w:val="13"/>
                <w:color w:val="auto"/>
              </w:rPr>
            </w:pPr>
          </w:p>
        </w:tc>
        <w:tc>
          <w:tcPr>
            <w:tcW w:w="132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512"/>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14.5</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15.7</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Pre-tax income (loss) from continuing operations before effect of restructuring charges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5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5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08"/>
        </w:trPr>
        <w:tc>
          <w:tcPr>
            <w:tcW w:w="55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500" w:type="dxa"/>
            <w:vAlign w:val="bottom"/>
            <w:gridSpan w:val="2"/>
          </w:tcPr>
          <w:p>
            <w:pPr>
              <w:spacing w:after="0"/>
              <w:rPr>
                <w:sz w:val="20"/>
                <w:szCs w:val="20"/>
                <w:color w:val="auto"/>
              </w:rPr>
            </w:pPr>
            <w:r>
              <w:rPr>
                <w:rFonts w:ascii="Arial" w:cs="Arial" w:eastAsia="Arial" w:hAnsi="Arial"/>
                <w:sz w:val="14"/>
                <w:szCs w:val="14"/>
                <w:color w:val="auto"/>
              </w:rPr>
              <w:t>BALANCE SHEET DATA:</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w:t>
            </w:r>
          </w:p>
        </w:tc>
        <w:tc>
          <w:tcPr>
            <w:tcW w:w="5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16.3</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5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tcPr>
          <w:p>
            <w:pPr>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103.2</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57.7</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57.7</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57.0</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18.6</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266.9</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90.9</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99.3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 term debt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4"/>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91.1</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42.4</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49.8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52.3</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00" w:type="dxa"/>
            <w:vAlign w:val="bottom"/>
            <w:gridSpan w:val="2"/>
          </w:tcPr>
          <w:p>
            <w:pPr>
              <w:spacing w:after="0"/>
              <w:rPr>
                <w:sz w:val="20"/>
                <w:szCs w:val="20"/>
                <w:color w:val="auto"/>
              </w:rPr>
            </w:pPr>
            <w:r>
              <w:rPr>
                <w:rFonts w:ascii="Arial" w:cs="Arial" w:eastAsia="Arial" w:hAnsi="Arial"/>
                <w:sz w:val="14"/>
                <w:szCs w:val="14"/>
                <w:color w:val="auto"/>
              </w:rPr>
              <w:t>OPERATING DATA:</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sales per square foot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5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192</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5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500" w:type="dxa"/>
            <w:vAlign w:val="bottom"/>
            <w:gridSpan w:val="2"/>
          </w:tcPr>
          <w:p>
            <w:pPr>
              <w:spacing w:after="0"/>
              <w:rPr>
                <w:sz w:val="20"/>
                <w:szCs w:val="20"/>
                <w:color w:val="auto"/>
              </w:rPr>
            </w:pPr>
            <w:r>
              <w:rPr>
                <w:rFonts w:ascii="Arial" w:cs="Arial" w:eastAsia="Arial" w:hAnsi="Arial"/>
                <w:sz w:val="14"/>
                <w:szCs w:val="14"/>
                <w:color w:val="auto"/>
              </w:rPr>
              <w:t>Number of stores open at fiscal year end</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555</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102</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102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-2726690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-2726690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-2726690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-2726690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-2726690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-2726690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-2726690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-2726690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-2726690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-2726690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-2726690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-2726690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-2726690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-2726690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-2726690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fiscal year is a 52 or 53 week period ending on the Saturday closest to January 31. The fiscal year ended February 3, 2001 included 53 weeks.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results for fiscal 2003 include the effect, since May 14, 2002, of the acquisition of substantially all of the assets of Casual Male Corporation and certain of its subsidiaries.</w:t>
      </w:r>
    </w:p>
    <w:p>
      <w:pPr>
        <w:spacing w:after="0" w:line="55" w:lineRule="exact"/>
        <w:rPr>
          <w:rFonts w:ascii="Arial" w:cs="Arial" w:eastAsia="Arial" w:hAnsi="Arial"/>
          <w:sz w:val="14"/>
          <w:szCs w:val="14"/>
          <w:color w:val="auto"/>
        </w:rPr>
      </w:pPr>
    </w:p>
    <w:p>
      <w:pPr>
        <w:ind w:left="340" w:right="60" w:hanging="332"/>
        <w:spacing w:after="0" w:line="312"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accordance with Statement of Financial Accounting Standards (“SFAS”) No. 144, “Accounting for the Impairment or Disposal of Long-Lived Assets”, the Company has shown stores closed during fiscal 2003 as discontinued operations. Accordingly, certain prior-year amounts on the Income Statement Data have been reclassified to discontinued operations to conform to the current-year presentation.</w:t>
      </w:r>
    </w:p>
    <w:p>
      <w:pPr>
        <w:ind w:left="340" w:right="100" w:hanging="332"/>
        <w:spacing w:after="0" w:line="189" w:lineRule="auto"/>
        <w:tabs>
          <w:tab w:leader="none" w:pos="340" w:val="left"/>
        </w:tabs>
        <w:numPr>
          <w:ilvl w:val="0"/>
          <w:numId w:val="6"/>
        </w:numPr>
        <w:rPr>
          <w:rFonts w:ascii="Arial" w:cs="Arial" w:eastAsia="Arial" w:hAnsi="Arial"/>
          <w:sz w:val="27"/>
          <w:szCs w:val="27"/>
          <w:color w:val="auto"/>
          <w:vertAlign w:val="superscript"/>
        </w:rPr>
      </w:pPr>
      <w:r>
        <w:rPr>
          <w:rFonts w:ascii="Arial" w:cs="Arial" w:eastAsia="Arial" w:hAnsi="Arial"/>
          <w:sz w:val="14"/>
          <w:szCs w:val="14"/>
          <w:color w:val="auto"/>
        </w:rPr>
        <w:t>The results for fiscal 2003 include $41.3 million in charges taken in the second and fourth quarters of fiscal 2003 related to the downsizing of the Levi’s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and Dockers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business, the integration of Casual Male and the exiting of the Candies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Outlet store business. Of the total $41.3 million recorded during fiscal 2003, approximately $11.1 million is reflected in gross margin from continuing operations and reflects a write down of inventory for stores that have not yet closed. Approximately $7.8 million of the charge, which related to stores that closed during fiscal 2003, is included as part of discontinued operations. As a result of the restructuring and its impact on the operating profitability of the Company, the total $41.3 million in charges also includes a non-cash charge of $8.0 million to further reduce the carrying value of certain deferred tax assets.</w:t>
      </w:r>
    </w:p>
    <w:p>
      <w:pPr>
        <w:spacing w:after="0" w:line="45" w:lineRule="exact"/>
        <w:rPr>
          <w:rFonts w:ascii="Arial" w:cs="Arial" w:eastAsia="Arial" w:hAnsi="Arial"/>
          <w:sz w:val="27"/>
          <w:szCs w:val="27"/>
          <w:color w:val="auto"/>
          <w:vertAlign w:val="superscript"/>
        </w:rPr>
      </w:pPr>
    </w:p>
    <w:p>
      <w:pPr>
        <w:ind w:left="340" w:right="60" w:hanging="332"/>
        <w:spacing w:after="0" w:line="23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the fourth quarter of fiscal 2002, the Company recorded a special non-cash charge of $8.0 million to reduce the carrying value of certain deferred tax assets. Due to the general weakness of the economy during fiscal 2002, which resulted in reduced earnings as compared to the prior year, the full realizability of certain tax assets can not be assured, accordingly the Company established additional reserves against those assets.</w:t>
      </w:r>
    </w:p>
    <w:p>
      <w:pPr>
        <w:spacing w:after="0" w:line="39" w:lineRule="exact"/>
        <w:rPr>
          <w:rFonts w:ascii="Arial" w:cs="Arial" w:eastAsia="Arial" w:hAnsi="Arial"/>
          <w:sz w:val="14"/>
          <w:szCs w:val="14"/>
          <w:color w:val="auto"/>
        </w:rPr>
      </w:pPr>
    </w:p>
    <w:p>
      <w:pPr>
        <w:ind w:left="340" w:right="20" w:hanging="332"/>
        <w:spacing w:after="0" w:line="183" w:lineRule="auto"/>
        <w:tabs>
          <w:tab w:leader="none" w:pos="340" w:val="left"/>
        </w:tabs>
        <w:numPr>
          <w:ilvl w:val="0"/>
          <w:numId w:val="6"/>
        </w:numPr>
        <w:rPr>
          <w:rFonts w:ascii="Arial" w:cs="Arial" w:eastAsia="Arial" w:hAnsi="Arial"/>
          <w:sz w:val="26"/>
          <w:szCs w:val="26"/>
          <w:color w:val="auto"/>
          <w:vertAlign w:val="superscript"/>
        </w:rPr>
      </w:pPr>
      <w:r>
        <w:rPr>
          <w:rFonts w:ascii="Arial" w:cs="Arial" w:eastAsia="Arial" w:hAnsi="Arial"/>
          <w:sz w:val="13"/>
          <w:szCs w:val="13"/>
          <w:color w:val="auto"/>
        </w:rPr>
        <w:t>Pre-tax loss for fiscal 2000 includes the $15.2 million charge taken in the fourth quarter related to inventory markdowns, the abandonment of the Company’s Boston Traders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trademark, severance, and the closure of the Company’s five remaining Designs/BTC</w:t>
      </w:r>
      <w:r>
        <w:rPr>
          <w:rFonts w:ascii="Arial" w:cs="Arial" w:eastAsia="Arial" w:hAnsi="Arial"/>
          <w:sz w:val="21"/>
          <w:szCs w:val="21"/>
          <w:color w:val="auto"/>
          <w:vertAlign w:val="superscript"/>
        </w:rPr>
        <w:t>™</w:t>
      </w:r>
      <w:r>
        <w:rPr>
          <w:rFonts w:ascii="Arial" w:cs="Arial" w:eastAsia="Arial" w:hAnsi="Arial"/>
          <w:sz w:val="13"/>
          <w:szCs w:val="13"/>
          <w:color w:val="auto"/>
        </w:rPr>
        <w:t xml:space="preserve"> stores and its five Buffalo</w:t>
      </w:r>
      <w:r>
        <w:rPr>
          <w:rFonts w:ascii="Arial" w:cs="Arial" w:eastAsia="Arial" w:hAnsi="Arial"/>
          <w:sz w:val="21"/>
          <w:szCs w:val="21"/>
          <w:color w:val="auto"/>
          <w:vertAlign w:val="superscript"/>
        </w:rPr>
        <w:t>®</w:t>
      </w:r>
      <w:r>
        <w:rPr>
          <w:rFonts w:ascii="Arial" w:cs="Arial" w:eastAsia="Arial" w:hAnsi="Arial"/>
          <w:sz w:val="13"/>
          <w:szCs w:val="13"/>
          <w:color w:val="auto"/>
        </w:rPr>
        <w:t xml:space="preserve"> Jeans Factory stores. Of the $15.2 million charge, $7.8 million, or 4.1% of sales, is reflected in gross margin. The pre-tax loss for fiscal 2000 also includes $717,000 of non-recurring income related to excess reserves from the fiscal 1999 restructuring program.</w:t>
      </w:r>
    </w:p>
    <w:p>
      <w:pPr>
        <w:spacing w:after="0" w:line="46" w:lineRule="exact"/>
        <w:rPr>
          <w:rFonts w:ascii="Arial" w:cs="Arial" w:eastAsia="Arial" w:hAnsi="Arial"/>
          <w:sz w:val="26"/>
          <w:szCs w:val="26"/>
          <w:color w:val="auto"/>
          <w:vertAlign w:val="superscript"/>
        </w:rPr>
      </w:pPr>
    </w:p>
    <w:p>
      <w:pPr>
        <w:ind w:left="340" w:right="100" w:hanging="332"/>
        <w:spacing w:after="0" w:line="21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Pre-tax loss for fiscal 1999 includes the $13.4 million charge taken in the third quarter related to closing 30 unprofitable stores. Also included in the pre-tax loss for fiscal 1999 is the $5.2 million charge related to the closing of one Designs store, three BTC</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stores and four Boston Traders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outlet stores, all eight of which were closed in fiscal 2000. Of the $5.2 million charge, $800,000, or 0.4% of sales, is reflected in gross margin. In addition, the Company recognized $2.9 million in restructuring income in the fourth quarter which was the result of favorable lease negotiations associated with the original estimated $13.4 million charge.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Selected 5 Year Financial Data of Casual Male</w:t>
      </w:r>
    </w:p>
    <w:p>
      <w:pPr>
        <w:spacing w:after="0" w:line="1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following table provides historical financial information of the Casual Male business for the past five fiscal years, all of which except for fiscal 2003 is according to the reports of Casual Male Corp.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Fiscal Years Ended</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February 1,</w:t>
            </w:r>
          </w:p>
        </w:tc>
        <w:tc>
          <w:tcPr>
            <w:tcW w:w="80" w:type="dxa"/>
            <w:vAlign w:val="bottom"/>
          </w:tcPr>
          <w:p>
            <w:pPr>
              <w:spacing w:after="0"/>
              <w:rPr>
                <w:sz w:val="21"/>
                <w:szCs w:val="21"/>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February 2,</w:t>
            </w:r>
          </w:p>
        </w:tc>
        <w:tc>
          <w:tcPr>
            <w:tcW w:w="260" w:type="dxa"/>
            <w:vAlign w:val="bottom"/>
          </w:tcPr>
          <w:p>
            <w:pPr>
              <w:spacing w:after="0"/>
              <w:rPr>
                <w:sz w:val="21"/>
                <w:szCs w:val="21"/>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February 3,</w:t>
            </w: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January 29,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17"/>
              <w:spacing w:after="0" w:line="149"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3"/>
              </w:rPr>
              <w:t>2001</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January 30, 1999</w:t>
            </w:r>
          </w:p>
        </w:tc>
        <w:tc>
          <w:tcPr>
            <w:tcW w:w="0" w:type="dxa"/>
            <w:vAlign w:val="bottom"/>
          </w:tcPr>
          <w:p>
            <w:pPr>
              <w:spacing w:after="0"/>
              <w:rPr>
                <w:sz w:val="1"/>
                <w:szCs w:val="1"/>
                <w:color w:val="auto"/>
              </w:rPr>
            </w:pPr>
          </w:p>
        </w:tc>
      </w:tr>
      <w:tr>
        <w:trPr>
          <w:trHeight w:val="284"/>
        </w:trPr>
        <w:tc>
          <w:tcPr>
            <w:tcW w:w="4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(Fiscal 2003) </w:t>
            </w:r>
            <w:r>
              <w:rPr>
                <w:rFonts w:ascii="Arial" w:cs="Arial" w:eastAsia="Arial" w:hAnsi="Arial"/>
                <w:sz w:val="22"/>
                <w:szCs w:val="22"/>
                <w:b w:val="1"/>
                <w:bCs w:val="1"/>
                <w:color w:val="auto"/>
                <w:vertAlign w:val="superscript"/>
              </w:rPr>
              <w:t>(1)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0"/>
              </w:rPr>
              <w:t>(Fiscal 2002)</w:t>
            </w:r>
            <w:r>
              <w:rPr>
                <w:rFonts w:ascii="Arial" w:cs="Arial" w:eastAsia="Arial" w:hAnsi="Arial"/>
                <w:sz w:val="22"/>
                <w:szCs w:val="22"/>
                <w:b w:val="1"/>
                <w:bCs w:val="1"/>
                <w:color w:val="auto"/>
                <w:w w:val="90"/>
                <w:vertAlign w:val="superscript"/>
              </w:rPr>
              <w:t>(1)</w:t>
            </w:r>
          </w:p>
        </w:tc>
        <w:tc>
          <w:tcPr>
            <w:tcW w:w="260" w:type="dxa"/>
            <w:vAlign w:val="bottom"/>
          </w:tcPr>
          <w:p>
            <w:pPr>
              <w:spacing w:after="0"/>
              <w:rPr>
                <w:sz w:val="24"/>
                <w:szCs w:val="2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(Fiscal 2001)</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(Fiscal 2000)</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(Fiscal 1999)</w:t>
            </w:r>
          </w:p>
        </w:tc>
        <w:tc>
          <w:tcPr>
            <w:tcW w:w="0" w:type="dxa"/>
            <w:vAlign w:val="bottom"/>
          </w:tcPr>
          <w:p>
            <w:pPr>
              <w:spacing w:after="0"/>
              <w:rPr>
                <w:sz w:val="1"/>
                <w:szCs w:val="1"/>
                <w:color w:val="auto"/>
              </w:rPr>
            </w:pPr>
          </w:p>
        </w:tc>
      </w:tr>
      <w:tr>
        <w:trPr>
          <w:trHeight w:val="102"/>
        </w:trPr>
        <w:tc>
          <w:tcPr>
            <w:tcW w:w="4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640"/>
              <w:spacing w:after="0"/>
              <w:rPr>
                <w:sz w:val="20"/>
                <w:szCs w:val="20"/>
                <w:color w:val="auto"/>
              </w:rPr>
            </w:pPr>
            <w:r>
              <w:rPr>
                <w:rFonts w:ascii="Arial" w:cs="Arial" w:eastAsia="Arial" w:hAnsi="Arial"/>
                <w:sz w:val="18"/>
                <w:szCs w:val="18"/>
                <w:i w:val="1"/>
                <w:iCs w:val="1"/>
                <w:color w:val="auto"/>
              </w:rPr>
              <w:t>(in millions, except store count)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332.4</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Gross profit, net of occupancy costs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140.1</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142.3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162.4</w:t>
            </w: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40" w:type="dxa"/>
            <w:vAlign w:val="bottom"/>
          </w:tcPr>
          <w:p>
            <w:pPr>
              <w:ind w:left="20"/>
              <w:spacing w:after="0"/>
              <w:rPr>
                <w:sz w:val="20"/>
                <w:szCs w:val="20"/>
                <w:color w:val="auto"/>
              </w:rPr>
            </w:pPr>
            <w:r>
              <w:rPr>
                <w:rFonts w:ascii="Arial" w:cs="Arial" w:eastAsia="Arial" w:hAnsi="Arial"/>
                <w:sz w:val="18"/>
                <w:szCs w:val="18"/>
                <w:color w:val="auto"/>
              </w:rPr>
              <w:t>Store count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473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right="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August 2001, Casual Male Corp. initiated a store-closing plan in conjunction with its bankruptcy proceedings. The Company has excluded the operating results, if any, of these store closings for Fiscal 2003 and Fiscal 2002.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4380"/>
        <w:spacing w:after="0" w:line="370"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SUMMARY OF SIGNIFICANT FISCAL 2003 EVENTS </w:t>
      </w:r>
      <w:r>
        <w:rPr>
          <w:rFonts w:ascii="Arial" w:cs="Arial" w:eastAsia="Arial" w:hAnsi="Arial"/>
          <w:sz w:val="18"/>
          <w:szCs w:val="18"/>
          <w:i w:val="1"/>
          <w:iCs w:val="1"/>
          <w:color w:val="auto"/>
        </w:rPr>
        <w:t>Casual Male Acquisition</w:t>
      </w:r>
    </w:p>
    <w:p>
      <w:pPr>
        <w:ind w:right="40"/>
        <w:spacing w:after="0" w:line="254" w:lineRule="auto"/>
        <w:rPr>
          <w:sz w:val="20"/>
          <w:szCs w:val="20"/>
          <w:color w:val="auto"/>
        </w:rPr>
      </w:pPr>
      <w:r>
        <w:rPr>
          <w:rFonts w:ascii="Arial" w:cs="Arial" w:eastAsia="Arial" w:hAnsi="Arial"/>
          <w:sz w:val="18"/>
          <w:szCs w:val="18"/>
          <w:color w:val="auto"/>
        </w:rPr>
        <w:t>On May 14, 2002, the Company completed the acquisition of substantially all of the assets of Casual Male Corp. and certain of its subsidiaries (“Casual Male”) for a purchase price of approximately $170 million, plus the assumption of certain operating liabilities. The Company was selected as the highest and best bidder at a bankruptcy court ordered auction commencing on May 1, 2002 and concluding on May 2, 2002. The U.S. Bankruptcy Court for the Southern District of New York subsequently granted its approval of the acquisition on May 7, 2002.</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Under the terms of the asset purchase agreement, the Company acquired substantially all of Casual Male’s assets, including, but not limited to, the inventory and fixed assets of approximately 475 retail store locations and various intellectual property. In addition, the Company assumed certain operating liabilities, including, but not limited to, existing retail store lease arrangements and the existing mortgage for Casual Male’s corporate office located in Canton, Massachusetts. See Note K of the Notes to the Consolidated Financial Statements for a further discussion of the transaction.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Name Change</w:t>
      </w:r>
    </w:p>
    <w:p>
      <w:pPr>
        <w:spacing w:after="0" w:line="1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In view of the significance of the Casual Male acquisition to the growth and future identity of the Company, at the Annual Meeting of Stockholders held on August 8, 2002, the Company’s stockholders approved the Board of Directors’ recommendation to change the Company’s name from “Designs, Inc.” to “Casual Male Retail Group, Inc.” The Company believes that the Casual Male business will be a primary future contributor to the Company’s overall business and that this name change was an important step to align the customer and investor identification of the Company with the Casual Male store concept. For the same reason, certain financial information for the Casual Male business is included in this Annual Report on Form 10-K.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Downsizing of the Company’s Levi’s</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/Dockers</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and Candies</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businesses</w:t>
      </w:r>
    </w:p>
    <w:p>
      <w:pPr>
        <w:ind w:right="20"/>
        <w:spacing w:after="0" w:line="268" w:lineRule="auto"/>
        <w:rPr>
          <w:sz w:val="20"/>
          <w:szCs w:val="20"/>
          <w:color w:val="auto"/>
        </w:rPr>
      </w:pPr>
      <w:r>
        <w:rPr>
          <w:rFonts w:ascii="Arial" w:cs="Arial" w:eastAsia="Arial" w:hAnsi="Arial"/>
          <w:sz w:val="15"/>
          <w:szCs w:val="15"/>
          <w:color w:val="auto"/>
        </w:rPr>
        <w:t>In fiscal 2003, based on continued decreases in sales and profitability from its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business, the Company decided to downsize and ultimately exit its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business completely. The Company plans to close between 50 to 55 stores over the next 24 months, thereby reducing the sales base of its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business to less than 10% of the Company’s total sales. After the Company completes the planned downsizing, the approximately 30 remaining stores will either be closed at the end of their respective lease terms or otherwise be divested in a sales transaction. In spite of continuing sales erosion in the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business, the Company expects the remaining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to generate positive cash flow while the stores remain open.</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addition, in the fourth quarter of fiscal 2003, the Company also announced that it would exit the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business. The Company had entered into a trademark license agreement with Candies, Inc. at the end of fiscal 2002 and had planned to open up to 75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Since then, the Company has opened 12 of such stores; however, their performance through the end of fiscal 2003 had not achieved the Company’s expectations. Accordingly, the Company has transferred to Candies, Inc. the operations of seven of these 12 stores, whereby Candies, Inc. will operate such stores for the next 12 to 18 months, after which time, Candies, Inc. will either purchase the stores from the Company or the stores will be closed. The Company plans to convert four of the five remaining stores to either its Casual Male outlet or its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 concepts during fiscal 2004.</w:t>
      </w:r>
    </w:p>
    <w:p>
      <w:pPr>
        <w:spacing w:after="0" w:line="4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As a result of the Company’s decision to exit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and to focus its attention and capital on the more profitable Casual Male business, the Company recorded a total of approximately $41.3 million in non-recurring charges, the details of which are discussed below under “Restructuring.”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Transaction of Subsidiary</w:t>
      </w:r>
    </w:p>
    <w:p>
      <w:pPr>
        <w:spacing w:after="0" w:line="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business of one of the Company’s subsidiaries, LP Innovations, Inc. (“LPI”), a provider of loss prevention services and system solutions primarily to the retail industry, was acquired as part of the Casual Male acquisition. On November 27, 2002, the Company filed with the Securities and Exchange Commission a registration statement on Form S-1 to register common stock and warrants proposed to be distributed to the Company’s stockholders and optionholders, in anticipation of a spin-off of LPI to the Company’s stockholders, after which LPI will become a stand-alone and separately traded company. The Company expects to complete an offering to its stockholders during fiscal 2004.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1"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With the Casual Male acquisition, the Company has redefined its business into two reportable business segments: (i) the Casual Male business and (ii) Other Branded Apparel businesses. See Note M of the Notes to Consolidated Financial Statements for a complete disclosure of the financial results of each segment. The Company’s “Other Branded Apparel businesses” segment, which is referred to in “Management’s Discussion and Analysis-Results of Operations,” includes the operations of the Company’s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its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and its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CLOSINGS/DISCONTINUED OPERATIONS</w:t>
      </w:r>
    </w:p>
    <w:p>
      <w:pPr>
        <w:spacing w:after="0" w:line="2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results of operations for 20 of the Company’s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which closed during fiscal 2003 and the results of operations of the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which are all part of the Company’s exit strategy, have been presented as discontinued operations in accordance with the provisions of Statement of Financial Accounting Standard (“SFAS”) No. 144, “Accounting for the Impairment or Disposal of Long-Lived Assets” (“SFAS No. 144”). The discounted operations of these stores include related write-downs for the impairment of assets and costs to liquidate inventory. Accordingly, the Company has restated all prior year results for these closed stores to conform with the current period presentation of discontinued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SALES—Continuing Operations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Sales for fiscal 2003, 2002 and 2001 were as follows, by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6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2003</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2002</w:t>
            </w: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Fiscal 2001</w:t>
            </w:r>
          </w:p>
        </w:tc>
        <w:tc>
          <w:tcPr>
            <w:tcW w:w="0" w:type="dxa"/>
            <w:vAlign w:val="bottom"/>
          </w:tcPr>
          <w:p>
            <w:pPr>
              <w:spacing w:after="0"/>
              <w:rPr>
                <w:sz w:val="1"/>
                <w:szCs w:val="1"/>
                <w:color w:val="auto"/>
              </w:rPr>
            </w:pPr>
          </w:p>
        </w:tc>
      </w:tr>
      <w:tr>
        <w:trPr>
          <w:trHeight w:val="95"/>
        </w:trPr>
        <w:tc>
          <w:tcPr>
            <w:tcW w:w="1020" w:type="dxa"/>
            <w:vAlign w:val="bottom"/>
            <w:tcBorders>
              <w:bottom w:val="single" w:sz="8" w:color="auto"/>
            </w:tcBorders>
          </w:tcPr>
          <w:p>
            <w:pPr>
              <w:spacing w:after="0"/>
              <w:rPr>
                <w:sz w:val="8"/>
                <w:szCs w:val="8"/>
                <w:color w:val="auto"/>
              </w:rPr>
            </w:pPr>
          </w:p>
        </w:tc>
        <w:tc>
          <w:tcPr>
            <w:tcW w:w="7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Casual Male business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10" w:type="dxa"/>
            <w:vAlign w:val="bottom"/>
            <w:shd w:val="clear" w:color="auto" w:fill="CCEEFF"/>
          </w:tcPr>
          <w:p>
            <w:pPr>
              <w:jc w:val="center"/>
              <w:ind w:left="182"/>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Other branded apparel business</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174.1</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10" w:type="dxa"/>
            <w:vAlign w:val="bottom"/>
          </w:tcPr>
          <w:p>
            <w:pPr>
              <w:jc w:val="center"/>
              <w:ind w:left="122"/>
              <w:spacing w:after="0"/>
              <w:rPr>
                <w:sz w:val="20"/>
                <w:szCs w:val="20"/>
                <w:color w:val="auto"/>
              </w:rPr>
            </w:pPr>
            <w:r>
              <w:rPr>
                <w:rFonts w:ascii="Arial" w:cs="Arial" w:eastAsia="Arial" w:hAnsi="Arial"/>
                <w:sz w:val="18"/>
                <w:szCs w:val="18"/>
                <w:color w:val="auto"/>
                <w:w w:val="88"/>
              </w:rPr>
              <w:t>172.1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consolidated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10" w:type="dxa"/>
            <w:vAlign w:val="bottom"/>
            <w:shd w:val="clear" w:color="auto" w:fill="CCEEFF"/>
          </w:tcPr>
          <w:p>
            <w:pPr>
              <w:jc w:val="center"/>
              <w:ind w:left="122"/>
              <w:spacing w:after="0"/>
              <w:rPr>
                <w:sz w:val="20"/>
                <w:szCs w:val="20"/>
                <w:color w:val="auto"/>
              </w:rPr>
            </w:pPr>
            <w:r>
              <w:rPr>
                <w:rFonts w:ascii="Arial" w:cs="Arial" w:eastAsia="Arial" w:hAnsi="Arial"/>
                <w:sz w:val="18"/>
                <w:szCs w:val="18"/>
                <w:color w:val="auto"/>
                <w:w w:val="88"/>
              </w:rPr>
              <w:t>172.1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2003 Compared to Fiscal 2002</w:t>
      </w:r>
    </w:p>
    <w:p>
      <w:pPr>
        <w:spacing w:after="0" w:line="1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Sales for fiscal 2003 were $398.3 million compared with sales of $174.1 million in fiscal 2002. Included in fiscal 2003 results were sales in the Casual Male business, since May 14, 2002, of $242.7 million. On a pro-forma basis, as if the Company had owned the Casual Male business for the full fiscal year, total sales would have decreased 1.0% to $329.2 million as compared to $332.4 million in the prior year. On the same pro forma basis, comparable store sales for the Casual Male business decreased 1%. Comparable store sales are those stores that have been open for at least one full fiscal year.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As previously discussed, the Company continued to experience significant sales declines in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due to the erosion on the Levi Strauss</w:t>
      </w:r>
    </w:p>
    <w:p>
      <w:pPr>
        <w:ind w:right="560" w:firstLine="8"/>
        <w:spacing w:after="0" w:line="226" w:lineRule="auto"/>
        <w:tabs>
          <w:tab w:leader="none" w:pos="181" w:val="left"/>
        </w:tabs>
        <w:numPr>
          <w:ilvl w:val="0"/>
          <w:numId w:val="8"/>
        </w:numPr>
        <w:rPr>
          <w:rFonts w:ascii="Arial" w:cs="Arial" w:eastAsia="Arial" w:hAnsi="Arial"/>
          <w:sz w:val="17"/>
          <w:szCs w:val="17"/>
          <w:color w:val="auto"/>
        </w:rPr>
      </w:pPr>
      <w:r>
        <w:rPr>
          <w:rFonts w:ascii="Arial" w:cs="Arial" w:eastAsia="Arial" w:hAnsi="Arial"/>
          <w:sz w:val="17"/>
          <w:szCs w:val="17"/>
          <w:color w:val="auto"/>
        </w:rPr>
        <w:t>Co. brands and product availability issues, and, as a result, comparable store sales for the Levi’s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decreased 14% in fiscal 2003. Although the Company does not expect comparable store sales in its remaining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to improve significantly in fiscal 2004, the Company will continue to work with Levi Strauss &amp; Co. on improving availability and selection of merchandise for these stores.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2002 Compared to Fiscal 2001</w:t>
      </w:r>
    </w:p>
    <w:p>
      <w:pPr>
        <w:spacing w:after="0" w:line="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Sales for fiscal 2002 were $174.1 million for the 52-week period compared with sales of $172.1 million for the 53-week period of fiscal 2001. Comparable store sales for fiscal 2002 decreased 3.9%. Fiscal 2002 was a difficult year for the retail industry due to the general economic conditions and the tragic events of September 11, 2001. In an effort to manage inventory levels and improve its sales trends, the Company significantly increased its levels of promotional activities during the second half of fiscal 2002. The impact of this aggressive promotional posture, although negative to the Company’s gross margin, significantly benefited its sales trends in the second half of fiscal 2002.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MARGIN—Continuing Operations</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Below are the gross margin percentages by segment for fiscal 2003, 2002 and 2001. These percentages, which include occupancy costs, were calculated based on their respective segment sales: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5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Fiscal 2003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6"/>
              </w:rPr>
              <w:t>Fiscal 2002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6"/>
              </w:rPr>
              <w:t>Fiscal 2001</w:t>
            </w:r>
          </w:p>
        </w:tc>
      </w:tr>
      <w:tr>
        <w:trPr>
          <w:trHeight w:val="95"/>
        </w:trPr>
        <w:tc>
          <w:tcPr>
            <w:tcW w:w="148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1480" w:type="dxa"/>
            <w:vAlign w:val="bottom"/>
          </w:tcPr>
          <w:p>
            <w:pPr>
              <w:spacing w:after="0"/>
              <w:rPr>
                <w:sz w:val="8"/>
                <w:szCs w:val="8"/>
                <w:color w:val="auto"/>
              </w:rPr>
            </w:pPr>
          </w:p>
        </w:tc>
        <w:tc>
          <w:tcPr>
            <w:tcW w:w="5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Casual Male business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$102.7</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Other Branded Apparel business</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 with occupancy costs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21.4%</w:t>
            </w:r>
          </w:p>
        </w:tc>
        <w:tc>
          <w:tcPr>
            <w:tcW w:w="8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$41.4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23.8%</w:t>
            </w:r>
          </w:p>
        </w:tc>
        <w:tc>
          <w:tcPr>
            <w:tcW w:w="8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$48.3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28.1%</w:t>
            </w:r>
          </w:p>
        </w:tc>
      </w:tr>
      <w:tr>
        <w:trPr>
          <w:trHeight w:val="149"/>
        </w:trPr>
        <w:tc>
          <w:tcPr>
            <w:tcW w:w="14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Inventory charges for store liquidation</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108"/>
        </w:trPr>
        <w:tc>
          <w:tcPr>
            <w:tcW w:w="1480" w:type="dxa"/>
            <w:vAlign w:val="bottom"/>
          </w:tcPr>
          <w:p>
            <w:pPr>
              <w:spacing w:after="0"/>
              <w:rPr>
                <w:sz w:val="9"/>
                <w:szCs w:val="9"/>
                <w:color w:val="auto"/>
              </w:rPr>
            </w:pPr>
          </w:p>
        </w:tc>
        <w:tc>
          <w:tcPr>
            <w:tcW w:w="55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1480" w:type="dxa"/>
            <w:vAlign w:val="bottom"/>
          </w:tcPr>
          <w:p>
            <w:pPr>
              <w:spacing w:after="0"/>
              <w:rPr>
                <w:sz w:val="8"/>
                <w:szCs w:val="8"/>
                <w:color w:val="auto"/>
              </w:rPr>
            </w:pPr>
          </w:p>
        </w:tc>
        <w:tc>
          <w:tcPr>
            <w:tcW w:w="5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148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28.1%</w:t>
            </w:r>
          </w:p>
        </w:tc>
      </w:tr>
      <w:tr>
        <w:trPr>
          <w:trHeight w:val="108"/>
        </w:trPr>
        <w:tc>
          <w:tcPr>
            <w:tcW w:w="1480" w:type="dxa"/>
            <w:vAlign w:val="bottom"/>
          </w:tcPr>
          <w:p>
            <w:pPr>
              <w:spacing w:after="0"/>
              <w:rPr>
                <w:sz w:val="9"/>
                <w:szCs w:val="9"/>
                <w:color w:val="auto"/>
              </w:rPr>
            </w:pPr>
          </w:p>
        </w:tc>
        <w:tc>
          <w:tcPr>
            <w:tcW w:w="55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1480" w:type="dxa"/>
            <w:vAlign w:val="bottom"/>
          </w:tcPr>
          <w:p>
            <w:pPr>
              <w:spacing w:after="0"/>
              <w:rPr>
                <w:sz w:val="8"/>
                <w:szCs w:val="8"/>
                <w:color w:val="auto"/>
              </w:rPr>
            </w:pPr>
          </w:p>
        </w:tc>
        <w:tc>
          <w:tcPr>
            <w:tcW w:w="5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consolidated gross margin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$124.9</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31.4%</w:t>
            </w:r>
          </w:p>
        </w:tc>
        <w:tc>
          <w:tcPr>
            <w:tcW w:w="8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$41.4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23.8%</w:t>
            </w:r>
          </w:p>
        </w:tc>
        <w:tc>
          <w:tcPr>
            <w:tcW w:w="8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$48.3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28.1%</w:t>
            </w:r>
          </w:p>
        </w:tc>
      </w:tr>
      <w:tr>
        <w:trPr>
          <w:trHeight w:val="132"/>
        </w:trPr>
        <w:tc>
          <w:tcPr>
            <w:tcW w:w="148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6162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26162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2003 Compared to Fiscal 2002</w:t>
      </w:r>
    </w:p>
    <w:p>
      <w:pPr>
        <w:spacing w:after="0" w:line="1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Gross margin for fiscal 2003 of 31.4% increased 7.6 percentage points from 23.8% for fiscal 2002, solely due to the higher merchandise margins generated by the Company’s Casual Male business, which has been a significant benefit to the Company’s overall gross margin rates. The Casual Male business has a substantial portion of private label merchandise, which by its nature produces higher gross margins. In addition, limited competition in the big and tall market and the primarily basic nature of Casual Male’s sportswear merchandise assortments result in lower markdowns than the men’s apparel industry in general.</w:t>
      </w:r>
    </w:p>
    <w:p>
      <w:pPr>
        <w:spacing w:after="0" w:line="10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Company’s increase in gross margin for fiscal 2003 was partially offset by approximately $11.1 million in inventory charges, which were recorded during the second and fourth quarters of fiscal 2003 in connection with the Company’s store closing plan. The charge of $11.1 million relates specifically to the liquidation of inventory for some of the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that the Company expects to close. The Company incurred costs of approximately $5.3 million related to the liquidation of inventory for 20 of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which were closed during fiscal 2003 and for its exited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 The $5.3 million is included in discontinued operations for fiscal 2003.</w:t>
      </w:r>
    </w:p>
    <w:p>
      <w:pPr>
        <w:spacing w:after="0" w:line="146" w:lineRule="exact"/>
        <w:rPr>
          <w:sz w:val="20"/>
          <w:szCs w:val="20"/>
          <w:color w:val="auto"/>
        </w:rPr>
      </w:pPr>
    </w:p>
    <w:p>
      <w:pPr>
        <w:ind w:right="620"/>
        <w:spacing w:after="0" w:line="228" w:lineRule="auto"/>
        <w:rPr>
          <w:sz w:val="20"/>
          <w:szCs w:val="20"/>
          <w:color w:val="auto"/>
        </w:rPr>
      </w:pPr>
      <w:r>
        <w:rPr>
          <w:rFonts w:ascii="Arial" w:cs="Arial" w:eastAsia="Arial" w:hAnsi="Arial"/>
          <w:sz w:val="18"/>
          <w:szCs w:val="18"/>
          <w:color w:val="auto"/>
        </w:rPr>
        <w:t>In addition, in an effort to improve sales and manage inventory levels in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gross margin for fiscal 2003 was also negatively impacted by the increased promotional activity incurred as compared to fiscal 2002.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2002 Compared to Fiscal 2001</w:t>
      </w:r>
    </w:p>
    <w:p>
      <w:pPr>
        <w:spacing w:after="0" w:line="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Gross margin for fiscal 2002 of 23.8% decreased 4.3 percentage points from 28.1% for fiscal 2001, primarily due to the Company’s aggressive promotional activity, which resulted in a significantly higher markdown rate as compared to the prior year. The gross margin rate for fiscal 2002 was also negatively impacted by a decrease in initial margins related to increased costs of certain product lines. The Company was able to partially offset these decreases through its improvements in inventory shrink.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EXPENSES—Continuing Operations</w:t>
      </w:r>
    </w:p>
    <w:p>
      <w:pPr>
        <w:spacing w:after="0" w:line="1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Selling, general and administrative expenses (“SG&amp;A”) as a percentage of sales were 28.5% or $113.5 million in fiscal 2003, 20.7% or $36.0 million in fiscal 2002 and 22.1% or $38.1 million in fiscal 2001. The increase in SG&amp;A as a percentage of sales for fiscal 2003 was due principally to the addition of the Casual Male cost structure to the Company’s existing low cost base. Since the completion of the Casual Male acquisition in May 2002, the Company has implemented several cost reduction and synergy initiatives, which have resulted in approximately $8 million of cost savings in fiscal 2003, or approximately $20 million on an annualized basis. The Company expects to ultimately realize, over the next 12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18 months, an additional $5 million in cost savings on an annualized basis. Even prior to the Casual Male acquisition, the Company was actively implementing cost reduction initiatives which have resulted in the steady decrease in SG&amp;A as a percentage of sales since fiscal 1999.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The Company periodically assesses long-lived assets for impairment under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3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fiscal 2003, the Company recorded an impairment charge of $14.4 million, which was included as part of the $41.3 million in restructuring charges recorded in the second and fourth quarters of fiscal 2003. See “Restructuring” below. Of the $14.4 million, approximately $2.5 million related to the 20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closed in fiscal 2003 and the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and accordingly is included in discontinued operations for fiscal 2003. The remaining $11.9 million relate to the balance of the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which will be closed in the future and is reflected in “Provision for impairment of assets, store closings, and severance” on the Consolidated Statement of Operations for fiscal 2003. No such charge was necessary for fiscal 2002. In fiscal 2001, the Company recorded an impairment charge of $837,000 for the write-down of fixed assets. The impairment charge related to stores whose expected cash flows from operations were not expected to exceed their net book value prior to the expiration of their expected lease term.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 the second and fourth quarters of fiscal 2003, the Company recorded a total of $41.3 million in restructuring charges, summarized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550" w:type="dxa"/>
            <w:vAlign w:val="bottom"/>
          </w:tcPr>
          <w:p>
            <w:pPr>
              <w:jc w:val="right"/>
              <w:ind w:right="174"/>
              <w:spacing w:after="0"/>
              <w:rPr>
                <w:sz w:val="20"/>
                <w:szCs w:val="20"/>
                <w:color w:val="auto"/>
              </w:rPr>
            </w:pPr>
            <w:r>
              <w:rPr>
                <w:rFonts w:ascii="Arial" w:cs="Arial" w:eastAsia="Arial" w:hAnsi="Arial"/>
                <w:sz w:val="14"/>
                <w:szCs w:val="14"/>
                <w:b w:val="1"/>
                <w:bCs w:val="1"/>
                <w:color w:val="auto"/>
              </w:rPr>
              <w:t>Q2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Q4</w:t>
            </w:r>
          </w:p>
        </w:tc>
        <w:tc>
          <w:tcPr>
            <w:tcW w:w="1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74"/>
        </w:trPr>
        <w:tc>
          <w:tcPr>
            <w:tcW w:w="8440" w:type="dxa"/>
            <w:vAlign w:val="bottom"/>
            <w:gridSpan w:val="2"/>
          </w:tcPr>
          <w:p>
            <w:pPr>
              <w:spacing w:after="0"/>
              <w:rPr>
                <w:sz w:val="20"/>
                <w:szCs w:val="20"/>
                <w:color w:val="auto"/>
              </w:rPr>
            </w:pPr>
            <w:r>
              <w:rPr>
                <w:rFonts w:ascii="Arial" w:cs="Arial" w:eastAsia="Arial" w:hAnsi="Arial"/>
                <w:sz w:val="14"/>
                <w:szCs w:val="14"/>
                <w:i w:val="1"/>
                <w:iCs w:val="1"/>
                <w:color w:val="auto"/>
              </w:rPr>
              <w:t>Components of charges (in millions)</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Fiscal 2003</w:t>
            </w:r>
          </w:p>
        </w:tc>
        <w:tc>
          <w:tcPr>
            <w:tcW w:w="340" w:type="dxa"/>
            <w:vAlign w:val="bottom"/>
          </w:tcPr>
          <w:p>
            <w:pPr>
              <w:spacing w:after="0"/>
              <w:rPr>
                <w:sz w:val="15"/>
                <w:szCs w:val="15"/>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Fiscal 2003</w:t>
            </w: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Restructuring</w:t>
            </w:r>
          </w:p>
        </w:tc>
        <w:tc>
          <w:tcPr>
            <w:tcW w:w="0" w:type="dxa"/>
            <w:vAlign w:val="bottom"/>
          </w:tcPr>
          <w:p>
            <w:pPr>
              <w:spacing w:after="0"/>
              <w:rPr>
                <w:sz w:val="1"/>
                <w:szCs w:val="1"/>
                <w:color w:val="auto"/>
              </w:rPr>
            </w:pPr>
          </w:p>
        </w:tc>
      </w:tr>
      <w:tr>
        <w:trPr>
          <w:trHeight w:val="95"/>
        </w:trPr>
        <w:tc>
          <w:tcPr>
            <w:tcW w:w="280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5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Inventory markdowns</w:t>
            </w:r>
          </w:p>
        </w:tc>
        <w:tc>
          <w:tcPr>
            <w:tcW w:w="15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5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impairment and store closing:</w:t>
            </w:r>
          </w:p>
        </w:tc>
        <w:tc>
          <w:tcPr>
            <w:tcW w:w="15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Impairment of assets</w:t>
            </w:r>
          </w:p>
        </w:tc>
        <w:tc>
          <w:tcPr>
            <w:tcW w:w="15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50" w:type="dxa"/>
            <w:vAlign w:val="bottom"/>
          </w:tcPr>
          <w:p>
            <w:pPr>
              <w:jc w:val="right"/>
              <w:spacing w:after="0"/>
              <w:rPr>
                <w:sz w:val="20"/>
                <w:szCs w:val="20"/>
                <w:color w:val="auto"/>
              </w:rPr>
            </w:pPr>
            <w:r>
              <w:rPr>
                <w:rFonts w:ascii="Arial" w:cs="Arial" w:eastAsia="Arial" w:hAnsi="Arial"/>
                <w:sz w:val="18"/>
                <w:szCs w:val="18"/>
                <w:color w:val="auto"/>
              </w:rPr>
              <w:t>6.8</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accrued liabilities</w:t>
            </w:r>
          </w:p>
        </w:tc>
        <w:tc>
          <w:tcPr>
            <w:tcW w:w="15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50" w:type="dxa"/>
            <w:vAlign w:val="bottom"/>
          </w:tcPr>
          <w:p>
            <w:pPr>
              <w:spacing w:after="0"/>
              <w:rPr>
                <w:sz w:val="19"/>
                <w:szCs w:val="19"/>
                <w:color w:val="auto"/>
              </w:rPr>
            </w:pPr>
          </w:p>
        </w:tc>
        <w:tc>
          <w:tcPr>
            <w:tcW w:w="550" w:type="dxa"/>
            <w:vAlign w:val="bottom"/>
          </w:tcPr>
          <w:p>
            <w:pPr>
              <w:spacing w:after="0"/>
              <w:rPr>
                <w:sz w:val="19"/>
                <w:szCs w:val="19"/>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charge included in continued operations</w:t>
            </w: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5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Inventory liquidation</w:t>
            </w:r>
          </w:p>
        </w:tc>
        <w:tc>
          <w:tcPr>
            <w:tcW w:w="15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50" w:type="dxa"/>
            <w:vAlign w:val="bottom"/>
          </w:tcPr>
          <w:p>
            <w:pPr>
              <w:jc w:val="right"/>
              <w:spacing w:after="0"/>
              <w:rPr>
                <w:sz w:val="20"/>
                <w:szCs w:val="20"/>
                <w:color w:val="auto"/>
              </w:rPr>
            </w:pPr>
            <w:r>
              <w:rPr>
                <w:rFonts w:ascii="Arial" w:cs="Arial" w:eastAsia="Arial" w:hAnsi="Arial"/>
                <w:sz w:val="18"/>
                <w:szCs w:val="18"/>
                <w:color w:val="auto"/>
              </w:rPr>
              <w:t>3.1</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 of assets</w:t>
            </w:r>
          </w:p>
        </w:tc>
        <w:tc>
          <w:tcPr>
            <w:tcW w:w="15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charge included in discontinued operations</w:t>
            </w: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0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5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restructuring charges</w:t>
            </w: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second quarter charge of approximately $11.1 million related to the Company’s decision to downsize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also included costs to integrate the newly acquired Casual Male business with the existing businesses of the Company. Of the $11.1 million, approximately $7.5 million related to the downsizing of the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the remaining $3.6 million was integration costs associated with the combination of the Casual Male and Designs businesses. In the fourth quarter of fiscal 2003, the Company accelerated its plan to downsize the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also to transfer its operations of the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to Candies, Inc. Accordingly, the Company recorded an additional charge in the fourth quarter of approximately $30.2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Of the total restructuring charges of $41.3 million: i) $7.8 million relates to the 20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stores closed during fiscal 2003 and therefore, pursuant to SFAS No. 144, are included in loss from discontinued operations; ii) $25.5 million relates to the future closing of the balance of the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stores and integration costs associated with combining the Casual Male business with the Company and, pursuant to SFAS No. 144, are included in loss from continuing operations; and iii) $8.0 million relates to the impairment of certain tax assets, which is shown under “Provision for income taxes” in the Consolidated Statement of Operations. The impairment of the Company’s tax assets does not affect its ability to utilize the $49.5 million federal net operating loss carryforwards to offset future taxable income, subject to certain annual limitations. Of the total restructuring charges of $41.3 million, only $5.5 million is expected to impact the Company’s cash liquidity, primarily in fiscal 2004.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AMORTIZATION—Continuing Operations</w:t>
      </w:r>
    </w:p>
    <w:p>
      <w:pPr>
        <w:spacing w:after="0" w:line="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Depreciation and amortization expense for fiscal 2003 of $10.4 million increased as compared with $5.0 million in fiscal 2002, due to the addition of approximately $52.9 million in assets acquired in connection with the Casual Male acquisition, offset partially by the $14.4 million in impaired assets which the Company wrote off in connection with the restructuring and store closing charges recorded in fiscal 2003.</w:t>
      </w:r>
    </w:p>
    <w:p>
      <w:pPr>
        <w:spacing w:after="0" w:line="131" w:lineRule="exact"/>
        <w:rPr>
          <w:sz w:val="20"/>
          <w:szCs w:val="20"/>
          <w:color w:val="auto"/>
        </w:rPr>
      </w:pPr>
    </w:p>
    <w:p>
      <w:pPr>
        <w:ind w:right="2180"/>
        <w:spacing w:after="0" w:line="340" w:lineRule="auto"/>
        <w:rPr>
          <w:sz w:val="20"/>
          <w:szCs w:val="20"/>
          <w:color w:val="auto"/>
        </w:rPr>
      </w:pPr>
      <w:r>
        <w:rPr>
          <w:rFonts w:ascii="Arial" w:cs="Arial" w:eastAsia="Arial" w:hAnsi="Arial"/>
          <w:sz w:val="18"/>
          <w:szCs w:val="18"/>
          <w:color w:val="auto"/>
        </w:rPr>
        <w:t xml:space="preserve">Depreciation and amortization expense for fiscal 2002 increased slightly to $5.0 million as compared to $4.9 million in fiscal 2001. </w:t>
      </w:r>
      <w:r>
        <w:rPr>
          <w:rFonts w:ascii="Arial" w:cs="Arial" w:eastAsia="Arial" w:hAnsi="Arial"/>
          <w:sz w:val="18"/>
          <w:szCs w:val="18"/>
          <w:i w:val="1"/>
          <w:iCs w:val="1"/>
          <w:color w:val="auto"/>
        </w:rPr>
        <w:t>INTEREST EXPENSE, NET</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interest expense for fiscal 2003 was $9.1 million compared with $1.9 million in fiscal 2002 and $1.8 million in fiscal 2001. The significant increase in interest expense in fiscal 2003 was due to the increased debt levels of the Company as a result of the Casual Male acquisition. Approximately $50 million in long term debt and additional borrowings of approximately $30.2 million were incurred in connection with the Casual Male acquisition. The Company also assumed a $12 million mortgage as part of the Casual Male acquisition. The average annual interest rate of this additional debt is approximately 8.3%. The increase in interest costs in fiscal 2002 as compared to fiscal 2001 was primarily a result of higher average borrowing levels offset partially by reduced interest rates under the Company’s credit facility. See “Liquidity and Capital Resources.”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income tax provision for fiscal 2003 includes a non-cash charge of $8.0 million attributable to an increase in the valuation allowance for the Company’s deferred tax assets related to the potential that certain federal and state tax assets may not be realized. The provision for fiscal 2002 also included an $8.0 million charge against the Company’s realizability of certain tax assets.</w:t>
      </w:r>
    </w:p>
    <w:p>
      <w:pPr>
        <w:spacing w:after="0" w:line="131" w:lineRule="exact"/>
        <w:rPr>
          <w:sz w:val="20"/>
          <w:szCs w:val="20"/>
          <w:color w:val="auto"/>
        </w:rPr>
      </w:pPr>
    </w:p>
    <w:p>
      <w:pPr>
        <w:jc w:val="both"/>
        <w:ind w:right="220"/>
        <w:spacing w:after="0" w:line="323" w:lineRule="auto"/>
        <w:rPr>
          <w:sz w:val="20"/>
          <w:szCs w:val="20"/>
          <w:color w:val="auto"/>
        </w:rPr>
      </w:pPr>
      <w:r>
        <w:rPr>
          <w:rFonts w:ascii="Arial" w:cs="Arial" w:eastAsia="Arial" w:hAnsi="Arial"/>
          <w:sz w:val="15"/>
          <w:szCs w:val="15"/>
          <w:color w:val="auto"/>
        </w:rPr>
        <w:t>Pursuant to accounting rules, realization of the Company’s deferred tax assets, which relate principally to federal net operating loss carryforwards which expire from 2017 through 2023, is dependent on generating sufficient taxable income in the near term. The Company has not generated historical earnings in previous years and therefore has established a valuation allowance for its remaining deferred tax assets in the amount of $8.0 million. The impairment of the Company’s tax assets does not affect its ability to utilize its net operating loss carryforwards to offset any future taxable income, subject to certain annual limitations.</w:t>
      </w:r>
    </w:p>
    <w:p>
      <w:pPr>
        <w:spacing w:after="0" w:line="8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As of February 1, 2003, the Company has net operating loss carryforwards of $49.5 million for federal income tax purposes and $65.6 million for state income tax purposes that are available to offset future taxable income, subject to certain annual usage limitations, through fiscal year 2022. Additionally, the Company has alternative minimum tax credit carryforwards of $1.2 million, which are available to further reduce income taxes over an indefinite period. As a result of the Casual Male acquisition and the issuance of $82.5 million of additional equity, the utilization of approximately $33.7 million of the total $49.5 million of the net operating loss is limited to approximately $4.8 million each fiscal year.</w:t>
      </w:r>
    </w:p>
    <w:p>
      <w:pPr>
        <w:spacing w:after="0" w:line="1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third quarter of fiscal 2002, the Company and the Internal Revenue Service reached a final settlement on the audit of the Company’s federal income tax returns for fiscal years 1992 through 1996. In accordance with this settlement, the Company paid to the IRS a total of $1.5 million, including interest. The settlement of $1.5 million had no material impact on the Company’s results of operations for fiscal 2002 due to adequate provisions previously established by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 FROM CONTINUING OPERATIONS</w:t>
      </w:r>
    </w:p>
    <w:p>
      <w:pPr>
        <w:spacing w:after="0" w:line="1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For fiscal 2003, the Company had a net loss from continuing operations of $30.7 million as compared to a net loss of $9.5 million in fiscal 2002 and net income of $2.0 million in fiscal 2001. The primary reason for the decrease in net loss from continuing operations during fiscal 2003 was due to $25.5 million of the $41.3 million in restructuring charges and the deferred tax asset impairment of $8.0 million that were charged to continuing operations in fiscal 2003. After excluding the effect of these charges, the Company’s net income from continuing operations was $2.8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5"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Discontinued operations for 2003 resulted in a loss of $8.1 million compared to net income of $1.6 million in fiscal 2002 and net income of $1.2 million (net of $0.8 million for income taxes) in fiscal 2001. Due to the consolidated loss for the Company in fiscal 2003 and 2002, no tax benefit or provision was realized on discontinued operations for either year. Included in discontinued operations are the results of operations for fiscal 2003, 2002 and 2001 of the Company’s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and its 20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closed during fiscal 2003 pursuant to the Company’s exit strategy. There were no results of operations for the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in fiscal 2002 and fiscal 2001.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results of operations for these discontinued operations for the past three fiscal years: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6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2003</w:t>
            </w:r>
          </w:p>
        </w:tc>
        <w:tc>
          <w:tcPr>
            <w:tcW w:w="18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Fiscal 2002</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Fiscal 2001</w:t>
            </w:r>
          </w:p>
        </w:tc>
        <w:tc>
          <w:tcPr>
            <w:tcW w:w="0" w:type="dxa"/>
            <w:vAlign w:val="bottom"/>
          </w:tcPr>
          <w:p>
            <w:pPr>
              <w:spacing w:after="0"/>
              <w:rPr>
                <w:sz w:val="1"/>
                <w:szCs w:val="1"/>
                <w:color w:val="auto"/>
              </w:rPr>
            </w:pPr>
          </w:p>
        </w:tc>
      </w:tr>
      <w:tr>
        <w:trPr>
          <w:trHeight w:val="95"/>
        </w:trPr>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ind w:left="20"/>
              <w:spacing w:after="0"/>
              <w:rPr>
                <w:sz w:val="20"/>
                <w:szCs w:val="20"/>
                <w:color w:val="auto"/>
              </w:rPr>
            </w:pPr>
            <w:r>
              <w:rPr>
                <w:rFonts w:ascii="Arial" w:cs="Arial" w:eastAsia="Arial" w:hAnsi="Arial"/>
                <w:sz w:val="18"/>
                <w:szCs w:val="18"/>
                <w:color w:val="auto"/>
              </w:rPr>
              <w:t>Gross Profit, net of occupancy costs (1)</w:t>
            </w:r>
          </w:p>
        </w:tc>
        <w:tc>
          <w:tcPr>
            <w:tcW w:w="150" w:type="dxa"/>
            <w:vAlign w:val="bottom"/>
          </w:tcPr>
          <w:p>
            <w:pPr>
              <w:spacing w:after="0"/>
              <w:rPr>
                <w:sz w:val="18"/>
                <w:szCs w:val="18"/>
                <w:color w:val="auto"/>
              </w:rPr>
            </w:pPr>
          </w:p>
        </w:tc>
        <w:tc>
          <w:tcPr>
            <w:tcW w:w="75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ind w:left="20"/>
              <w:spacing w:after="0"/>
              <w:rPr>
                <w:sz w:val="20"/>
                <w:szCs w:val="20"/>
                <w:color w:val="auto"/>
              </w:rPr>
            </w:pPr>
            <w:r>
              <w:rPr>
                <w:rFonts w:ascii="Arial" w:cs="Arial" w:eastAsia="Arial" w:hAnsi="Arial"/>
                <w:sz w:val="18"/>
                <w:szCs w:val="18"/>
                <w:color w:val="auto"/>
              </w:rPr>
              <w:t>Impairment of assets</w:t>
            </w:r>
          </w:p>
        </w:tc>
        <w:tc>
          <w:tcPr>
            <w:tcW w:w="15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5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5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3"/>
          </w:tcPr>
          <w:p>
            <w:pPr>
              <w:ind w:left="20"/>
              <w:spacing w:after="0"/>
              <w:rPr>
                <w:sz w:val="20"/>
                <w:szCs w:val="20"/>
                <w:color w:val="auto"/>
              </w:rPr>
            </w:pPr>
            <w:r>
              <w:rPr>
                <w:rFonts w:ascii="Arial" w:cs="Arial" w:eastAsia="Arial" w:hAnsi="Arial"/>
                <w:sz w:val="18"/>
                <w:szCs w:val="18"/>
                <w:color w:val="auto"/>
              </w:rPr>
              <w:t>Income tax provision</w:t>
            </w:r>
          </w:p>
        </w:tc>
        <w:tc>
          <w:tcPr>
            <w:tcW w:w="150" w:type="dxa"/>
            <w:vAlign w:val="bottom"/>
          </w:tcPr>
          <w:p>
            <w:pPr>
              <w:spacing w:after="0"/>
              <w:rPr>
                <w:sz w:val="19"/>
                <w:szCs w:val="19"/>
                <w:color w:val="auto"/>
              </w:rPr>
            </w:pPr>
          </w:p>
        </w:tc>
        <w:tc>
          <w:tcPr>
            <w:tcW w:w="75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(Loss) income from discontinued operations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5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7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-172720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-172720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-172720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-172720</wp:posOffset>
            </wp:positionV>
            <wp:extent cx="42418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-172720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-172720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3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for fiscal 2003 includes a non-recurring charge of $5.3 million related to inventory liquidation that was included as part of the Company’s $41.3 million in charges as discussed above. See “Restructuring.”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5"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Company reported a net loss of $38.8 million, or $(1.54) per basic and diluted share, in fiscal 2003 compared to a net loss of $7.9 million, or $(0.54) per basic and diluted share, in fiscal 2002 and net income of $3.2 million, or $0.20 per basic and diluted share, in fiscal 2001. Included in fiscal 2003 were restructuring charges, including the write-down of tax assets of $8.0 million, of $41.3 million related primarily to the Company’s decision to downsize and exit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and its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See “Restructuring” above for further discussion.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76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Fiscal 2003</w:t>
            </w: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Fiscal 2002</w:t>
            </w:r>
          </w:p>
        </w:tc>
        <w:tc>
          <w:tcPr>
            <w:tcW w:w="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2"/>
              </w:rPr>
              <w:t>Fiscal 2001</w:t>
            </w:r>
          </w:p>
        </w:tc>
        <w:tc>
          <w:tcPr>
            <w:tcW w:w="0" w:type="dxa"/>
            <w:vAlign w:val="bottom"/>
          </w:tcPr>
          <w:p>
            <w:pPr>
              <w:spacing w:after="0"/>
              <w:rPr>
                <w:sz w:val="1"/>
                <w:szCs w:val="1"/>
                <w:color w:val="auto"/>
              </w:rPr>
            </w:pPr>
          </w:p>
        </w:tc>
      </w:tr>
      <w:tr>
        <w:trPr>
          <w:trHeight w:val="95"/>
        </w:trPr>
        <w:tc>
          <w:tcPr>
            <w:tcW w:w="11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Casual Male business</w:t>
            </w:r>
          </w:p>
        </w:tc>
        <w:tc>
          <w:tcPr>
            <w:tcW w:w="2880" w:type="dxa"/>
            <w:vAlign w:val="bottom"/>
            <w:gridSpan w:val="2"/>
          </w:tcPr>
          <w:p>
            <w:pPr>
              <w:ind w:left="27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Branded Apparel businesses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Restructuring charges</w:t>
            </w: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8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income (loss)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Minority interest</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income from discontinued operations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8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-29210</wp:posOffset>
            </wp:positionV>
            <wp:extent cx="44132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since such amounts also reflect the addition of new stores and the remodeling and closing of others during these periods. Historically, the Company has experienced seasonal fluctuations in revenues and income, exclusive of non-recurring charges, with increases occurring during the Company’s third and fourth quarters as a result of “Fall” and “Holiday” seasons. A comparison of quarterly sales, gross profit, net income (loss) per share for the past two fiscal years is presented in Note N of the Notes to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1"/>
              </w:rPr>
              <w:t xml:space="preserve">FISCAL 2003 </w:t>
            </w:r>
            <w:r>
              <w:rPr>
                <w:rFonts w:ascii="Arial" w:cs="Arial" w:eastAsia="Arial" w:hAnsi="Arial"/>
                <w:sz w:val="22"/>
                <w:szCs w:val="22"/>
                <w:b w:val="1"/>
                <w:bCs w:val="1"/>
                <w:color w:val="auto"/>
                <w:w w:val="91"/>
                <w:vertAlign w:val="superscript"/>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FISCAL 2002</w:t>
            </w:r>
          </w:p>
        </w:tc>
        <w:tc>
          <w:tcPr>
            <w:tcW w:w="100" w:type="dxa"/>
            <w:vAlign w:val="bottom"/>
          </w:tcPr>
          <w:p>
            <w:pPr>
              <w:spacing w:after="0"/>
              <w:rPr>
                <w:sz w:val="14"/>
                <w:szCs w:val="14"/>
                <w:color w:val="auto"/>
              </w:rPr>
            </w:pPr>
          </w:p>
        </w:tc>
        <w:tc>
          <w:tcPr>
            <w:tcW w:w="126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FISCAL 2001</w:t>
            </w:r>
          </w:p>
        </w:tc>
        <w:tc>
          <w:tcPr>
            <w:tcW w:w="0" w:type="dxa"/>
            <w:vAlign w:val="bottom"/>
          </w:tcPr>
          <w:p>
            <w:pPr>
              <w:spacing w:after="0"/>
              <w:rPr>
                <w:sz w:val="1"/>
                <w:szCs w:val="1"/>
                <w:color w:val="auto"/>
              </w:rPr>
            </w:pPr>
          </w:p>
        </w:tc>
      </w:tr>
      <w:tr>
        <w:trPr>
          <w:trHeight w:val="264"/>
        </w:trPr>
        <w:tc>
          <w:tcPr>
            <w:tcW w:w="1940" w:type="dxa"/>
            <w:vAlign w:val="bottom"/>
            <w:gridSpan w:val="2"/>
          </w:tcPr>
          <w:p>
            <w:pPr>
              <w:spacing w:after="0"/>
              <w:rPr>
                <w:sz w:val="20"/>
                <w:szCs w:val="20"/>
                <w:color w:val="auto"/>
              </w:rPr>
            </w:pPr>
            <w:r>
              <w:rPr>
                <w:rFonts w:ascii="Arial" w:cs="Arial" w:eastAsia="Arial" w:hAnsi="Arial"/>
                <w:sz w:val="14"/>
                <w:szCs w:val="14"/>
                <w:i w:val="1"/>
                <w:iCs w:val="1"/>
                <w:color w:val="auto"/>
              </w:rPr>
              <w:t>except percentages)</w:t>
            </w:r>
          </w:p>
        </w:tc>
        <w:tc>
          <w:tcPr>
            <w:tcW w:w="4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4"/>
            <w:vMerge w:val="continue"/>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4"/>
            <w:vMerge w:val="continue"/>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9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110.2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42.3</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39.9</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119.7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135.8</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47.6</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398.3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174.1</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Fiscal 2003 sales results include, since May 14, 2002, the sales of the Casual Male business, which was acquired by the Company.</w:t>
      </w:r>
    </w:p>
    <w:p>
      <w:pPr>
        <w:spacing w:after="0" w:line="15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Below are the quarterly sales, on a pro forma basis for the past two years of the Casual Male business, assuming that it was purchased on the first day of fiscal 2002.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FISCAL 2003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FISCAL 2002</w:t>
            </w:r>
          </w:p>
        </w:tc>
        <w:tc>
          <w:tcPr>
            <w:tcW w:w="0" w:type="dxa"/>
            <w:vAlign w:val="bottom"/>
          </w:tcPr>
          <w:p>
            <w:pPr>
              <w:spacing w:after="0"/>
              <w:rPr>
                <w:sz w:val="1"/>
                <w:szCs w:val="1"/>
                <w:color w:val="auto"/>
              </w:rPr>
            </w:pPr>
          </w:p>
        </w:tc>
      </w:tr>
      <w:tr>
        <w:trPr>
          <w:trHeight w:val="172"/>
        </w:trPr>
        <w:tc>
          <w:tcPr>
            <w:tcW w:w="1940" w:type="dxa"/>
            <w:vAlign w:val="bottom"/>
          </w:tcPr>
          <w:p>
            <w:pPr>
              <w:spacing w:after="0"/>
              <w:rPr>
                <w:sz w:val="20"/>
                <w:szCs w:val="20"/>
                <w:color w:val="auto"/>
              </w:rPr>
            </w:pPr>
            <w:r>
              <w:rPr>
                <w:rFonts w:ascii="Arial" w:cs="Arial" w:eastAsia="Arial" w:hAnsi="Arial"/>
                <w:sz w:val="14"/>
                <w:szCs w:val="14"/>
                <w:i w:val="1"/>
                <w:iCs w:val="1"/>
                <w:color w:val="auto"/>
              </w:rPr>
              <w:t>except percentages)</w:t>
            </w: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6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81.3</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79.2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6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2"/>
        </w:trPr>
        <w:tc>
          <w:tcPr>
            <w:tcW w:w="194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94.8</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98.9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102"/>
        </w:trPr>
        <w:tc>
          <w:tcPr>
            <w:tcW w:w="19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329.2</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332.4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Company’s primary cash needs are for working capital (essentially inventory requirements) and capital expenditures. Specifically, the Company’s capital expenditure program includes projects for new store openings, downsizing or</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combining existing stores, and improvements and integration of its systems infrastructure. The Company expects that cash flow from operations, external borrowings and trade credit will enable it to finance its current working capital and expansion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financial data regarding the Company’s liquidity position at the end of the past three fiscal years: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FISCAL YEARS</w:t>
            </w:r>
          </w:p>
        </w:tc>
        <w:tc>
          <w:tcPr>
            <w:tcW w:w="460" w:type="dxa"/>
            <w:vAlign w:val="bottom"/>
          </w:tcPr>
          <w:p>
            <w:pPr>
              <w:spacing w:after="0"/>
              <w:rPr>
                <w:sz w:val="15"/>
                <w:szCs w:val="15"/>
                <w:color w:val="auto"/>
              </w:rPr>
            </w:pPr>
          </w:p>
        </w:tc>
      </w:tr>
      <w:tr>
        <w:trPr>
          <w:trHeight w:val="95"/>
        </w:trPr>
        <w:tc>
          <w:tcPr>
            <w:tcW w:w="93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63"/>
        </w:trPr>
        <w:tc>
          <w:tcPr>
            <w:tcW w:w="93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2001</w:t>
            </w:r>
          </w:p>
        </w:tc>
      </w:tr>
      <w:tr>
        <w:trPr>
          <w:trHeight w:val="95"/>
        </w:trPr>
        <w:tc>
          <w:tcPr>
            <w:tcW w:w="93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102"/>
        </w:trPr>
        <w:tc>
          <w:tcPr>
            <w:tcW w:w="9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in millions, except ratios)</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Cash provided by operations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$ 20.6</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  0.6</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  6.3</w:t>
            </w: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2"/>
        </w:trPr>
        <w:tc>
          <w:tcPr>
            <w:tcW w:w="9360" w:type="dxa"/>
            <w:vAlign w:val="bottom"/>
          </w:tcPr>
          <w:p>
            <w:pPr>
              <w:ind w:left="20"/>
              <w:spacing w:after="0"/>
              <w:rPr>
                <w:sz w:val="20"/>
                <w:szCs w:val="20"/>
                <w:color w:val="auto"/>
              </w:rPr>
            </w:pPr>
            <w:r>
              <w:rPr>
                <w:rFonts w:ascii="Arial" w:cs="Arial" w:eastAsia="Arial" w:hAnsi="Arial"/>
                <w:sz w:val="18"/>
                <w:szCs w:val="18"/>
                <w:color w:val="auto"/>
              </w:rPr>
              <w:t>Current ratio</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1.3:1</w:t>
            </w: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financed its working capital requirements, store expansion program, stock repurchase programs and acquisitions with cash flow from operations, external borrowings, and proceeds from equity offerings. Cash provided by operations was $20.6 million, $0.6 million and $6.3 million in fiscal 2003, 2002 and 2001, respectively.</w:t>
      </w:r>
    </w:p>
    <w:p>
      <w:pPr>
        <w:spacing w:after="0" w:line="12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Cash flow provided by operations in fiscal 2003 increased approximately $20.0 million from fiscal 2002, primarily due to the Casual Male business which, since its acquisition in May 2002, has contributed approximately $17.6 million in operating income. This positive cash flow in fiscal 2003 was primarily used to finance the Company’s capital expenditures and reduce its borrowings under the Credit Facility (as defined below).</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fiscal 2003, after excluding the effects of the restructuring charges, the Company’s operating income from continuing operations was approximately $12.0 million. In addition, the Company significantly reduced its operating expense levels by approximately $20 million on an annualized basis, $8.0 million of which was realized in fiscal 2003. The Company expects that its operating income levels in fiscal year 2004 will therefore improve, providing sufficient cash flow to fund working capital requirements and capital expenditure levels.</w:t>
      </w:r>
    </w:p>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cash flow from operations, the Company’s other primary source of working capital is its credit facility with Fleet Retail Finance, Inc. (the “Credit Facility”). The Credit Facility, which was most recently amended on May 14, 2002 in connection with the financing of the Casual Male acquisition, provides for a total commitment of $120.0 million with a $20.0 million carve-out for standby and documentary letters of credit and continues to be secured by a lien on all of the Company’s assets. The Credit Facility, which expires May 14, 2005, will continue to provide the Company with its on-going working cash needs. The Company’s ability to borrow under the Credit Facility is determined using an availability formula based on eligible assets. The Company borrowed approximately $30.2 million under the Credit Facility in May 2002 to partially fund its Casual Male acquisition. The average outstanding borrowings under the Credit Facility for fiscal 2003 was $55.5 million and the highest borrowing level during the year was $85.0 million. At February 1, 2003, the Company had outstanding borrowings of approximately $55.6 million and unused availability of approximately $17.6 million. The Company anticipates that cash flow from operations and availability under the Credit Facility will be sufficient to meet all debt service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approximately $30.2 million of financing from the Credit Facility, the Company financed the Casual Male acquisition through the issuances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$82.5 million of additional equity and approximately $50 million of new long-term debt with detachable warrants. The Company also assumed a mortgage note in the principal amount of approximately $12.2 million for Casual Male Corp.’s corporate headquarters and distribution center in Canton, Massachusetts. See Note K to the Notes to Consolidated Financial Statements for a complete discussion of the funding.</w:t>
      </w:r>
    </w:p>
    <w:p>
      <w:pPr>
        <w:spacing w:after="0" w:line="131" w:lineRule="exact"/>
        <w:rPr>
          <w:sz w:val="20"/>
          <w:szCs w:val="20"/>
          <w:color w:val="auto"/>
        </w:rPr>
      </w:pPr>
    </w:p>
    <w:p>
      <w:pPr>
        <w:jc w:val="both"/>
        <w:ind w:right="80"/>
        <w:spacing w:after="0" w:line="306" w:lineRule="auto"/>
        <w:rPr>
          <w:sz w:val="20"/>
          <w:szCs w:val="20"/>
          <w:color w:val="auto"/>
        </w:rPr>
      </w:pPr>
      <w:r>
        <w:rPr>
          <w:rFonts w:ascii="Arial" w:cs="Arial" w:eastAsia="Arial" w:hAnsi="Arial"/>
          <w:sz w:val="15"/>
          <w:szCs w:val="15"/>
          <w:color w:val="auto"/>
        </w:rPr>
        <w:t>As previously discussed, the Company is in the process of exiting its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To the extent the Company is not able to terminate its leases with various landlords, the Company remains liable to meet its obligations under the existing lease agreements. See Note E to Consolidated Financial Statement.</w:t>
      </w:r>
    </w:p>
    <w:p>
      <w:pPr>
        <w:spacing w:after="0" w:line="8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Cash flow provided by operations in fiscal 2002 decreased approximately $5.7 million from fiscal 2001, primarily due to lower earnings. The Company used the cash proceeds from operations of $0.6 million and borrowings under the Credit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Facility to finance its store openings and remodeling program and other capital requirements of approximately $4.0 million, net of landlord allowances received. Correspondingly, the Company’s net borrowing position increased by approximately $3.4 million to $27.8 million at February 2, 2002 as compared to the prior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5"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At February 1, 2003, total inventories of the Company were $103.2 million as compared to $57.7 million at February 2, 2002. Of the $103.2 million, approximately $62.3 million was related to the Casual Male business and $40.9 million was related to the Other Branded Apparel businesses. Total inventory at February 1, 2003 is net of approximately $11.1 million in inventory reserves related to the exiting of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w:t>
      </w:r>
    </w:p>
    <w:p>
      <w:pPr>
        <w:spacing w:after="0" w:line="2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the first quarter of fiscal 2002, the Company changed its method of determining the cost of inventories from the last-in, first-out (“LIFO”) method to the first-in, first-out (“FIFO”) method. Management believes that the FIFO method better measures the current value of inventories and provides a more appropriate matching of revenues and expenses. In the current low-inflationary environment, management believes that the use of the FIFO method more accurately reflects the Company’s financial position. The effect of the change from LIFO to FIFO was immaterial to the financial results of the prior reporting periods of the Company and therefore did not require retroactive restatement of results for such prior periods.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5"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During fiscal 2003, the Company incurred approximately $14.5 million in capital expenditures, of which approximately $8.4 million was used towards store capital, $5.4 million was related to systems integration and infrastructure upgrades, and the remaining $0.7 million was miscellaneous capital at the corporate level.</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During fiscal 2003, the Company opened six Casual Male Big &amp; Tall retail stores and one Casual Male Big Tall outlet store. The Company also opened six EcKo Unltd.</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at an average build-out cost of approximately $175,000 per store. The Company’s plan for fiscal 2004 is to open seven new Casual Male Big</w:t>
      </w:r>
    </w:p>
    <w:p>
      <w:pPr>
        <w:spacing w:after="0" w:line="1" w:lineRule="exact"/>
        <w:rPr>
          <w:sz w:val="20"/>
          <w:szCs w:val="20"/>
          <w:color w:val="auto"/>
        </w:rPr>
      </w:pPr>
    </w:p>
    <w:p>
      <w:pPr>
        <w:ind w:right="200" w:firstLine="8"/>
        <w:spacing w:after="0" w:line="278" w:lineRule="auto"/>
        <w:tabs>
          <w:tab w:leader="none" w:pos="1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Tall retail stores, relocate six additional stores and, during the first half of fiscal 2004, open nine Casual Male Big &amp; Tall outlets. The Company also plans to open a total of 16 new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10 to 12 of which are scheduled to open by the end of June 2003.</w:t>
      </w:r>
    </w:p>
    <w:p>
      <w:pPr>
        <w:spacing w:after="0" w:line="34"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Capital expenditures for fiscal 2004 are expected to be between $12.0 million and $15.0 million, of which $6.0 million relates to the store expansion plans discussed above. The remaining planned capital for fiscal 2004 is primarily related to new merchandising and distribution systems, and maintenance level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w:t>
      </w:r>
    </w:p>
    <w:p>
      <w:pPr>
        <w:spacing w:after="0" w:line="1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Company’s financial statements are based on the application of significant accounting policies, many of which require management to make significant estimates and assumptions (see Note A to the Notes to Consolidated Financial Statements). The Company believes that the following items involve some of the more critical judgments in the application of its accounting policies that currently affect its financial condition and results of operations.</w:t>
      </w:r>
    </w:p>
    <w:p>
      <w:pPr>
        <w:spacing w:after="0" w:line="9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The Company records inventory at the lower of cost or market on a FIFO basis. The Company reserves for obsolescence based on the difference</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weighted average cost of the inventory and the estimated market value of the inventory based on assumptions of future demand and market conditions. If actual market conditions are less favorable than those projected by management, additional reserves may be required.</w:t>
      </w:r>
    </w:p>
    <w:p>
      <w:pPr>
        <w:spacing w:after="0" w:line="93"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 The Company reviews its long-lived assets for impairment when indicators of impairment are present and the undiscounted</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estimated to be generated by those assets is less than the assets’ carrying amount. The Company evaluates its long-lived assets for impairment at a store level for all its retail locations. If actual market conditions are less favorable than management’s projections, future write-offs may be necessary.</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Goodwill and Intangibles</w:t>
      </w:r>
      <w:r>
        <w:rPr>
          <w:rFonts w:ascii="Arial" w:cs="Arial" w:eastAsia="Arial" w:hAnsi="Arial"/>
          <w:sz w:val="18"/>
          <w:szCs w:val="18"/>
          <w:color w:val="auto"/>
        </w:rPr>
        <w:t>: In connection with the Casual Male acquisition, the Company recorded goodwill and intangibles of approximately $81.4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Statement of Financial Accounting Standards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No. 142”), the Company will, at least annually, evaluate these assets for impairment by analyzing the estimated fair value based on present value of discounted cash flows and will write off the amount of any goodwill or intangible in excess of its fair value.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The Company records a valuation allowance to reduce its deferred tax assets to the amount that is more likely than not to be realized.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considered estimated future taxable income and ongoing tax planning strategies in assessing the amount needed for the valuation allowance. At February 1, 2003, the Company’s deferred tax assets are fully reserved.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June 2001, the Financial Accounting Standards Board (‘FASB”) issued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which requires that the fair value of a liability for an asset retirement obligation be recognized in the period in which it is incurred if a reasonable estimate of fair value can be made. The associated asset retirement costs would be capitalized as part of the carrying amount of the long-lived asset and depreciated over the life of the asset. The liability is accreted at the end of each period through charges to operating expense. If the obligation is settled for other than the carrying amount of the liability, a company will recognize a gain or loss on settlement. The provisions of SFAS No. 143 are effective for fiscal years beginning after June 15, 2002. The Company does not expect implementation of SFAS No. 143 to have a significant effect on our results of operation or consolidated financial condition.</w:t>
      </w:r>
    </w:p>
    <w:p>
      <w:pPr>
        <w:spacing w:after="0" w:line="10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In April 2002, the FASB issued SFAS No. 145, </w:t>
      </w:r>
      <w:r>
        <w:rPr>
          <w:rFonts w:ascii="Arial" w:cs="Arial" w:eastAsia="Arial" w:hAnsi="Arial"/>
          <w:sz w:val="16"/>
          <w:szCs w:val="16"/>
          <w:i w:val="1"/>
          <w:iCs w:val="1"/>
          <w:color w:val="auto"/>
        </w:rPr>
        <w:t>Rescission of FASB Statements No. 4, 44, and 64, Amendment of FASB Statement No. 13, and Technical</w:t>
      </w:r>
      <w:r>
        <w:rPr>
          <w:rFonts w:ascii="Arial" w:cs="Arial" w:eastAsia="Arial" w:hAnsi="Arial"/>
          <w:sz w:val="16"/>
          <w:szCs w:val="16"/>
          <w:color w:val="auto"/>
        </w:rPr>
        <w:t xml:space="preserve"> </w:t>
      </w:r>
      <w:r>
        <w:rPr>
          <w:rFonts w:ascii="Arial" w:cs="Arial" w:eastAsia="Arial" w:hAnsi="Arial"/>
          <w:sz w:val="16"/>
          <w:szCs w:val="16"/>
          <w:i w:val="1"/>
          <w:iCs w:val="1"/>
          <w:color w:val="auto"/>
        </w:rPr>
        <w:t>Corrections as of April 2002</w:t>
      </w:r>
      <w:r>
        <w:rPr>
          <w:rFonts w:ascii="Arial" w:cs="Arial" w:eastAsia="Arial" w:hAnsi="Arial"/>
          <w:sz w:val="16"/>
          <w:szCs w:val="16"/>
          <w:color w:val="auto"/>
        </w:rPr>
        <w:t>, which is effective for fiscal years beginning after May 15, 2002. SFAS No. 145 rescinds SFAS No. 4 which required that all gains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losses from extinguishment of debt be aggregated, and if material, classified as an extraordinary item. As a result, gains and losses from debt extinguishment are to be classified as extraordinary only if they meet the criteria set forth in Accounting Principles Board Opinion No. 30, </w:t>
      </w:r>
      <w:r>
        <w:rPr>
          <w:rFonts w:ascii="Arial" w:cs="Arial" w:eastAsia="Arial" w:hAnsi="Arial"/>
          <w:sz w:val="16"/>
          <w:szCs w:val="16"/>
          <w:i w:val="1"/>
          <w:iCs w:val="1"/>
          <w:color w:val="auto"/>
        </w:rPr>
        <w:t>Reporting the Results of Operations—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the Effects of Disposal of a Segment of a Business, and Extraordinary, Unusual and Infrequently Occurring Events and Transactions</w:t>
      </w:r>
      <w:r>
        <w:rPr>
          <w:rFonts w:ascii="Arial" w:cs="Arial" w:eastAsia="Arial" w:hAnsi="Arial"/>
          <w:sz w:val="16"/>
          <w:szCs w:val="16"/>
          <w:color w:val="auto"/>
        </w:rPr>
        <w:t>. SFAS No. 145</w:t>
      </w:r>
      <w:r>
        <w:rPr>
          <w:rFonts w:ascii="Arial" w:cs="Arial" w:eastAsia="Arial" w:hAnsi="Arial"/>
          <w:sz w:val="16"/>
          <w:szCs w:val="16"/>
          <w:i w:val="1"/>
          <w:iCs w:val="1"/>
          <w:color w:val="auto"/>
        </w:rPr>
        <w:t xml:space="preserve"> </w:t>
      </w:r>
      <w:r>
        <w:rPr>
          <w:rFonts w:ascii="Arial" w:cs="Arial" w:eastAsia="Arial" w:hAnsi="Arial"/>
          <w:sz w:val="16"/>
          <w:szCs w:val="16"/>
          <w:color w:val="auto"/>
        </w:rPr>
        <w:t>also requires that sale-leaseback accounting be used for capital lease modifications with economic effects similar to sale-leaseback transactions. The Company does not expect implementation of SFAS No. 145 to have a significant effect on our results of operation or consolidated financial condition.</w:t>
      </w:r>
    </w:p>
    <w:p>
      <w:pPr>
        <w:spacing w:after="0" w:line="10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In November 2002, the FASB published interpretation No. 45, </w:t>
      </w:r>
      <w:r>
        <w:rPr>
          <w:rFonts w:ascii="Arial" w:cs="Arial" w:eastAsia="Arial" w:hAnsi="Arial"/>
          <w:sz w:val="16"/>
          <w:szCs w:val="16"/>
          <w:i w:val="1"/>
          <w:iCs w:val="1"/>
          <w:color w:val="auto"/>
        </w:rPr>
        <w:t>Guarantor’s Accounting and Disclosure Requirements for Guarantees, Including Indirect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Guarantees of Indebtedness of Others </w:t>
      </w:r>
      <w:r>
        <w:rPr>
          <w:rFonts w:ascii="Arial" w:cs="Arial" w:eastAsia="Arial" w:hAnsi="Arial"/>
          <w:sz w:val="16"/>
          <w:szCs w:val="16"/>
          <w:color w:val="auto"/>
        </w:rPr>
        <w:t>(“FIN 45”). FIN 45 expands on the accounting guidance of SFAS Nos. 5, 57 and 107 and incorporates without change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FASB interpretation No. 34, which FIN 45 superseded. FIN 45 elaborates on the existing disclosure requirements for most guarantees, including loan guarantees such as standby letters of credit. FIN 45 also provides that at the time a company issues a guarantee, such company must recognize an initial liability for the fair value, or market value, of the obligations it assumes under such guarantee and must disclose that information in its interim and annual financial statements. The initial recognition and initial measurement provisions apply on a prospective basis to guarantees issued or modified after December 31, 2002, regardless of the guarantor’s fiscal year-end. The disclosure requirements in FIN 45 are effective for financial statements with respect to interim or annual periods ending after December 15, 2002. The adoption of the provisions of FIN 45 in fiscal 2003 did not have an impact on the Company’s results of operations or disclosures.</w:t>
      </w:r>
    </w:p>
    <w:p>
      <w:pPr>
        <w:spacing w:after="0" w:line="10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December 2002, the FASB issued SFAS No. 148, </w:t>
      </w:r>
      <w:r>
        <w:rPr>
          <w:rFonts w:ascii="Arial" w:cs="Arial" w:eastAsia="Arial" w:hAnsi="Arial"/>
          <w:sz w:val="16"/>
          <w:szCs w:val="16"/>
          <w:i w:val="1"/>
          <w:iCs w:val="1"/>
          <w:color w:val="auto"/>
        </w:rPr>
        <w:t>Accounting for Stock-Based Compensation—Transition and Disclosure</w:t>
      </w:r>
      <w:r>
        <w:rPr>
          <w:rFonts w:ascii="Arial" w:cs="Arial" w:eastAsia="Arial" w:hAnsi="Arial"/>
          <w:sz w:val="16"/>
          <w:szCs w:val="16"/>
          <w:color w:val="auto"/>
        </w:rPr>
        <w:t>, an amendment of SFAS No. 123. The purpose of the amendment is to enable companies that choose to adopt the fair-value-based method of accounting for stock-based compensation to report the full effect of employee stock options in their financial statements immediately upon adoption. The Company will continue to apply the disclosure-only provisions of SFAS No. 123. The transition provisions are effective for fiscal years ending after December 15, 2002. The Company adopted the annual disclosure provision of SFAS No. 148 in fiscal 2003. The interim disclosure provisions are effective for financial reports containing condensed financial statements for interim periods beginning after December 15, 2002, and the Company will adopt such provisions in the first quarter of fiscal 2004.</w:t>
      </w:r>
    </w:p>
    <w:p>
      <w:pPr>
        <w:spacing w:after="0" w:line="10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In January 2003, the FASB’s Emerging Issues Task Force, or EITF, reached a consensus on Issue 02-16, </w:t>
      </w:r>
      <w:r>
        <w:rPr>
          <w:rFonts w:ascii="Arial" w:cs="Arial" w:eastAsia="Arial" w:hAnsi="Arial"/>
          <w:sz w:val="16"/>
          <w:szCs w:val="16"/>
          <w:i w:val="1"/>
          <w:iCs w:val="1"/>
          <w:color w:val="auto"/>
        </w:rPr>
        <w:t>Accounting by a Customer (including a Reseller)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Cash Consideration Received from a Vendor. </w:t>
      </w:r>
      <w:r>
        <w:rPr>
          <w:rFonts w:ascii="Arial" w:cs="Arial" w:eastAsia="Arial" w:hAnsi="Arial"/>
          <w:sz w:val="16"/>
          <w:szCs w:val="16"/>
          <w:color w:val="auto"/>
        </w:rPr>
        <w:t>Issue 02-16 provides guidance on how a customer should account for cash consideration received from a vendor.</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transition provisions apply prospectively to arrangements entered into or modified subsequent to December 31, 2002 and would require all amounts received from vendors to be accounted for as a reduction of the cost of the products purchased unless certain criteria are met to allow presentation as a reduction of advertising expense. The Company will adopt the provisions of Issue 02-16 in the first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quarter of fiscal 2004. The Company currently accounts for vendor consideration, which is not material to the Company, as a component of cost of goods sold and therefore believes that the adoption of Issue 02-16 will not have a material impact on its results of operations.</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January 2003, the FASB published interpretation No. 46,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(“FIN 46”), to clarify the conditions under which assets, liabilities and activities of another entity should be consolidated into the financial statements of a company. FIN 46 requires the consolidation of a variable interest entity (including a special purpose entity such as that utilized in an accounts receivable securitization transaction) by a company that bears the majority of the risk of loss from the variable interest entity’s activities or is entitled to receive a majority of the variable interest entity’s residual returns or both. The provisions of FIN 46 are required to be adopted in fiscal 2004. The Company does not believe the adoption of FIN 46 will have a material impact on its financial position or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1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Although the Company’s operations are influenced by general economic trends, the Company does not believe that inflation has had a material effect on the results of its operations in the last three fiscal years.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Certain statements contained in this Annual Report on Form 10-K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in the material set forth under the headings “Management’s Discussion and Analysis of Financial Condition and Results of Operations” and “Business,” but may be found in other locations as well. These forward-looking statements generally relate to plans and objectives for future operations and are based upon management’s reasonable estimates of future results or trends. The forward-looking statements in this Annual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September 17, 2002, which identifies certain risks and uncertainties that may have an impact on future earnings and the direction of the Company.</w:t>
      </w:r>
    </w:p>
    <w:p>
      <w:pPr>
        <w:spacing w:after="0" w:line="11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i w:val="1"/>
          <w:iCs w:val="1"/>
          <w:color w:val="auto"/>
        </w:rPr>
        <w:t>Quantitative and Qualitative Disclosures About Market Risk</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effects of these and other potential exposures. The Company utilizes cash from operations and its Credit Facility to fund its working capital needs. The Company’s Credit Facility is not used for trading or speculative purposes. In addition, the Company has available letters of credit as sources of financing for its working capital requirements. Borrowings under the Credit Facility, which expires in May 2005, bear interest at variable rates based on FleetBoston, N.A.’s prime rate or the London Interbank Offering Rate (“LIBOR”). These interest rates at February 1, 2003 were 4.75% for prime based borrowings and included various LIBOR contracts with interest rates ranging from 4.3% to 4.6%. Based upon sensitivity analysis as of February 1, 2003, a 50 basis point increase in interest rates would result in a potential increase in interest expense of approximately $278,000.</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i w:val="1"/>
          <w:iCs w:val="1"/>
          <w:color w:val="auto"/>
        </w:rPr>
        <w:t>Financial Statements and Supplementary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37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Management’s Responsibility for Financial Reporting</w:t>
              </w:r>
            </w:hyperlink>
          </w:p>
        </w:tc>
        <w:tc>
          <w:tcPr>
            <w:tcW w:w="73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22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Report of Independent Auditors</w:t>
              </w:r>
            </w:hyperlink>
          </w:p>
        </w:tc>
        <w:tc>
          <w:tcPr>
            <w:tcW w:w="88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1"/>
        </w:trPr>
        <w:tc>
          <w:tcPr>
            <w:tcW w:w="11120" w:type="dxa"/>
            <w:vAlign w:val="bottom"/>
            <w:gridSpan w:val="9"/>
          </w:tcPr>
          <w:p>
            <w:pPr>
              <w:spacing w:after="0"/>
              <w:rPr>
                <w:sz w:val="20"/>
                <w:szCs w:val="20"/>
                <w:color w:val="auto"/>
              </w:rPr>
            </w:pPr>
            <w:r>
              <w:rPr>
                <w:rFonts w:ascii="Arial" w:cs="Arial" w:eastAsia="Arial" w:hAnsi="Arial"/>
                <w:sz w:val="18"/>
                <w:szCs w:val="18"/>
                <w:color w:val="auto"/>
              </w:rPr>
              <w:t>Consolidated Financial Statements:</w:t>
            </w:r>
          </w:p>
        </w:tc>
        <w:tc>
          <w:tcPr>
            <w:tcW w:w="280" w:type="dxa"/>
            <w:vAlign w:val="bottom"/>
          </w:tcPr>
          <w:p>
            <w:pPr>
              <w:spacing w:after="0"/>
              <w:rPr>
                <w:sz w:val="24"/>
                <w:szCs w:val="24"/>
                <w:color w:val="auto"/>
              </w:rPr>
            </w:pPr>
          </w:p>
        </w:tc>
      </w:tr>
      <w:tr>
        <w:trPr>
          <w:trHeight w:val="286"/>
        </w:trPr>
        <w:tc>
          <w:tcPr>
            <w:tcW w:w="460" w:type="dxa"/>
            <w:vAlign w:val="bottom"/>
          </w:tcPr>
          <w:p>
            <w:pPr>
              <w:spacing w:after="0"/>
              <w:rPr>
                <w:sz w:val="24"/>
                <w:szCs w:val="24"/>
                <w:color w:val="auto"/>
              </w:rPr>
            </w:pPr>
          </w:p>
        </w:tc>
        <w:tc>
          <w:tcPr>
            <w:tcW w:w="498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Consolidated Balance Sheets at February 1, 2003 and February 2, 2002</w:t>
              </w:r>
            </w:hyperlink>
          </w:p>
        </w:tc>
        <w:tc>
          <w:tcPr>
            <w:tcW w:w="56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460" w:type="dxa"/>
            <w:vAlign w:val="bottom"/>
          </w:tcPr>
          <w:p>
            <w:pPr>
              <w:spacing w:after="0"/>
              <w:rPr>
                <w:sz w:val="24"/>
                <w:szCs w:val="24"/>
                <w:color w:val="auto"/>
              </w:rPr>
            </w:pPr>
          </w:p>
        </w:tc>
        <w:tc>
          <w:tcPr>
            <w:tcW w:w="10660" w:type="dxa"/>
            <w:vAlign w:val="bottom"/>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Consolidated Statements of Operations for the Fiscal Years Ended February 1, 2003, February 2, 2002 and February 3, 2001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6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660" w:type="dxa"/>
            <w:vAlign w:val="bottom"/>
            <w:gridSpan w:val="8"/>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Consolidated Statements of Changes in Stockholders’ Equity for the Fiscal Years Ended February 1, 2003, February 2, 2002 and February 3, 2001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460" w:type="dxa"/>
            <w:vAlign w:val="bottom"/>
          </w:tcPr>
          <w:p>
            <w:pPr>
              <w:spacing w:after="0"/>
              <w:rPr>
                <w:sz w:val="24"/>
                <w:szCs w:val="24"/>
                <w:color w:val="auto"/>
              </w:rPr>
            </w:pPr>
          </w:p>
        </w:tc>
        <w:tc>
          <w:tcPr>
            <w:tcW w:w="10240" w:type="dxa"/>
            <w:vAlign w:val="bottom"/>
            <w:tcBorders>
              <w:top w:val="single" w:sz="8" w:color="0000EE"/>
            </w:tcBorders>
            <w:gridSpan w:val="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Consolidated Statements of Cash Flows for the Fiscal Years Ended February 1, 2003 February 2, 2002 and February 3, 2001</w:t>
              </w:r>
            </w:hyperlink>
          </w:p>
        </w:tc>
        <w:tc>
          <w:tcPr>
            <w:tcW w:w="4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6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6120" w:type="dxa"/>
            <w:vAlign w:val="bottom"/>
            <w:gridSpan w:val="4"/>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1112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3"/>
        </w:trPr>
        <w:tc>
          <w:tcPr>
            <w:tcW w:w="3060" w:type="dxa"/>
            <w:vAlign w:val="bottom"/>
            <w:tcBorders>
              <w:top w:val="single" w:sz="8" w:color="0000EE"/>
            </w:tcBorders>
            <w:gridSpan w:val="3"/>
          </w:tcPr>
          <w:p>
            <w:pPr>
              <w:spacing w:after="0"/>
              <w:rPr>
                <w:sz w:val="24"/>
                <w:szCs w:val="24"/>
                <w:color w:val="auto"/>
              </w:rPr>
            </w:pPr>
          </w:p>
        </w:tc>
        <w:tc>
          <w:tcPr>
            <w:tcW w:w="6100" w:type="dxa"/>
            <w:vAlign w:val="bottom"/>
            <w:gridSpan w:val="3"/>
          </w:tcPr>
          <w:p>
            <w:pPr>
              <w:jc w:val="right"/>
              <w:ind w:right="338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RESPONSIBILITY FOR FINANCIAL REPORTING</w:t>
      </w:r>
    </w:p>
    <w:p>
      <w:pPr>
        <w:spacing w:after="0" w:line="16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integrity and objectivity of the financial statements and the related financial information in this report are the responsibility of the management of the Company. The financial statements have been prepared in conformity with generally accepted accounting principles and include, where necessary, the best estimates and judgments of management.</w:t>
      </w:r>
    </w:p>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maintains a system of internal accounting control designed to provide reasonable assurance, at appropriate cost, that assets are safeguarded, transactions are executed in accordance with management’s authorization and the accounting records provide a reliable basis for the preparation of the financial statements. The system of internal accounting control is regularly reviewed by management and improved and modified as necessary in response to changing business conditions.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of the Board of Directors, consisting solely of outside directors, meets periodically with management and the Company’s independent auditors to review matters relating to the Company’s financial reporting, the adequacy of internal accounting control and the scope and results of audit work. The independent auditors have free access to the Audit Committee.</w:t>
      </w:r>
    </w:p>
    <w:p>
      <w:pPr>
        <w:spacing w:after="0" w:line="12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Ernst &amp; Young LLP, independent auditors, have been engaged to examine the financial statements of the Company for the fiscal year ended February 1, 2003. The Report of Ernst &amp; Young, Independent Auditors expresses an opinion as to the fair presentation of the financial statements in accordance with generally accepted accounting principles and is based on an audit conducted in accordance with auditing standards generally accepted in the United States.</w:t>
      </w:r>
    </w:p>
    <w:p>
      <w:pPr>
        <w:sectPr>
          <w:pgSz w:w="11900" w:h="16838" w:orient="portrait"/>
          <w:cols w:equalWidth="0" w:num="1">
            <w:col w:w="11320"/>
          </w:cols>
          <w:pgMar w:left="240" w:top="459" w:right="33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 DENNIS R. HERNREICH</w:t>
      </w:r>
    </w:p>
    <w:p>
      <w:pPr>
        <w:spacing w:after="0" w:line="200" w:lineRule="exact"/>
        <w:rPr>
          <w:sz w:val="20"/>
          <w:szCs w:val="20"/>
          <w:color w:val="auto"/>
        </w:rPr>
      </w:pPr>
    </w:p>
    <w:p>
      <w:pPr>
        <w:sectPr>
          <w:pgSz w:w="11900" w:h="16838" w:orient="portrait"/>
          <w:cols w:equalWidth="0" w:num="2">
            <w:col w:w="5340" w:space="720"/>
            <w:col w:w="5260"/>
          </w:cols>
          <w:pgMar w:left="240" w:top="459"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Chief Operating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Treasurer</w:t>
      </w:r>
    </w:p>
    <w:p>
      <w:pPr>
        <w:spacing w:after="0" w:line="151" w:lineRule="exact"/>
        <w:rPr>
          <w:sz w:val="20"/>
          <w:szCs w:val="20"/>
          <w:color w:val="auto"/>
        </w:rPr>
      </w:pPr>
    </w:p>
    <w:p>
      <w:pPr>
        <w:sectPr>
          <w:pgSz w:w="11900" w:h="16838" w:orient="portrait"/>
          <w:cols w:equalWidth="0" w:num="2">
            <w:col w:w="5340" w:space="720"/>
            <w:col w:w="5260"/>
          </w:cols>
          <w:pgMar w:left="240" w:top="459"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20"/>
          </w:cols>
          <w:pgMar w:left="240" w:top="459"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REPORT OF INDEPENDENT AUDITORS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Casual Male Retail Group, Inc.:</w:t>
      </w:r>
    </w:p>
    <w:p>
      <w:pPr>
        <w:spacing w:after="0" w:line="158"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We have audited the accompanying consolidated balance sheets of Casual Male Retail Group, Inc. (formerly Designs, Inc.) as of February 1, 2003 and February 2, 2002 and the related consolidated statements of operations, changes in stockholders’ equity and cash flows for each of the three years in the period ended February 1, 2003. Our audits also included the financial statement schedule listed in the Index at Item 15(a). These financial statements and schedule are the responsibility of the Company’s management. Our responsibility is to express an opinion on the financial statements and schedule based on our audits.</w:t>
      </w:r>
    </w:p>
    <w:p>
      <w:pPr>
        <w:spacing w:after="0" w:line="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Casual Male Retail Group, Inc. at February 1, 2003 and February 2, 2002, and the consolidated results of its operations and its cash flows for each of the three years in the period ended February 1, 2003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discussed in Note A of the consolidated financial statements, in the year ended February 1, 2003 the Company adopted Statement of Financial Accounting Standards No. 144, “Accounting for the Impairment or Disposal of Long-Lived Assets.”</w:t>
      </w:r>
    </w:p>
    <w:p>
      <w:pPr>
        <w:spacing w:after="0" w:line="1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26, 2003</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 2003 and February 2, 2002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2003</w:t>
            </w:r>
          </w:p>
        </w:tc>
        <w:tc>
          <w:tcPr>
            <w:tcW w:w="1080" w:type="dxa"/>
            <w:vAlign w:val="bottom"/>
            <w:gridSpan w:val="4"/>
          </w:tcPr>
          <w:p>
            <w:pPr>
              <w:jc w:val="right"/>
              <w:ind w:right="120"/>
              <w:spacing w:after="0"/>
              <w:rPr>
                <w:sz w:val="20"/>
                <w:szCs w:val="20"/>
                <w:color w:val="auto"/>
              </w:rPr>
            </w:pPr>
            <w:r>
              <w:rPr>
                <w:rFonts w:ascii="Arial" w:cs="Arial" w:eastAsia="Arial" w:hAnsi="Arial"/>
                <w:sz w:val="14"/>
                <w:szCs w:val="14"/>
                <w:color w:val="auto"/>
                <w:w w:val="88"/>
              </w:rPr>
              <w:t>February 2,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(Fiscal 2003)</w:t>
            </w:r>
          </w:p>
        </w:tc>
        <w:tc>
          <w:tcPr>
            <w:tcW w:w="140" w:type="dxa"/>
            <w:vAlign w:val="bottom"/>
          </w:tcPr>
          <w:p>
            <w:pPr>
              <w:spacing w:after="0"/>
              <w:rPr>
                <w:sz w:val="15"/>
                <w:szCs w:val="15"/>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w w:val="86"/>
              </w:rPr>
              <w:t>(Fiscal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6"/>
          </w:tcPr>
          <w:p>
            <w:pPr>
              <w:jc w:val="right"/>
              <w:ind w:right="400"/>
              <w:spacing w:after="0"/>
              <w:rPr>
                <w:sz w:val="20"/>
                <w:szCs w:val="20"/>
                <w:color w:val="auto"/>
              </w:rPr>
            </w:pPr>
            <w:r>
              <w:rPr>
                <w:rFonts w:ascii="Arial" w:cs="Arial" w:eastAsia="Arial" w:hAnsi="Arial"/>
                <w:sz w:val="14"/>
                <w:szCs w:val="14"/>
                <w:color w:val="auto"/>
                <w:w w:val="94"/>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8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6,989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103,222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117,603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64,062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50,698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30,729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266,945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88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33,902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24,338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Accrued liabilities for severance and store closings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6,172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Payable to affiliate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67,352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55,579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50,996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933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107,508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Common stock, $0.01 par value, 75,000,000 shares authorized, 38,867,000 and 17,608,000 shares issued at February</w:t>
            </w: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 2003 and February 2, 2002, respectively</w:t>
            </w: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146,892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(44,104)</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w w:val="97"/>
              </w:rPr>
              <w:t>Treasury stock at cost, 3,119,000 and 3,040,000 shares at February 1, 2003 and February 2, 2002, respectively</w:t>
            </w:r>
          </w:p>
        </w:tc>
        <w:tc>
          <w:tcPr>
            <w:tcW w:w="1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(8,913)</w:t>
            </w: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receivable from officer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(197)</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91,067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266,945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-4977765</wp:posOffset>
            </wp:positionV>
            <wp:extent cx="103314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3314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-4977765</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93916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16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59" w:right="239" w:bottom="252"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252"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years ended February 1, 2003, February 2, 2002 and February 3, 2001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Fiscal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color w:val="auto"/>
                <w:w w:val="87"/>
              </w:rPr>
              <w:t>Fiscal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Fiscal</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2003</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89"/>
              </w:rPr>
              <w:t>2002</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89"/>
              </w:rPr>
              <w:t>2001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580" w:type="dxa"/>
            <w:vAlign w:val="bottom"/>
          </w:tcPr>
          <w:p>
            <w:pPr>
              <w:spacing w:after="0"/>
              <w:rPr>
                <w:sz w:val="15"/>
                <w:szCs w:val="15"/>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(52 weeks)</w:t>
            </w:r>
          </w:p>
        </w:tc>
        <w:tc>
          <w:tcPr>
            <w:tcW w:w="20" w:type="dxa"/>
            <w:vAlign w:val="bottom"/>
          </w:tcPr>
          <w:p>
            <w:pPr>
              <w:spacing w:after="0"/>
              <w:rPr>
                <w:sz w:val="15"/>
                <w:szCs w:val="15"/>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color w:val="auto"/>
                <w:w w:val="87"/>
              </w:rPr>
              <w:t>(52 weeks)</w:t>
            </w:r>
          </w:p>
        </w:tc>
        <w:tc>
          <w:tcPr>
            <w:tcW w:w="20" w:type="dxa"/>
            <w:vAlign w:val="bottom"/>
          </w:tcPr>
          <w:p>
            <w:pPr>
              <w:spacing w:after="0"/>
              <w:rPr>
                <w:sz w:val="15"/>
                <w:szCs w:val="15"/>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(53 weeks)</w:t>
            </w:r>
          </w:p>
        </w:tc>
        <w:tc>
          <w:tcPr>
            <w:tcW w:w="0" w:type="dxa"/>
            <w:vAlign w:val="bottom"/>
          </w:tcPr>
          <w:p>
            <w:pPr>
              <w:spacing w:after="0"/>
              <w:rPr>
                <w:sz w:val="1"/>
                <w:szCs w:val="1"/>
                <w:color w:val="auto"/>
              </w:rPr>
            </w:pPr>
          </w:p>
        </w:tc>
      </w:tr>
      <w:tr>
        <w:trPr>
          <w:trHeight w:val="95"/>
        </w:trPr>
        <w:tc>
          <w:tcPr>
            <w:tcW w:w="8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2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gridSpan w:val="10"/>
          </w:tcPr>
          <w:p>
            <w:pPr>
              <w:jc w:val="center"/>
              <w:ind w:right="120"/>
              <w:spacing w:after="0"/>
              <w:rPr>
                <w:sz w:val="20"/>
                <w:szCs w:val="20"/>
                <w:color w:val="auto"/>
              </w:rPr>
            </w:pPr>
            <w:r>
              <w:rPr>
                <w:rFonts w:ascii="Arial" w:cs="Arial" w:eastAsia="Arial" w:hAnsi="Arial"/>
                <w:sz w:val="14"/>
                <w:szCs w:val="14"/>
                <w:color w:val="auto"/>
                <w:w w:val="84"/>
              </w:rPr>
              <w:t>(In thousands, except share data)</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398,348</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174,117</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80" w:type="dxa"/>
            <w:vAlign w:val="bottom"/>
          </w:tcPr>
          <w:p>
            <w:pPr>
              <w:ind w:left="20"/>
              <w:spacing w:after="0"/>
              <w:rPr>
                <w:sz w:val="20"/>
                <w:szCs w:val="20"/>
                <w:color w:val="auto"/>
              </w:rPr>
            </w:pPr>
            <w:r>
              <w:rPr>
                <w:rFonts w:ascii="Arial" w:cs="Arial" w:eastAsia="Arial" w:hAnsi="Arial"/>
                <w:sz w:val="18"/>
                <w:szCs w:val="18"/>
                <w:color w:val="auto"/>
              </w:rPr>
              <w:t>Cost of goods sold including occupancy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273,386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132,689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8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124,962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580" w:type="dxa"/>
            <w:vAlign w:val="bottom"/>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113,521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40"/>
              <w:spacing w:after="0"/>
              <w:rPr>
                <w:sz w:val="20"/>
                <w:szCs w:val="20"/>
                <w:color w:val="auto"/>
              </w:rPr>
            </w:pPr>
            <w:r>
              <w:rPr>
                <w:rFonts w:ascii="Arial" w:cs="Arial" w:eastAsia="Arial" w:hAnsi="Arial"/>
                <w:sz w:val="18"/>
                <w:szCs w:val="18"/>
                <w:color w:val="auto"/>
              </w:rPr>
              <w:t>Provision for impairment of assets, store closings and severance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14,434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10,436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138,391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2"/>
              </w:rPr>
              <w:t>(13,429)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9,081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8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continuing operations before minority interest and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2"/>
              </w:rPr>
              <w:t>(22,510)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2"/>
              </w:rPr>
              <w:t>(30,695)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(9,477)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discontinued operations (net of tax provision of $836 in fiscal 2001)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2"/>
              </w:rPr>
              <w:t>(38,800)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per share—basic and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(Loss) 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(1.22)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(0.65)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(0.32)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25,117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25,117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14,486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-1209675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-1209675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-1209675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-1209675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-1209675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-1209675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-1209675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-1209675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-1209675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years ended February 1, 2003, February 2, 2002 and February 3, 2001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50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15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Preferred Stock</w:t>
            </w:r>
          </w:p>
        </w:tc>
        <w:tc>
          <w:tcPr>
            <w:tcW w:w="152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Note</w:t>
            </w:r>
          </w:p>
        </w:tc>
        <w:tc>
          <w:tcPr>
            <w:tcW w:w="20" w:type="dxa"/>
            <w:vAlign w:val="bottom"/>
          </w:tcPr>
          <w:p>
            <w:pPr>
              <w:spacing w:after="0"/>
              <w:rPr>
                <w:sz w:val="14"/>
                <w:szCs w:val="14"/>
                <w:color w:val="auto"/>
              </w:rPr>
            </w:pPr>
          </w:p>
        </w:tc>
        <w:tc>
          <w:tcPr>
            <w:tcW w:w="11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20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92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Receivable</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3"/>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8"/>
                <w:szCs w:val="8"/>
                <w:color w:val="auto"/>
              </w:rPr>
            </w:pPr>
          </w:p>
        </w:tc>
        <w:tc>
          <w:tcPr>
            <w:tcW w:w="1000" w:type="dxa"/>
            <w:vAlign w:val="bottom"/>
            <w:gridSpan w:val="2"/>
            <w:vMerge w:val="restart"/>
          </w:tcPr>
          <w:p>
            <w:pPr>
              <w:jc w:val="right"/>
              <w:ind w:right="480"/>
              <w:spacing w:after="0" w:line="149" w:lineRule="exact"/>
              <w:rPr>
                <w:sz w:val="20"/>
                <w:szCs w:val="20"/>
                <w:color w:val="auto"/>
              </w:rPr>
            </w:pPr>
            <w:r>
              <w:rPr>
                <w:rFonts w:ascii="Arial" w:cs="Arial" w:eastAsia="Arial" w:hAnsi="Arial"/>
                <w:sz w:val="14"/>
                <w:szCs w:val="14"/>
                <w:b w:val="1"/>
                <w:bCs w:val="1"/>
                <w:color w:val="auto"/>
              </w:rPr>
              <w:t>Deficit)</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2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3"/>
                <w:szCs w:val="3"/>
                <w:color w:val="auto"/>
              </w:rPr>
            </w:pPr>
          </w:p>
        </w:tc>
        <w:tc>
          <w:tcPr>
            <w:tcW w:w="8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from</w:t>
            </w:r>
          </w:p>
        </w:tc>
        <w:tc>
          <w:tcPr>
            <w:tcW w:w="20" w:type="dxa"/>
            <w:vAlign w:val="bottom"/>
          </w:tcPr>
          <w:p>
            <w:pPr>
              <w:spacing w:after="0"/>
              <w:rPr>
                <w:sz w:val="3"/>
                <w:szCs w:val="3"/>
                <w:color w:val="auto"/>
              </w:rPr>
            </w:pPr>
          </w:p>
        </w:tc>
        <w:tc>
          <w:tcPr>
            <w:tcW w:w="116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3"/>
                <w:szCs w:val="3"/>
                <w:color w:val="auto"/>
              </w:rPr>
            </w:pPr>
          </w:p>
        </w:tc>
        <w:tc>
          <w:tcPr>
            <w:tcW w:w="1000" w:type="dxa"/>
            <w:vAlign w:val="bottom"/>
            <w:gridSpan w:val="2"/>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Retained</w:t>
            </w: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Shares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Officer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71"/>
              </w:rPr>
              <w:t>loss</w:t>
            </w:r>
          </w:p>
        </w:tc>
        <w:tc>
          <w:tcPr>
            <w:tcW w:w="10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Earnings</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29, 2000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16,690</w:t>
            </w:r>
          </w:p>
        </w:tc>
        <w:tc>
          <w:tcPr>
            <w:tcW w:w="4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(286)</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(1,830)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54,571</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$ 52,269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Exercises under option program</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Board of Directors compensation</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Pr>
          <w:p>
            <w:pPr>
              <w:ind w:left="40"/>
              <w:spacing w:after="0" w:line="138" w:lineRule="exact"/>
              <w:rPr>
                <w:sz w:val="20"/>
                <w:szCs w:val="20"/>
                <w:color w:val="auto"/>
              </w:rPr>
            </w:pPr>
            <w:r>
              <w:rPr>
                <w:rFonts w:ascii="Arial" w:cs="Arial" w:eastAsia="Arial" w:hAnsi="Arial"/>
                <w:sz w:val="14"/>
                <w:szCs w:val="14"/>
                <w:color w:val="auto"/>
                <w:w w:val="99"/>
              </w:rPr>
              <w:t>Issuance of shares to related party</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tcPr>
          <w:p>
            <w:pPr>
              <w:ind w:left="60"/>
              <w:spacing w:after="0" w:line="159" w:lineRule="exact"/>
              <w:rPr>
                <w:sz w:val="20"/>
                <w:szCs w:val="20"/>
                <w:color w:val="auto"/>
              </w:rPr>
            </w:pPr>
            <w:r>
              <w:rPr>
                <w:rFonts w:ascii="Arial" w:cs="Arial" w:eastAsia="Arial" w:hAnsi="Arial"/>
                <w:sz w:val="14"/>
                <w:szCs w:val="14"/>
                <w:color w:val="auto"/>
              </w:rPr>
              <w:t>for professional services</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386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520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524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Repurchase of common stock</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(2,621)</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(6,314)</w:t>
            </w: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(6,314)</w:t>
            </w:r>
          </w:p>
        </w:tc>
        <w:tc>
          <w:tcPr>
            <w:tcW w:w="0" w:type="dxa"/>
            <w:vAlign w:val="bottom"/>
          </w:tcPr>
          <w:p>
            <w:pPr>
              <w:spacing w:after="0"/>
              <w:rPr>
                <w:sz w:val="1"/>
                <w:szCs w:val="1"/>
                <w:color w:val="auto"/>
              </w:rPr>
            </w:pPr>
          </w:p>
        </w:tc>
      </w:tr>
      <w:tr>
        <w:trPr>
          <w:trHeight w:val="149"/>
        </w:trPr>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Restricted stock cancelled</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97"/>
              </w:rPr>
              <w:t>Exercise of options and repurchase</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of shares from director</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132</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Sale of stock to officer</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Income tax benefit from stock</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option exercised</w:t>
            </w: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00" w:type="dxa"/>
            <w:vAlign w:val="bottom"/>
          </w:tcPr>
          <w:p>
            <w:pPr>
              <w:spacing w:after="0"/>
              <w:rPr>
                <w:sz w:val="20"/>
                <w:szCs w:val="20"/>
                <w:color w:val="auto"/>
              </w:rPr>
            </w:pPr>
            <w:r>
              <w:rPr>
                <w:rFonts w:ascii="Arial" w:cs="Arial" w:eastAsia="Arial" w:hAnsi="Arial"/>
                <w:sz w:val="14"/>
                <w:szCs w:val="14"/>
                <w:color w:val="auto"/>
              </w:rPr>
              <w:t>Net income</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3,216</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20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February 3, 2001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17,488</w:t>
            </w:r>
          </w:p>
        </w:tc>
        <w:tc>
          <w:tcPr>
            <w:tcW w:w="4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(3,035)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(8,427)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55,697</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(197)</w:t>
            </w:r>
          </w:p>
        </w:tc>
        <w:tc>
          <w:tcPr>
            <w:tcW w:w="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2,577</w:t>
            </w: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$ 49,825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Exercises under option program</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Board of Directors compensation</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Pr>
          <w:p>
            <w:pPr>
              <w:ind w:left="40"/>
              <w:spacing w:after="0" w:line="138" w:lineRule="exact"/>
              <w:rPr>
                <w:sz w:val="20"/>
                <w:szCs w:val="20"/>
                <w:color w:val="auto"/>
              </w:rPr>
            </w:pPr>
            <w:r>
              <w:rPr>
                <w:rFonts w:ascii="Arial" w:cs="Arial" w:eastAsia="Arial" w:hAnsi="Arial"/>
                <w:sz w:val="14"/>
                <w:szCs w:val="14"/>
                <w:color w:val="auto"/>
                <w:w w:val="99"/>
              </w:rPr>
              <w:t>Issuance of shares to related party</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tcPr>
          <w:p>
            <w:pPr>
              <w:ind w:left="60"/>
              <w:spacing w:after="0" w:line="159" w:lineRule="exact"/>
              <w:rPr>
                <w:sz w:val="20"/>
                <w:szCs w:val="20"/>
                <w:color w:val="auto"/>
              </w:rPr>
            </w:pPr>
            <w:r>
              <w:rPr>
                <w:rFonts w:ascii="Arial" w:cs="Arial" w:eastAsia="Arial" w:hAnsi="Arial"/>
                <w:sz w:val="14"/>
                <w:szCs w:val="14"/>
                <w:color w:val="auto"/>
              </w:rPr>
              <w:t>for professional services</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66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316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317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Issuance of options for</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professional services rendered</w:t>
            </w: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Repurchase of common stock</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Income tax benefit from stock</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option exercised</w:t>
            </w: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00" w:type="dxa"/>
            <w:vAlign w:val="bottom"/>
          </w:tcPr>
          <w:p>
            <w:pPr>
              <w:spacing w:after="0"/>
              <w:rPr>
                <w:sz w:val="20"/>
                <w:szCs w:val="20"/>
                <w:color w:val="auto"/>
              </w:rPr>
            </w:pPr>
            <w:r>
              <w:rPr>
                <w:rFonts w:ascii="Arial" w:cs="Arial" w:eastAsia="Arial" w:hAnsi="Arial"/>
                <w:sz w:val="14"/>
                <w:szCs w:val="14"/>
                <w:color w:val="auto"/>
              </w:rPr>
              <w:t>Net loss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(7,881)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(7,881)</w:t>
            </w:r>
          </w:p>
        </w:tc>
        <w:tc>
          <w:tcPr>
            <w:tcW w:w="0" w:type="dxa"/>
            <w:vAlign w:val="bottom"/>
          </w:tcPr>
          <w:p>
            <w:pPr>
              <w:spacing w:after="0"/>
              <w:rPr>
                <w:sz w:val="1"/>
                <w:szCs w:val="1"/>
                <w:color w:val="auto"/>
              </w:rPr>
            </w:pPr>
          </w:p>
        </w:tc>
      </w:tr>
      <w:tr>
        <w:trPr>
          <w:trHeight w:val="84"/>
        </w:trPr>
        <w:tc>
          <w:tcPr>
            <w:tcW w:w="220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February 2, 2002</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17,608</w:t>
            </w:r>
          </w:p>
        </w:tc>
        <w:tc>
          <w:tcPr>
            <w:tcW w:w="4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(3,040)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(8,450)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56,189</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(197)</w:t>
            </w:r>
          </w:p>
        </w:tc>
        <w:tc>
          <w:tcPr>
            <w:tcW w:w="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(5,304)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$ 42,414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Pr>
          <w:p>
            <w:pPr>
              <w:ind w:left="40"/>
              <w:spacing w:after="0" w:line="138" w:lineRule="exact"/>
              <w:rPr>
                <w:sz w:val="20"/>
                <w:szCs w:val="20"/>
                <w:color w:val="auto"/>
              </w:rPr>
            </w:pPr>
            <w:r>
              <w:rPr>
                <w:rFonts w:ascii="Arial" w:cs="Arial" w:eastAsia="Arial" w:hAnsi="Arial"/>
                <w:sz w:val="14"/>
                <w:szCs w:val="14"/>
                <w:color w:val="auto"/>
                <w:w w:val="98"/>
              </w:rPr>
              <w:t>Issuance of common stock through</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tcPr>
          <w:p>
            <w:pPr>
              <w:ind w:left="60"/>
              <w:spacing w:after="0" w:line="159" w:lineRule="exact"/>
              <w:rPr>
                <w:sz w:val="20"/>
                <w:szCs w:val="20"/>
                <w:color w:val="auto"/>
              </w:rPr>
            </w:pPr>
            <w:r>
              <w:rPr>
                <w:rFonts w:ascii="Arial" w:cs="Arial" w:eastAsia="Arial" w:hAnsi="Arial"/>
                <w:sz w:val="14"/>
                <w:szCs w:val="14"/>
                <w:color w:val="auto"/>
              </w:rPr>
              <w:t>private placement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1,379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5,986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97"/>
              </w:rPr>
              <w:t>Issuance of preferred stock through</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private placements</w:t>
            </w: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76"/>
              </w:rPr>
              <w:t>180</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76,447</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76,449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tcPr>
          <w:p>
            <w:pPr>
              <w:ind w:left="40"/>
              <w:spacing w:after="0" w:line="138" w:lineRule="exact"/>
              <w:rPr>
                <w:sz w:val="20"/>
                <w:szCs w:val="20"/>
                <w:color w:val="auto"/>
              </w:rPr>
            </w:pPr>
            <w:r>
              <w:rPr>
                <w:rFonts w:ascii="Arial" w:cs="Arial" w:eastAsia="Arial" w:hAnsi="Arial"/>
                <w:sz w:val="14"/>
                <w:szCs w:val="14"/>
                <w:color w:val="auto"/>
              </w:rPr>
              <w:t>Issuance of warrants through</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tcPr>
          <w:p>
            <w:pPr>
              <w:ind w:left="60"/>
              <w:spacing w:after="0" w:line="159" w:lineRule="exact"/>
              <w:rPr>
                <w:sz w:val="20"/>
                <w:szCs w:val="20"/>
                <w:color w:val="auto"/>
              </w:rPr>
            </w:pPr>
            <w:r>
              <w:rPr>
                <w:rFonts w:ascii="Arial" w:cs="Arial" w:eastAsia="Arial" w:hAnsi="Arial"/>
                <w:sz w:val="14"/>
                <w:szCs w:val="14"/>
                <w:color w:val="auto"/>
              </w:rPr>
              <w:t>private placements</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9,589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9,589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Costs of raising capital</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(2,448)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138"/>
        </w:trPr>
        <w:tc>
          <w:tcPr>
            <w:tcW w:w="2200" w:type="dxa"/>
            <w:vAlign w:val="bottom"/>
          </w:tcPr>
          <w:p>
            <w:pPr>
              <w:ind w:left="40"/>
              <w:spacing w:after="0" w:line="138" w:lineRule="exact"/>
              <w:rPr>
                <w:sz w:val="20"/>
                <w:szCs w:val="20"/>
                <w:color w:val="auto"/>
              </w:rPr>
            </w:pPr>
            <w:r>
              <w:rPr>
                <w:rFonts w:ascii="Arial" w:cs="Arial" w:eastAsia="Arial" w:hAnsi="Arial"/>
                <w:sz w:val="14"/>
                <w:szCs w:val="14"/>
                <w:color w:val="auto"/>
              </w:rPr>
              <w:t>Conversion of preferred stock to</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tcPr>
          <w:p>
            <w:pPr>
              <w:ind w:left="60"/>
              <w:spacing w:after="0" w:line="159" w:lineRule="exact"/>
              <w:rPr>
                <w:sz w:val="20"/>
                <w:szCs w:val="20"/>
                <w:color w:val="auto"/>
              </w:rPr>
            </w:pPr>
            <w:r>
              <w:rPr>
                <w:rFonts w:ascii="Arial" w:cs="Arial" w:eastAsia="Arial" w:hAnsi="Arial"/>
                <w:sz w:val="14"/>
                <w:szCs w:val="14"/>
                <w:color w:val="auto"/>
              </w:rPr>
              <w:t>common stock</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18,016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180</w:t>
            </w:r>
          </w:p>
        </w:tc>
        <w:tc>
          <w:tcPr>
            <w:tcW w:w="240" w:type="dxa"/>
            <w:vAlign w:val="bottom"/>
          </w:tcPr>
          <w:p>
            <w:pPr>
              <w:spacing w:after="0"/>
              <w:rPr>
                <w:sz w:val="13"/>
                <w:szCs w:val="13"/>
                <w:color w:val="auto"/>
              </w:rPr>
            </w:pPr>
          </w:p>
        </w:tc>
        <w:tc>
          <w:tcPr>
            <w:tcW w:w="7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(180)</w:t>
            </w:r>
          </w:p>
        </w:tc>
        <w:tc>
          <w:tcPr>
            <w:tcW w:w="200" w:type="dxa"/>
            <w:vAlign w:val="bottom"/>
          </w:tcPr>
          <w:p>
            <w:pPr>
              <w:spacing w:after="0"/>
              <w:rPr>
                <w:sz w:val="13"/>
                <w:szCs w:val="13"/>
                <w:color w:val="auto"/>
              </w:rPr>
            </w:pPr>
          </w:p>
        </w:tc>
        <w:tc>
          <w:tcPr>
            <w:tcW w:w="6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(2)</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(178)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Exercises under option program</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Pr>
          <w:p>
            <w:pPr>
              <w:ind w:left="40"/>
              <w:spacing w:after="0" w:line="138" w:lineRule="exact"/>
              <w:rPr>
                <w:sz w:val="20"/>
                <w:szCs w:val="20"/>
                <w:color w:val="auto"/>
              </w:rPr>
            </w:pPr>
            <w:r>
              <w:rPr>
                <w:rFonts w:ascii="Arial" w:cs="Arial" w:eastAsia="Arial" w:hAnsi="Arial"/>
                <w:sz w:val="14"/>
                <w:szCs w:val="14"/>
                <w:color w:val="auto"/>
              </w:rPr>
              <w:t>Exercise of options by related</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tcPr>
          <w:p>
            <w:pPr>
              <w:ind w:left="60"/>
              <w:spacing w:after="0" w:line="159" w:lineRule="exact"/>
              <w:rPr>
                <w:sz w:val="20"/>
                <w:szCs w:val="20"/>
                <w:color w:val="auto"/>
              </w:rPr>
            </w:pPr>
            <w:r>
              <w:rPr>
                <w:rFonts w:ascii="Arial" w:cs="Arial" w:eastAsia="Arial" w:hAnsi="Arial"/>
                <w:sz w:val="14"/>
                <w:szCs w:val="14"/>
                <w:color w:val="auto"/>
              </w:rPr>
              <w:t>party</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(79)</w:t>
            </w:r>
          </w:p>
        </w:tc>
        <w:tc>
          <w:tcPr>
            <w:tcW w:w="140" w:type="dxa"/>
            <w:vAlign w:val="bottom"/>
          </w:tcPr>
          <w:p>
            <w:pPr>
              <w:spacing w:after="0"/>
              <w:rPr>
                <w:sz w:val="13"/>
                <w:szCs w:val="13"/>
                <w:color w:val="auto"/>
              </w:rPr>
            </w:pPr>
          </w:p>
        </w:tc>
        <w:tc>
          <w:tcPr>
            <w:tcW w:w="7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(463)</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459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Exercises of warrants by related</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parties</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1,190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Board of Directors compensation</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99"/>
              </w:rPr>
              <w:t>Issuance of shares to related party</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for professional services</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275</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line="138" w:lineRule="exact"/>
              <w:rPr>
                <w:sz w:val="20"/>
                <w:szCs w:val="20"/>
                <w:color w:val="auto"/>
              </w:rPr>
            </w:pPr>
            <w:r>
              <w:rPr>
                <w:rFonts w:ascii="Arial" w:cs="Arial" w:eastAsia="Arial" w:hAnsi="Arial"/>
                <w:sz w:val="14"/>
                <w:szCs w:val="14"/>
                <w:color w:val="auto"/>
              </w:rPr>
              <w:t>Accumulated other comprehensive</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tcPr>
          <w:p>
            <w:pPr>
              <w:ind w:left="20"/>
              <w:spacing w:after="0" w:line="159" w:lineRule="exact"/>
              <w:rPr>
                <w:sz w:val="20"/>
                <w:szCs w:val="20"/>
                <w:color w:val="auto"/>
              </w:rPr>
            </w:pPr>
            <w:r>
              <w:rPr>
                <w:rFonts w:ascii="Arial" w:cs="Arial" w:eastAsia="Arial" w:hAnsi="Arial"/>
                <w:sz w:val="14"/>
                <w:szCs w:val="14"/>
                <w:color w:val="auto"/>
              </w:rPr>
              <w:t>loss—pension</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(3,000)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(38,800)</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(38,800)</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(41,800)</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February 1, 2003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38,867</w:t>
            </w:r>
          </w:p>
        </w:tc>
        <w:tc>
          <w:tcPr>
            <w:tcW w:w="4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(3,119)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(8,913)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146,892</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(197)</w:t>
            </w:r>
          </w:p>
        </w:tc>
        <w:tc>
          <w:tcPr>
            <w:tcW w:w="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(44,104)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$ 91,067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1701165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-29210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-29210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years ended February 1, 2003, February 2, 2002 and February 3, 2001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Fiscal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w w:val="87"/>
              </w:rPr>
              <w:t>Fiscal</w:t>
            </w:r>
          </w:p>
        </w:tc>
        <w:tc>
          <w:tcPr>
            <w:tcW w:w="1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w w:val="87"/>
              </w:rPr>
              <w:t>Fiscal</w:t>
            </w:r>
          </w:p>
        </w:tc>
      </w:tr>
      <w:tr>
        <w:trPr>
          <w:trHeight w:val="174"/>
        </w:trPr>
        <w:tc>
          <w:tcPr>
            <w:tcW w:w="96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2002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2001</w:t>
            </w:r>
          </w:p>
        </w:tc>
        <w:tc>
          <w:tcPr>
            <w:tcW w:w="60" w:type="dxa"/>
            <w:vAlign w:val="bottom"/>
          </w:tcPr>
          <w:p>
            <w:pPr>
              <w:spacing w:after="0"/>
              <w:rPr>
                <w:sz w:val="15"/>
                <w:szCs w:val="15"/>
                <w:color w:val="auto"/>
              </w:rPr>
            </w:pPr>
          </w:p>
        </w:tc>
      </w:tr>
      <w:tr>
        <w:trPr>
          <w:trHeight w:val="95"/>
        </w:trPr>
        <w:tc>
          <w:tcPr>
            <w:tcW w:w="9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96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Net (loss) income</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(38,800)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(7,881)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3,216</w:t>
            </w:r>
          </w:p>
        </w:tc>
        <w:tc>
          <w:tcPr>
            <w:tcW w:w="6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Adjustments to reconcile net (loss) income to net cash provided by (used for) operating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Loss (income) from discontinued operations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8,105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(1,596)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(1,183)</w:t>
            </w: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 for impairment of assets, store closings and severance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Provision for inventory markdowns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4,887</w:t>
            </w:r>
          </w:p>
        </w:tc>
        <w:tc>
          <w:tcPr>
            <w:tcW w:w="6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Accretion of warrants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Minority interest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7,978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7,134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2,023</w:t>
            </w:r>
          </w:p>
        </w:tc>
        <w:tc>
          <w:tcPr>
            <w:tcW w:w="6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disposal of property and equipment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Issuance of common stock to Board of Directors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common stock to related party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0" w:type="dxa"/>
            <w:vAlign w:val="bottom"/>
            <w:shd w:val="clear" w:color="auto" w:fill="CCEEFF"/>
          </w:tcPr>
          <w:p>
            <w:pPr>
              <w:spacing w:after="0"/>
              <w:rPr>
                <w:sz w:val="18"/>
                <w:szCs w:val="18"/>
                <w:color w:val="auto"/>
              </w:rPr>
            </w:pPr>
          </w:p>
        </w:tc>
      </w:tr>
      <w:tr>
        <w:trPr>
          <w:trHeight w:val="228"/>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Issuance of common stock for professional services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96"/>
        </w:trPr>
        <w:tc>
          <w:tcPr>
            <w:tcW w:w="9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(5,101)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1,016</w:t>
            </w:r>
          </w:p>
        </w:tc>
        <w:tc>
          <w:tcPr>
            <w:tcW w:w="6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(2,051)</w:t>
            </w: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Payment to Internal Revenue Service on settlement of audit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(1,500)</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Accrued liabilities for severance, store closings and impairment charges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3,882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(2,376)</w:t>
            </w: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(7,458)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(2,296)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18"/>
                <w:szCs w:val="18"/>
                <w:color w:val="auto"/>
              </w:rPr>
            </w:pPr>
          </w:p>
        </w:tc>
      </w:tr>
      <w:tr>
        <w:trPr>
          <w:trHeight w:val="108"/>
        </w:trPr>
        <w:tc>
          <w:tcPr>
            <w:tcW w:w="9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6,299</w:t>
            </w:r>
          </w:p>
        </w:tc>
        <w:tc>
          <w:tcPr>
            <w:tcW w:w="60" w:type="dxa"/>
            <w:vAlign w:val="bottom"/>
            <w:shd w:val="clear" w:color="auto" w:fill="CCEEFF"/>
          </w:tcPr>
          <w:p>
            <w:pPr>
              <w:spacing w:after="0"/>
              <w:rPr>
                <w:sz w:val="18"/>
                <w:szCs w:val="18"/>
                <w:color w:val="auto"/>
              </w:rPr>
            </w:pPr>
          </w:p>
        </w:tc>
      </w:tr>
      <w:tr>
        <w:trPr>
          <w:trHeight w:val="108"/>
        </w:trPr>
        <w:tc>
          <w:tcPr>
            <w:tcW w:w="9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10"/>
        </w:trPr>
        <w:tc>
          <w:tcPr>
            <w:tcW w:w="9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flows from investing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Additions to property and equipment,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(12,472)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(4,012)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(4,493)</w:t>
            </w: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Additions to property and equipment of discontinued operations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Proceeds from disposal of property and equipment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Casual Male, less cash acquired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(160,808)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8"/>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Termination of investment trust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2,365</w:t>
            </w:r>
          </w:p>
        </w:tc>
        <w:tc>
          <w:tcPr>
            <w:tcW w:w="60" w:type="dxa"/>
            <w:vAlign w:val="bottom"/>
          </w:tcPr>
          <w:p>
            <w:pPr>
              <w:spacing w:after="0"/>
              <w:rPr>
                <w:sz w:val="19"/>
                <w:szCs w:val="19"/>
                <w:color w:val="auto"/>
              </w:rPr>
            </w:pPr>
          </w:p>
        </w:tc>
      </w:tr>
      <w:tr>
        <w:trPr>
          <w:trHeight w:val="96"/>
        </w:trPr>
        <w:tc>
          <w:tcPr>
            <w:tcW w:w="9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used for investing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(175,275)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(3,991)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(2,071)</w:t>
            </w:r>
          </w:p>
        </w:tc>
      </w:tr>
      <w:tr>
        <w:trPr>
          <w:trHeight w:val="108"/>
        </w:trPr>
        <w:tc>
          <w:tcPr>
            <w:tcW w:w="9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10"/>
        </w:trPr>
        <w:tc>
          <w:tcPr>
            <w:tcW w:w="9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flows from financing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Net borrowings under credit facility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27,827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2,143</w:t>
            </w:r>
          </w:p>
        </w:tc>
        <w:tc>
          <w:tcPr>
            <w:tcW w:w="6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long-term debt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Principal payments on long-term debt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Series B preferred stock</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Proceeds from the issuance of common stock</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warrants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Payment of equity transaction costs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minority equityholder of joint venture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Repurchase of common stock</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(6,597)</w:t>
            </w: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common stock under option program (1)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r>
      <w:tr>
        <w:trPr>
          <w:trHeight w:val="108"/>
        </w:trPr>
        <w:tc>
          <w:tcPr>
            <w:tcW w:w="9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(used for) financing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159,403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(4,228)</w:t>
            </w:r>
          </w:p>
        </w:tc>
      </w:tr>
      <w:tr>
        <w:trPr>
          <w:trHeight w:val="108"/>
        </w:trPr>
        <w:tc>
          <w:tcPr>
            <w:tcW w:w="9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Beginning of the year</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960" w:type="dxa"/>
            <w:vAlign w:val="bottom"/>
          </w:tcPr>
          <w:p>
            <w:pPr>
              <w:spacing w:after="0"/>
              <w:rPr>
                <w:sz w:val="9"/>
                <w:szCs w:val="9"/>
                <w:color w:val="auto"/>
              </w:rPr>
            </w:pPr>
          </w:p>
        </w:tc>
        <w:tc>
          <w:tcPr>
            <w:tcW w:w="6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0" w:type="dxa"/>
            <w:vAlign w:val="bottom"/>
          </w:tcPr>
          <w:p>
            <w:pPr>
              <w:spacing w:after="0"/>
              <w:rPr>
                <w:sz w:val="8"/>
                <w:szCs w:val="8"/>
                <w:color w:val="auto"/>
              </w:rPr>
            </w:pPr>
          </w:p>
        </w:tc>
        <w:tc>
          <w:tcPr>
            <w:tcW w:w="6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End of the year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32"/>
        </w:trPr>
        <w:tc>
          <w:tcPr>
            <w:tcW w:w="96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3"/>
        </w:trPr>
        <w:tc>
          <w:tcPr>
            <w:tcW w:w="960" w:type="dxa"/>
            <w:vAlign w:val="bottom"/>
            <w:tcBorders>
              <w:bottom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-172720</wp:posOffset>
            </wp:positionV>
            <wp:extent cx="49276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-172720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-172720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-172720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-172720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-172720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related tax benefit.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59" w:right="239" w:bottom="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019"/>
          </w:cols>
          <w:pgMar w:left="1440" w:top="131"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FEBRUARY 1, 2003</w:t>
      </w:r>
    </w:p>
    <w:p>
      <w:pPr>
        <w:spacing w:after="0" w:line="15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Casual Male Retail Group, Inc. (formerly known as Designs, Inc. and collectively referred to as the “Company”) is the largest specialty retailer of big and tall men’s apparel, with over 470 locations throughout the United States and Puerto Rico, along with e-commerce and catalog operations. The Company also operates approximately 80 Levi’s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located in the eastern part of the United States and Puerto Rico. In addition, through a joint venture agreement with EcKo Complex LLC, the Company operates six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consolidated financial statements include the accounts of the Company and its subsidiaries. All significant intercompany accounts, transactions and profits are eliminated. As discussed more fully in Note K, the results for fiscal 2003 include the effect, since May 14, 2002, of the Company’s acquisition of substantially all of the assets and certain liabilities of Casual Male Corp. and certain of its subsidiaries (“Casual Male”).</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prior years have been reclassified to conform to the current year presentation.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5"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The Company’s fiscal year is a 52- or 53-week period ending on the Saturday closest to January 31. Fiscal years 2003, 2002 and 2001 ended on February 1, 2003, February 2, 2002 and February 3, 2001, respectively. Fiscal years 2003 and 2000 were 52-week periods and fiscal year 2001 was a 53-week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 which have a maturity of ninety days or less when acquired, are considered cash equivalents.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 xml:space="preserve">Statement of Financial Accounting Standards (“FASB”) No. 107, </w:t>
      </w:r>
      <w:r>
        <w:rPr>
          <w:rFonts w:ascii="Arial" w:cs="Arial" w:eastAsia="Arial" w:hAnsi="Arial"/>
          <w:sz w:val="18"/>
          <w:szCs w:val="18"/>
          <w:i w:val="1"/>
          <w:iCs w:val="1"/>
          <w:color w:val="auto"/>
        </w:rPr>
        <w:t>Disclosure About Fair Value of Financial Instruments,</w:t>
      </w:r>
      <w:r>
        <w:rPr>
          <w:rFonts w:ascii="Arial" w:cs="Arial" w:eastAsia="Arial" w:hAnsi="Arial"/>
          <w:sz w:val="18"/>
          <w:szCs w:val="18"/>
          <w:color w:val="auto"/>
        </w:rPr>
        <w:t xml:space="preserve"> requires disclosure of the fair value of certain financial instruments. The carrying amounts for the Company’s recently issued long-term debt and mortgage obligation approximate fair value as the interest rates and terms are substantially similar to those that could be obtained currently for similar instruments. The carrying amounts of cash and cash equivalents, accounts receivable, accounts payable, accrued expenses and short-term borrowings approximate fair value because of the short maturity of these instruments.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Merchandise inventories for the Company’s catalog and e-commerce businesses, of approximately $5.7 million, were accounted for using the average cost method. All other merchandise inventories were valued at the lower of cost or market using the retail method.</w:t>
      </w:r>
    </w:p>
    <w:p>
      <w:pPr>
        <w:spacing w:after="0" w:line="12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the first quarter of fiscal 2002, the Company changed its method of determining the cost of inventories from the last-in, first-out (“LIFO”) method to the first-in, first-out (“FIFO”) method. Management believes that the FIFO method better measures the current value of such inventories and provides a more appropriate matching of revenues and expenses. In the current low-inflationary environment, management believes that the use of the FIFO method more accurately reflects the Company’s financial position. The effect of this change was immaterial to the financial results of the prior reporting periods of the Company and therefore did not require retroactive restatement of results for those prior periods. The benefit for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LIFO was $350,000 in fiscal 2001. This benefit in fiscal 2001 was offset by a provision for a lower of cost or market adjustment to merchandise inventories of $350,000.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Building and land improvements</w:t>
            </w:r>
          </w:p>
        </w:tc>
        <w:tc>
          <w:tcPr>
            <w:tcW w:w="51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Forty years</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180" w:type="dxa"/>
            <w:vAlign w:val="bottom"/>
          </w:tcPr>
          <w:p>
            <w:pPr>
              <w:ind w:left="1040"/>
              <w:spacing w:after="0"/>
              <w:rPr>
                <w:sz w:val="20"/>
                <w:szCs w:val="20"/>
                <w:color w:val="auto"/>
              </w:rPr>
            </w:pPr>
            <w:r>
              <w:rPr>
                <w:rFonts w:ascii="Arial" w:cs="Arial" w:eastAsia="Arial" w:hAnsi="Arial"/>
                <w:sz w:val="18"/>
                <w:szCs w:val="18"/>
                <w:color w:val="auto"/>
              </w:rPr>
              <w:t>Five to ten years</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51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Five to eight years</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180" w:type="dxa"/>
            <w:vAlign w:val="bottom"/>
          </w:tcPr>
          <w:p>
            <w:pPr>
              <w:ind w:left="1040"/>
              <w:spacing w:after="0"/>
              <w:rPr>
                <w:sz w:val="20"/>
                <w:szCs w:val="20"/>
                <w:color w:val="auto"/>
              </w:rPr>
            </w:pPr>
            <w:r>
              <w:rPr>
                <w:rFonts w:ascii="Arial" w:cs="Arial" w:eastAsia="Arial" w:hAnsi="Arial"/>
                <w:sz w:val="18"/>
                <w:szCs w:val="18"/>
                <w:color w:val="auto"/>
              </w:rPr>
              <w:t>Lesser of useful lives or related lease term</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1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Three to five years</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Intangibles</w:t>
      </w:r>
    </w:p>
    <w:p>
      <w:pPr>
        <w:spacing w:after="0" w:line="1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In July 2001, the Financial Accounting Standards Board (“FASB”) issued SFAS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in January 2002 issued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which supersede Accounting Principles Board (“APB”) Opinion No. 17,</w:t>
      </w:r>
      <w:r>
        <w:rPr>
          <w:rFonts w:ascii="Arial" w:cs="Arial" w:eastAsia="Arial" w:hAnsi="Arial"/>
          <w:sz w:val="18"/>
          <w:szCs w:val="18"/>
          <w:i w:val="1"/>
          <w:iCs w:val="1"/>
          <w:color w:val="auto"/>
        </w:rPr>
        <w:t xml:space="preserve"> Intangible Assets</w:t>
      </w:r>
      <w:r>
        <w:rPr>
          <w:rFonts w:ascii="Arial" w:cs="Arial" w:eastAsia="Arial" w:hAnsi="Arial"/>
          <w:sz w:val="18"/>
          <w:szCs w:val="18"/>
          <w:color w:val="auto"/>
        </w:rPr>
        <w:t>. SFAS No. 141 requires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be accounted for under the purchase method. The statement further requires separate recognition of intangible assets that meet one of two criteria set forth in the statement. This statement applies to all business combinations initiated after June 30, 2001. Under SFAS No. 142, goodwill and intangible assets with indefinite lives are no longer amortized but are tested at least annually for impairment. Separable intangible assets with defined lives will continue to be amortized over their useful lives. The provisions of SFAS No. 142 apply to goodwill and intangible assets acquired before and after the statement’s effective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Company’s goodwill and intangible assets were as follows at February 1, 2003: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460" w:type="dxa"/>
            <w:vAlign w:val="bottom"/>
          </w:tcPr>
          <w:p>
            <w:pPr>
              <w:spacing w:after="0"/>
              <w:rPr>
                <w:sz w:val="13"/>
                <w:szCs w:val="13"/>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5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$29,200</w:t>
            </w: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546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50,698</w:t>
            </w:r>
          </w:p>
        </w:tc>
      </w:tr>
    </w:tbl>
    <w:p>
      <w:pPr>
        <w:spacing w:after="0" w:line="14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At least annually, the Company will perform an impairment analysis and will record an impairment charge for any intangible with a carrying value in excess of its fair value. Customer lists, which is the only intangible asset with a defined life of 16 years, had accumulated amortization, using the straight-line method, of $70,834 at February 1, 2003. The Company had no outstanding goodwill or intangible assets at February 2, 2002.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1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 accordance with Statement of Position 98-5, “Reporting on the Costs of Start-Up Activities,” the Company expenses all pre-opening costs for its stores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5"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color w:val="auto"/>
        </w:rPr>
        <w:t>The Company expenses in-store advertising costs as incurred. Direct response advertising costs, which consist of catalog production and postage costs, are deferred and amortized over the period of expected direct marketing revenues, which is less than one year. There was approximately $648,500 of direct response costs which were deferred at February 1, 2003. There was no deferred direct response costs at February 2, 2002 and February 3, 2001. Advertising expense, which is included in selling, general and administrative expenses, was $14.2 million, $1.0 million and $0.9 million for fiscal 2003, 2002 and 2001,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Revenue from the Company’s retail store operation is recorded upon purchase of merchandise by customers. Revenue from the Company’s catalog and e-commerce operations is recognized at the time a customer order is shipped. In connection with gift cards, a deferred revenue amount is established upon purchase of the gift card by the customer and revenue is recognized upon redemption and purchase of merchandise.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 of sales.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w:t>
      </w:r>
    </w:p>
    <w:p>
      <w:pPr>
        <w:spacing w:after="0" w:line="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requires the computation of basic and diluted earnings per share. Basic earnings per share is computed by dividing net income (loss) by the weighted-average number of shares of common stock outstanding during the year. Diluted earnings per share is determined by giving effect to the exercise of stock options using the treasury stock method.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Fiscal Years Ended</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040" w:type="dxa"/>
            <w:vAlign w:val="bottom"/>
          </w:tcPr>
          <w:p>
            <w:pPr>
              <w:spacing w:after="0"/>
              <w:rPr>
                <w:sz w:val="22"/>
                <w:szCs w:val="22"/>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February 1, 2003</w:t>
            </w:r>
          </w:p>
        </w:tc>
        <w:tc>
          <w:tcPr>
            <w:tcW w:w="200" w:type="dxa"/>
            <w:vAlign w:val="bottom"/>
          </w:tcPr>
          <w:p>
            <w:pPr>
              <w:spacing w:after="0"/>
              <w:rPr>
                <w:sz w:val="22"/>
                <w:szCs w:val="22"/>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February 2, 2002</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February 3, 2001</w:t>
            </w:r>
          </w:p>
        </w:tc>
        <w:tc>
          <w:tcPr>
            <w:tcW w:w="0" w:type="dxa"/>
            <w:vAlign w:val="bottom"/>
          </w:tcPr>
          <w:p>
            <w:pPr>
              <w:spacing w:after="0"/>
              <w:rPr>
                <w:sz w:val="1"/>
                <w:szCs w:val="1"/>
                <w:color w:val="auto"/>
              </w:rPr>
            </w:pPr>
          </w:p>
        </w:tc>
      </w:tr>
      <w:tr>
        <w:trPr>
          <w:trHeight w:val="95"/>
        </w:trPr>
        <w:tc>
          <w:tcPr>
            <w:tcW w:w="704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4"/>
                <w:szCs w:val="14"/>
                <w:i w:val="1"/>
                <w:iCs w:val="1"/>
                <w:color w:val="auto"/>
                <w:w w:val="96"/>
              </w:rPr>
              <w:t>(in thousands)</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 outstanding</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25,117</w:t>
            </w:r>
          </w:p>
        </w:tc>
        <w:tc>
          <w:tcPr>
            <w:tcW w:w="1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14,486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40" w:type="dxa"/>
            <w:vAlign w:val="bottom"/>
          </w:tcPr>
          <w:p>
            <w:pPr>
              <w:ind w:left="20"/>
              <w:spacing w:after="0"/>
              <w:rPr>
                <w:sz w:val="20"/>
                <w:szCs w:val="20"/>
                <w:color w:val="auto"/>
              </w:rPr>
            </w:pPr>
            <w:r>
              <w:rPr>
                <w:rFonts w:ascii="Arial" w:cs="Arial" w:eastAsia="Arial" w:hAnsi="Arial"/>
                <w:sz w:val="18"/>
                <w:szCs w:val="18"/>
                <w:color w:val="auto"/>
                <w:w w:val="97"/>
              </w:rPr>
              <w:t>Stock options, excluding anti-dilutive options of 1,234 and 578 shares for February 1, 2003</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140"/>
              <w:spacing w:after="0"/>
              <w:rPr>
                <w:sz w:val="20"/>
                <w:szCs w:val="20"/>
                <w:color w:val="auto"/>
              </w:rPr>
            </w:pPr>
            <w:r>
              <w:rPr>
                <w:rFonts w:ascii="Arial" w:cs="Arial" w:eastAsia="Arial" w:hAnsi="Arial"/>
                <w:sz w:val="18"/>
                <w:szCs w:val="18"/>
                <w:color w:val="auto"/>
              </w:rPr>
              <w:t>and February 2, 2002, respectively</w:t>
            </w: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10"/>
        </w:trPr>
        <w:tc>
          <w:tcPr>
            <w:tcW w:w="704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25,117</w:t>
            </w:r>
          </w:p>
        </w:tc>
        <w:tc>
          <w:tcPr>
            <w:tcW w:w="1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14,486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4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Options and warrants to purchase shares of the Company’s Common Stock, par value $0.01 per share (the “Common Stock”), of 1,429,121, 933,900 and 283,350 for fiscal 2003, 2002 and 2001, respectively, were outstanding during the respective periods but were not included in the computation of diluted EPS because the exercise price of the options and warrants was greater than the average market price of the Common Stock for the period reported. These options and warrants, which expire between July 22, 2003 and August 8, 2012, have exercise prices ranging from $ 4.77 to $17.75 in fiscal 2003, $3.48 to $17.75 in fiscal 2002 and $2.00 to $17.75 in fiscal years 2001.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The Company accounts for stock option plans in accordance with the provisions of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and related Interpretations in accounting for its plans. See Note G for more information regarding Stock-based compensation.</w:t>
      </w:r>
    </w:p>
    <w:p>
      <w:pPr>
        <w:spacing w:after="0" w:line="12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 December 2002, the FASB issued SFAS No. 148, </w:t>
      </w:r>
      <w:r>
        <w:rPr>
          <w:rFonts w:ascii="Arial" w:cs="Arial" w:eastAsia="Arial" w:hAnsi="Arial"/>
          <w:sz w:val="16"/>
          <w:szCs w:val="16"/>
          <w:i w:val="1"/>
          <w:iCs w:val="1"/>
          <w:color w:val="auto"/>
        </w:rPr>
        <w:t>Accounting for Stock-Based Compensation-Transition and Disclosure</w:t>
      </w:r>
      <w:r>
        <w:rPr>
          <w:rFonts w:ascii="Arial" w:cs="Arial" w:eastAsia="Arial" w:hAnsi="Arial"/>
          <w:sz w:val="16"/>
          <w:szCs w:val="16"/>
          <w:color w:val="auto"/>
        </w:rPr>
        <w:t xml:space="preserve">, an amendment to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This statement provides alternative methods of transition for a voluntary change to the fair value based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stock-based employee compensation. Additionally, the Statement also amends the disclosure requirements of SFAS No. 123 to require prominent disclosures in both annual and interim financial statements about the method of accounting for stock-based employee compensation and the effect of the method used on reported results. The transition guidance and annual disclosure provisions are effective for financial statements issued for fiscal years ending after December 15, 2002. The interim disclosure provisions are effective for financial reports containing financial statements for interim periods beginning after December 15, 2002. The Company will adopt the interim disclosure provisions of SFAS No. 148 in the first quarter of fiscal 2003.</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has elected the disclosure-only alternative prescribed in SFAS No. 123 and, accordingly, no compensation cost has been recognized. The Company has disclosed the pro forma net income or loss and per share amounts using the fair value based method. Had compensation costs for the Company’s grants for stock-based compensation been determined consistent with SFAS No. 123, the Company’s net income (loss) and income (loss) per share would have been as indicated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700" w:type="dxa"/>
            <w:vAlign w:val="bottom"/>
          </w:tcPr>
          <w:p>
            <w:pPr>
              <w:spacing w:after="0"/>
              <w:rPr>
                <w:sz w:val="22"/>
                <w:szCs w:val="22"/>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February 1, 2003</w:t>
            </w:r>
          </w:p>
        </w:tc>
        <w:tc>
          <w:tcPr>
            <w:tcW w:w="260" w:type="dxa"/>
            <w:vAlign w:val="bottom"/>
          </w:tcPr>
          <w:p>
            <w:pPr>
              <w:spacing w:after="0"/>
              <w:rPr>
                <w:sz w:val="22"/>
                <w:szCs w:val="22"/>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February 2, 2002</w:t>
            </w:r>
          </w:p>
        </w:tc>
        <w:tc>
          <w:tcPr>
            <w:tcW w:w="100" w:type="dxa"/>
            <w:vAlign w:val="bottom"/>
          </w:tcPr>
          <w:p>
            <w:pPr>
              <w:spacing w:after="0"/>
              <w:rPr>
                <w:sz w:val="22"/>
                <w:szCs w:val="22"/>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February 3, 2001</w:t>
            </w:r>
          </w:p>
        </w:tc>
        <w:tc>
          <w:tcPr>
            <w:tcW w:w="0" w:type="dxa"/>
            <w:vAlign w:val="bottom"/>
          </w:tcPr>
          <w:p>
            <w:pPr>
              <w:spacing w:after="0"/>
              <w:rPr>
                <w:sz w:val="1"/>
                <w:szCs w:val="1"/>
                <w:color w:val="auto"/>
              </w:rPr>
            </w:pPr>
          </w:p>
        </w:tc>
      </w:tr>
      <w:tr>
        <w:trPr>
          <w:trHeight w:val="95"/>
        </w:trPr>
        <w:tc>
          <w:tcPr>
            <w:tcW w:w="334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(loss)—as reported</w:t>
            </w:r>
          </w:p>
        </w:tc>
        <w:tc>
          <w:tcPr>
            <w:tcW w:w="2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(38,800)</w:t>
            </w:r>
          </w:p>
        </w:tc>
        <w:tc>
          <w:tcPr>
            <w:tcW w:w="6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(7,881)</w:t>
            </w:r>
          </w:p>
        </w:tc>
        <w:tc>
          <w:tcPr>
            <w:tcW w:w="5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Net income (loss)—pro forma</w:t>
            </w:r>
          </w:p>
        </w:tc>
        <w:tc>
          <w:tcPr>
            <w:tcW w:w="20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(39,468)</w:t>
            </w:r>
          </w:p>
        </w:tc>
        <w:tc>
          <w:tcPr>
            <w:tcW w:w="6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(8,158)</w:t>
            </w:r>
          </w:p>
        </w:tc>
        <w:tc>
          <w:tcPr>
            <w:tcW w:w="5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per share—basic and diluted as Reported</w:t>
            </w:r>
          </w:p>
        </w:tc>
        <w:tc>
          <w:tcPr>
            <w:tcW w:w="2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6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(0.54)</w:t>
            </w:r>
          </w:p>
        </w:tc>
        <w:tc>
          <w:tcPr>
            <w:tcW w:w="5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Income (loss) per share—basic and diluted pro-forma</w:t>
            </w:r>
          </w:p>
        </w:tc>
        <w:tc>
          <w:tcPr>
            <w:tcW w:w="20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6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(0.56)</w:t>
            </w:r>
          </w:p>
        </w:tc>
        <w:tc>
          <w:tcPr>
            <w:tcW w:w="5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effects of applying SFAS No. 123 in this pro forma disclosure are not likely to be representative of the effects on reported net income for future years. SFAS No. 123 does not apply to awards prior to 1995 and additional awards are anticipated.</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fair value of each option grant is estimated on the date of grant using the Black Scholes option-pricing model with the following weighted-average assumptions used for grants in fiscal 2003, 2002 and 2001: expected volatility of 89.6% in fiscal 2003, 91.8% in fiscal 2002 and 91.7% in fiscal 2001; risk-free interest rate of 2.7%, 5.0% and 4.8% in fiscal 2003, 2002 and 2001, respectively; and expected lives of 4.5 years. No dividend rate was used for fiscal 2003, 2002 and 2001. The weighted-average fair value of options granted in fiscal 2003, 2002 and 2001 was $2.87, $2.78 and $1.22,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5"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 xml:space="preserve">In fiscal 2003, the Company adopted the provisions of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SFAS No. 144 provides new guidance on the recognition of impairment losses on long-lived assets to be held and used or to be disposed of. The statement also broadens the definition of what constitutes a discontinued operation and how the results of a discontinued operation are to be measured and presented. The adoption of the standard did not have a material impact on the Company’s impairment policy or on the Company’s net income (loss); however, it did result in classifying the operations of certain stores as discontinued operations in the accompanying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Company reviews its long-lived assets for events or changes in circumstances that might indicate the carrying amount of the assets may not be recoverable.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 assesses the recoverability of the assets by determining whether the carrying value of such assets over their respective remaining lives can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recovered through projected undiscounted future cash flows. The amount of impairment, if any, is measured based on projected discounted future cash flows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a discount rate reflecting the Company’s average cost of funds. In fiscal 2003, the Company recorded an impairment charge of $14.4 million, which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as part of the $41.3 million in restructuring charges recorded in the second and fourth quarters of fiscal 2003. Approximately $2.5 million of the $14.4</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million impairment charge related to closed stores and therefore has been reflected in discontinued operations in the Consolidated Statement of Operations. These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charges are more fully discussed in Note J. No such charge was necessary for fiscal 2002. In fiscal 2001, the Company recorded an impairment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$837,000 for the write-down of fixed assets. The impairment charge related to stores whose expected cash flows from operations were not expected to exceed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their net book value prior to the expiration of their expected lease term.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PROPERTY AND EQUIPMENT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February 1,</w:t>
            </w:r>
          </w:p>
        </w:tc>
        <w:tc>
          <w:tcPr>
            <w:tcW w:w="3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74"/>
        </w:trPr>
        <w:tc>
          <w:tcPr>
            <w:tcW w:w="62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280" w:type="dxa"/>
            <w:vAlign w:val="bottom"/>
            <w:vMerge w:val="continue"/>
          </w:tcPr>
          <w:p>
            <w:pPr>
              <w:spacing w:after="0"/>
              <w:rPr>
                <w:sz w:val="21"/>
                <w:szCs w:val="21"/>
                <w:color w:val="auto"/>
              </w:rPr>
            </w:pP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 furnishings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Building, land and building improvements</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software</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23,343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fiscal 2003, 2002 and 2001 was $9.6 million, $5.3 million and $5.2 million, respectively.</w:t>
      </w:r>
    </w:p>
    <w:p>
      <w:pPr>
        <w:spacing w:after="0" w:line="158" w:lineRule="exact"/>
        <w:rPr>
          <w:sz w:val="20"/>
          <w:szCs w:val="20"/>
          <w:color w:val="auto"/>
        </w:rPr>
      </w:pPr>
    </w:p>
    <w:p>
      <w:pPr>
        <w:ind w:left="340" w:hanging="327"/>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DEBT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Fleet Retail Finance, Inc.</w:t>
      </w:r>
    </w:p>
    <w:p>
      <w:pPr>
        <w:spacing w:after="0" w:line="1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 has a credit facility with Fleet Retail Finance Inc., which was most recently amended on May 4, 2002 in connection with the financing of the Casual Male acquisition (the “Credit Agreement”). The Credit Agreement, which expires May 14, 2005, principally provides for a total commitment of $120 million with the ability for the Company to issue documentary and standby letters of credit of up to $20 million. The Company’s ability to borrow under the Credit Agreement is determined using an availability formula based on eligible assets. The Company’s obligations under the Credit Agreement are secured by a lien on all of its assets. The Credit Agreement includes certain covenants and events of default customary for credit facilities of this nature, including change of control provisions and limitations on payment of dividends by the Company. As a result of the additional borrowing under this Credit Agreement, as amended, to partially fund its Casual Male acquisition, the Company classified the borrowings as long-term debt in fiscal 2003. In fiscal 2002, the Credit Agreement had been used primarily for working capital needs and accordingly was classified as a short-term debt instrument.</w:t>
      </w:r>
    </w:p>
    <w:p>
      <w:pPr>
        <w:spacing w:after="0" w:line="111" w:lineRule="exact"/>
        <w:rPr>
          <w:sz w:val="20"/>
          <w:szCs w:val="20"/>
          <w:color w:val="auto"/>
        </w:rPr>
      </w:pPr>
    </w:p>
    <w:p>
      <w:pPr>
        <w:ind w:right="360"/>
        <w:spacing w:after="0" w:line="284" w:lineRule="auto"/>
        <w:rPr>
          <w:sz w:val="20"/>
          <w:szCs w:val="20"/>
          <w:color w:val="auto"/>
        </w:rPr>
      </w:pPr>
      <w:r>
        <w:rPr>
          <w:rFonts w:ascii="Arial" w:cs="Arial" w:eastAsia="Arial" w:hAnsi="Arial"/>
          <w:sz w:val="16"/>
          <w:szCs w:val="16"/>
          <w:color w:val="auto"/>
        </w:rPr>
        <w:t>At February 1, 2003, the Company had outstanding borrowings of approximately $55.6 million under this credit facility. Outstanding standby letters of credit were $325,000 and outstanding documentary letters of credit were approximately $614,000 at February 1, 2003. Average borrowings outstanding under this facility during fiscal 2003 were approximately $55.5 million, resulting in an average unused excess availability of approximately $14.3 million during fiscal</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2003. At February 1, 2003, the unused availability was $17.6 million. The fair value of amounts outstanding under this credit facility approximate the carrying value at February 1, 2003 and February 2, 2002. At the Company’s option, any portion of the outstanding borrowings can be converted to LIBOR based contracts; the remainder bears interest based on prime. At February 1, 2003, the Company had approximately $40.0 million of the outstanding $55.6 million in LIBOR based contracts, with an average interest rate of 4.41%. The remainder of $15.6 million were prime based borrowings with an interest rate of 4.75%.</w:t>
      </w:r>
    </w:p>
    <w:p>
      <w:pPr>
        <w:spacing w:after="0" w:line="1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fiscal 2003, the Company violated a debt covenant under this agreement which stated that the Company’s annual capital expenditures would not exceed $12.0 million. The Company’s total capital expenditure for fiscal 2003 totaled $14.5 million. The Company subsequently received a waiver of this violation from Fleet Retail Finance,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60" w:type="dxa"/>
            <w:vAlign w:val="bottom"/>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51"/>
        </w:trPr>
        <w:tc>
          <w:tcPr>
            <w:tcW w:w="10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6"/>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other long-term debt are as follows: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w w:val="87"/>
              </w:rPr>
              <w:t>(in thousands)</w:t>
            </w:r>
          </w:p>
        </w:tc>
      </w:tr>
      <w:tr>
        <w:trPr>
          <w:trHeight w:val="216"/>
        </w:trPr>
        <w:tc>
          <w:tcPr>
            <w:tcW w:w="10260" w:type="dxa"/>
            <w:vAlign w:val="bottom"/>
          </w:tcPr>
          <w:p>
            <w:pPr>
              <w:ind w:left="220"/>
              <w:spacing w:after="0"/>
              <w:rPr>
                <w:sz w:val="20"/>
                <w:szCs w:val="20"/>
                <w:color w:val="auto"/>
              </w:rPr>
            </w:pPr>
            <w:r>
              <w:rPr>
                <w:rFonts w:ascii="Arial" w:cs="Arial" w:eastAsia="Arial" w:hAnsi="Arial"/>
                <w:sz w:val="18"/>
                <w:szCs w:val="18"/>
                <w:color w:val="auto"/>
              </w:rPr>
              <w:t>Term Loan</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15,330</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senior subordinated notes due 2007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15,998</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220"/>
              <w:spacing w:after="0"/>
              <w:rPr>
                <w:sz w:val="20"/>
                <w:szCs w:val="20"/>
                <w:color w:val="auto"/>
              </w:rPr>
            </w:pPr>
            <w:r>
              <w:rPr>
                <w:rFonts w:ascii="Arial" w:cs="Arial" w:eastAsia="Arial" w:hAnsi="Arial"/>
                <w:sz w:val="18"/>
                <w:szCs w:val="18"/>
                <w:color w:val="auto"/>
              </w:rPr>
              <w:t>5% senior subordinated notes due 2007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note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80" w:type="dxa"/>
            <w:vAlign w:val="bottom"/>
            <w:shd w:val="clear" w:color="auto" w:fill="CCEEFF"/>
          </w:tcPr>
          <w:p>
            <w:pPr>
              <w:spacing w:after="0"/>
              <w:rPr>
                <w:sz w:val="18"/>
                <w:szCs w:val="18"/>
                <w:color w:val="auto"/>
              </w:rPr>
            </w:pPr>
          </w:p>
        </w:tc>
      </w:tr>
      <w:tr>
        <w:trPr>
          <w:trHeight w:val="108"/>
        </w:trPr>
        <w:tc>
          <w:tcPr>
            <w:tcW w:w="10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10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10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53,936</w:t>
            </w:r>
          </w:p>
        </w:tc>
        <w:tc>
          <w:tcPr>
            <w:tcW w:w="80" w:type="dxa"/>
            <w:vAlign w:val="bottom"/>
            <w:shd w:val="clear" w:color="auto" w:fill="CCEEFF"/>
          </w:tcPr>
          <w:p>
            <w:pPr>
              <w:spacing w:after="0"/>
              <w:rPr>
                <w:sz w:val="18"/>
                <w:szCs w:val="18"/>
                <w:color w:val="auto"/>
              </w:rPr>
            </w:pPr>
          </w:p>
        </w:tc>
      </w:tr>
      <w:tr>
        <w:trPr>
          <w:trHeight w:val="222"/>
        </w:trPr>
        <w:tc>
          <w:tcPr>
            <w:tcW w:w="10260" w:type="dxa"/>
            <w:vAlign w:val="bottom"/>
          </w:tcPr>
          <w:p>
            <w:pPr>
              <w:ind w:left="220"/>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(2,940)</w:t>
            </w:r>
          </w:p>
        </w:tc>
      </w:tr>
      <w:tr>
        <w:trPr>
          <w:trHeight w:val="102"/>
        </w:trPr>
        <w:tc>
          <w:tcPr>
            <w:tcW w:w="10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10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10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50,996</w:t>
            </w:r>
          </w:p>
        </w:tc>
        <w:tc>
          <w:tcPr>
            <w:tcW w:w="80" w:type="dxa"/>
            <w:vAlign w:val="bottom"/>
            <w:shd w:val="clear" w:color="auto" w:fill="CCEEFF"/>
          </w:tcPr>
          <w:p>
            <w:pPr>
              <w:spacing w:after="0"/>
              <w:rPr>
                <w:sz w:val="18"/>
                <w:szCs w:val="18"/>
                <w:color w:val="auto"/>
              </w:rPr>
            </w:pPr>
          </w:p>
        </w:tc>
      </w:tr>
      <w:tr>
        <w:trPr>
          <w:trHeight w:val="132"/>
        </w:trPr>
        <w:tc>
          <w:tcPr>
            <w:tcW w:w="10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On May 14, 2002, the Company entered into a three-year term loan with Back Bay Capital, a subsidiary of Fleet Retail Finance, Inc. Interest on the term loan includes a 12% coupon, 3% paid-in-kind and a 3% annual commitment fee, for a total annual yield of 18%.</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May 2002, the Company also issued $24.5 million principal amount of 12% senior subordinated notes through private placements. The carrying value of $16.0 million is net of the assigned value of un-amortized warrants to acquire 1,715,000 shares of common stock at an exercise price of $0.01 per share and additional detachable warrants to acquire 1,176,471 shares of common stock at an exercise price of $8.50 per share. The value of the warrants of approximately $9.6 million has been reflected as a component of stockholders’ equity as a discount on the notes that is being amortized over the term of the corresponding debt, which is five years. At February 1, 2003, the un-amortized value of the warrants was $8.5 million.</w:t>
      </w:r>
    </w:p>
    <w:p>
      <w:pPr>
        <w:spacing w:after="0" w:line="102"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In addition, in May 2002 the Company also issued $11.0 million principal amount of 5% senior subordinated notes through a private placement with the Kellwood Company, with whom the Company has entered into a product sourcing agreement. Beginning at the end of the second quarter of fiscal 2004, the Company will make principal payments in the amount of $687,500 per quarter through the remaining term of the notes. Accrued interest is payable quarterly.</w:t>
      </w:r>
    </w:p>
    <w:p>
      <w:pPr>
        <w:spacing w:after="0" w:line="75"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In connection with the Casual Male acquisition, the Company also assumed an outstanding mortgage note for real estate and buildings located in Canton, Massachusetts. The mortgage note, which bears interest at 9%, had an outstanding principal balance of $11.6 million at February 1, 2003.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long-term debt, including the mortgage note, for the next five fiscal years are as follows: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$2,940,000 in fiscal 2004, $3,767,000 in fiscal 2005, $3,757,500 in fiscal 2006, $3,906,800 in fiscal 2007 and $41,782,700 in fiscal 2008.</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paid interest and fees on all the above described debt obligations totaling $7.4 million, $1.9 million, and $2.1 million for fiscal 2003, 2002 and 2001, respectively.</w:t>
      </w:r>
    </w:p>
    <w:p>
      <w:pPr>
        <w:spacing w:after="0" w:line="118" w:lineRule="exact"/>
        <w:rPr>
          <w:sz w:val="20"/>
          <w:szCs w:val="20"/>
          <w:color w:val="auto"/>
        </w:rPr>
      </w:pPr>
    </w:p>
    <w:p>
      <w:pPr>
        <w:ind w:left="360" w:hanging="347"/>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Under SFAS No. 109, deferred tax assets and liabilities are recognized based on temporary differences between the financial statement and tax basis of assets and liabilities using enacted tax rates in effect in the years in which the differences are expected to reverse. SFAS No. 109 requires current recognition of net deferred tax assets to the extent that it is more likely than not that such net assets will be realized. To the extent that the Company believes that its net deferred tax assets will not be realized, a valuation allowance must be recorded against those assets.</w:t>
      </w:r>
    </w:p>
    <w:p>
      <w:pPr>
        <w:spacing w:after="0" w:line="12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of February 1, 2003, the Company has net operating loss carryforwards of $49.5 million for federal income tax purposes and $65.6 million for state income tax purposes that are available to offset future taxable income, subject to certain annual usage limitations, through fiscal year 2022. As a result of the Casual Male acquisition and the issuance of additional equity in fiscal 2003, the utilization of approximately $33.7 million of the $49.5 million in federal net operating losses are subject to an annual limitation of approximately $4.8 million per year. Additionally, the Company has alternative minimum tax credit carryforwards of $1.2 million, which are available to further reduce income taxes over an indefinite period.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deferred tax assets as of February 1, 2003 and February 2, 2002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w:t>
            </w:r>
          </w:p>
        </w:tc>
        <w:tc>
          <w:tcPr>
            <w:tcW w:w="1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w:t>
            </w:r>
          </w:p>
        </w:tc>
      </w:tr>
      <w:tr>
        <w:trPr>
          <w:trHeight w:val="174"/>
        </w:trPr>
        <w:tc>
          <w:tcPr>
            <w:tcW w:w="9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9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 current: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60" w:type="dxa"/>
            <w:vAlign w:val="bottom"/>
          </w:tcPr>
          <w:p>
            <w:pPr>
              <w:ind w:left="200"/>
              <w:spacing w:after="0"/>
              <w:rPr>
                <w:sz w:val="20"/>
                <w:szCs w:val="20"/>
                <w:color w:val="auto"/>
              </w:rPr>
            </w:pPr>
            <w:r>
              <w:rPr>
                <w:rFonts w:ascii="Arial" w:cs="Arial" w:eastAsia="Arial" w:hAnsi="Arial"/>
                <w:sz w:val="18"/>
                <w:szCs w:val="18"/>
                <w:color w:val="auto"/>
              </w:rPr>
              <w:t>Inventory reserves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3,444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8"/>
                <w:szCs w:val="18"/>
                <w:color w:val="auto"/>
              </w:rPr>
            </w:pPr>
          </w:p>
        </w:tc>
      </w:tr>
      <w:tr>
        <w:trPr>
          <w:trHeight w:val="216"/>
        </w:trPr>
        <w:tc>
          <w:tcPr>
            <w:tcW w:w="9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reserve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95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r>
      <w:tr>
        <w:trPr>
          <w:trHeight w:val="102"/>
        </w:trPr>
        <w:tc>
          <w:tcPr>
            <w:tcW w:w="9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 current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60" w:type="dxa"/>
            <w:vAlign w:val="bottom"/>
            <w:shd w:val="clear" w:color="auto" w:fill="CCEEFF"/>
          </w:tcPr>
          <w:p>
            <w:pPr>
              <w:spacing w:after="0"/>
              <w:rPr>
                <w:sz w:val="18"/>
                <w:szCs w:val="18"/>
                <w:color w:val="auto"/>
              </w:rPr>
            </w:pPr>
          </w:p>
        </w:tc>
      </w:tr>
      <w:tr>
        <w:trPr>
          <w:trHeight w:val="108"/>
        </w:trPr>
        <w:tc>
          <w:tcPr>
            <w:tcW w:w="9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 noncurrent: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60" w:type="dxa"/>
            <w:vAlign w:val="bottom"/>
          </w:tcPr>
          <w:p>
            <w:pPr>
              <w:ind w:left="200"/>
              <w:spacing w:after="0"/>
              <w:rPr>
                <w:sz w:val="20"/>
                <w:szCs w:val="20"/>
                <w:color w:val="auto"/>
              </w:rPr>
            </w:pPr>
            <w:r>
              <w:rPr>
                <w:rFonts w:ascii="Arial" w:cs="Arial" w:eastAsia="Arial" w:hAnsi="Arial"/>
                <w:sz w:val="18"/>
                <w:szCs w:val="18"/>
                <w:color w:val="auto"/>
              </w:rPr>
              <w:t>Excess of book over tax</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Depreciation/amortization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60" w:type="dxa"/>
            <w:vAlign w:val="bottom"/>
            <w:shd w:val="clear" w:color="auto" w:fill="CCEEFF"/>
          </w:tcPr>
          <w:p>
            <w:pPr>
              <w:spacing w:after="0"/>
              <w:rPr>
                <w:sz w:val="18"/>
                <w:szCs w:val="18"/>
                <w:color w:val="auto"/>
              </w:rPr>
            </w:pPr>
          </w:p>
        </w:tc>
      </w:tr>
      <w:tr>
        <w:trPr>
          <w:trHeight w:val="216"/>
        </w:trPr>
        <w:tc>
          <w:tcPr>
            <w:tcW w:w="9560" w:type="dxa"/>
            <w:vAlign w:val="bottom"/>
          </w:tcPr>
          <w:p>
            <w:pPr>
              <w:ind w:left="200"/>
              <w:spacing w:after="0"/>
              <w:rPr>
                <w:sz w:val="20"/>
                <w:szCs w:val="20"/>
                <w:color w:val="auto"/>
              </w:rPr>
            </w:pPr>
            <w:r>
              <w:rPr>
                <w:rFonts w:ascii="Arial" w:cs="Arial" w:eastAsia="Arial" w:hAnsi="Arial"/>
                <w:sz w:val="18"/>
                <w:szCs w:val="18"/>
                <w:color w:val="auto"/>
              </w:rPr>
              <w:t>Restructuring reserve</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r>
      <w:tr>
        <w:trPr>
          <w:trHeight w:val="216"/>
        </w:trPr>
        <w:tc>
          <w:tcPr>
            <w:tcW w:w="9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carryforward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60" w:type="dxa"/>
            <w:vAlign w:val="bottom"/>
            <w:shd w:val="clear" w:color="auto" w:fill="CCEEFF"/>
          </w:tcPr>
          <w:p>
            <w:pPr>
              <w:spacing w:after="0"/>
              <w:rPr>
                <w:sz w:val="18"/>
                <w:szCs w:val="18"/>
                <w:color w:val="auto"/>
              </w:rPr>
            </w:pPr>
          </w:p>
        </w:tc>
      </w:tr>
      <w:tr>
        <w:trPr>
          <w:trHeight w:val="222"/>
        </w:trPr>
        <w:tc>
          <w:tcPr>
            <w:tcW w:w="9560" w:type="dxa"/>
            <w:vAlign w:val="bottom"/>
          </w:tcPr>
          <w:p>
            <w:pPr>
              <w:ind w:left="200"/>
              <w:spacing w:after="0"/>
              <w:rPr>
                <w:sz w:val="20"/>
                <w:szCs w:val="20"/>
                <w:color w:val="auto"/>
              </w:rPr>
            </w:pPr>
            <w:r>
              <w:rPr>
                <w:rFonts w:ascii="Arial" w:cs="Arial" w:eastAsia="Arial" w:hAnsi="Arial"/>
                <w:sz w:val="18"/>
                <w:szCs w:val="18"/>
                <w:color w:val="auto"/>
              </w:rPr>
              <w:t>Alternative minimum tax credit carryforward</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1,166</w:t>
            </w:r>
          </w:p>
        </w:tc>
        <w:tc>
          <w:tcPr>
            <w:tcW w:w="60" w:type="dxa"/>
            <w:vAlign w:val="bottom"/>
          </w:tcPr>
          <w:p>
            <w:pPr>
              <w:spacing w:after="0"/>
              <w:rPr>
                <w:sz w:val="19"/>
                <w:szCs w:val="19"/>
                <w:color w:val="auto"/>
              </w:rPr>
            </w:pPr>
          </w:p>
        </w:tc>
      </w:tr>
      <w:tr>
        <w:trPr>
          <w:trHeight w:val="102"/>
        </w:trPr>
        <w:tc>
          <w:tcPr>
            <w:tcW w:w="9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 noncurrent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60" w:type="dxa"/>
            <w:vAlign w:val="bottom"/>
            <w:shd w:val="clear" w:color="auto" w:fill="CCEEFF"/>
          </w:tcPr>
          <w:p>
            <w:pPr>
              <w:spacing w:after="0"/>
              <w:rPr>
                <w:sz w:val="18"/>
                <w:szCs w:val="18"/>
                <w:color w:val="auto"/>
              </w:rPr>
            </w:pPr>
          </w:p>
        </w:tc>
      </w:tr>
      <w:tr>
        <w:trPr>
          <w:trHeight w:val="216"/>
        </w:trPr>
        <w:tc>
          <w:tcPr>
            <w:tcW w:w="9560" w:type="dxa"/>
            <w:vAlign w:val="bottom"/>
          </w:tcPr>
          <w:p>
            <w:pPr>
              <w:ind w:left="20"/>
              <w:spacing w:after="0"/>
              <w:rPr>
                <w:sz w:val="20"/>
                <w:szCs w:val="20"/>
                <w:color w:val="auto"/>
              </w:rPr>
            </w:pPr>
            <w:r>
              <w:rPr>
                <w:rFonts w:ascii="Arial" w:cs="Arial" w:eastAsia="Arial" w:hAnsi="Arial"/>
                <w:sz w:val="18"/>
                <w:szCs w:val="18"/>
                <w:color w:val="auto"/>
              </w:rPr>
              <w:t>Deferred tax liabilities – noncurrent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Merger Related Expenses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9560" w:type="dxa"/>
            <w:vAlign w:val="bottom"/>
          </w:tcPr>
          <w:p>
            <w:pPr>
              <w:ind w:left="200"/>
              <w:spacing w:after="0"/>
              <w:rPr>
                <w:sz w:val="20"/>
                <w:szCs w:val="20"/>
                <w:color w:val="auto"/>
              </w:rPr>
            </w:pPr>
            <w:r>
              <w:rPr>
                <w:rFonts w:ascii="Arial" w:cs="Arial" w:eastAsia="Arial" w:hAnsi="Arial"/>
                <w:sz w:val="18"/>
                <w:szCs w:val="18"/>
                <w:color w:val="auto"/>
              </w:rPr>
              <w:t>Tax-deductible Goodwill</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9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liabilities – noncurrent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60" w:type="dxa"/>
            <w:vAlign w:val="bottom"/>
          </w:tcPr>
          <w:p>
            <w:pPr>
              <w:ind w:left="20"/>
              <w:spacing w:after="0"/>
              <w:rPr>
                <w:sz w:val="20"/>
                <w:szCs w:val="20"/>
                <w:color w:val="auto"/>
              </w:rPr>
            </w:pPr>
            <w:r>
              <w:rPr>
                <w:rFonts w:ascii="Arial" w:cs="Arial" w:eastAsia="Arial" w:hAnsi="Arial"/>
                <w:sz w:val="18"/>
                <w:szCs w:val="18"/>
                <w:color w:val="auto"/>
              </w:rPr>
              <w:t>Deferred Tax Asset before Valuation Allowance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34,503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20,838</w:t>
            </w:r>
          </w:p>
        </w:tc>
        <w:tc>
          <w:tcPr>
            <w:tcW w:w="60" w:type="dxa"/>
            <w:vAlign w:val="bottom"/>
          </w:tcPr>
          <w:p>
            <w:pPr>
              <w:spacing w:after="0"/>
              <w:rPr>
                <w:sz w:val="18"/>
                <w:szCs w:val="1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(34,503)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(12,860)</w:t>
            </w:r>
          </w:p>
        </w:tc>
      </w:tr>
      <w:tr>
        <w:trPr>
          <w:trHeight w:val="108"/>
        </w:trPr>
        <w:tc>
          <w:tcPr>
            <w:tcW w:w="9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60" w:type="dxa"/>
            <w:vAlign w:val="bottom"/>
            <w:shd w:val="clear" w:color="auto" w:fill="CCEEFF"/>
          </w:tcPr>
          <w:p>
            <w:pPr>
              <w:spacing w:after="0"/>
              <w:rPr>
                <w:sz w:val="18"/>
                <w:szCs w:val="18"/>
                <w:color w:val="auto"/>
              </w:rPr>
            </w:pPr>
          </w:p>
        </w:tc>
      </w:tr>
      <w:tr>
        <w:trPr>
          <w:trHeight w:val="108"/>
        </w:trPr>
        <w:tc>
          <w:tcPr>
            <w:tcW w:w="9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fourth quarter of fiscal 2003, as a result of the net loss incurred by the Company for the fiscal year and the potential that the remaining deferred tax assets, net of existing valuation allowances, may not be realizable, the Company recorded an additional charge of $8.0 million against the deferred tax assets. At February 1, 2003, the total deferred tax assets of the Company are fully reserved.</w:t>
      </w:r>
    </w:p>
    <w:p>
      <w:pPr>
        <w:spacing w:after="0" w:line="1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Realization of the Company’s deferred tax assets, which relate principally to federal net operating loss carryforwards which expire from 2017 through 2023, is dependent on generating sufficient taxable income in the near term. Accordingly, the valuation allowance at February 1, 2003 is primarily attributable to the potential that certain deferred federal and state tax assets will not be realizable within this period. Further, in fiscal 2003, the Company recorded restructuring charges, excluding the increase of the valuation allowance, of $33 million, as a result of these charges, the Company took an additional charge of $8.0 million in fiscal 2003, fully reserving its deferred tax assets. In the event the Company’s future performance results in overall profitability, the Company’s valuation allowance for its deferred tax assets may be reduced.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80" w:type="dxa"/>
            <w:vAlign w:val="bottom"/>
            <w:gridSpan w:val="10"/>
          </w:tcPr>
          <w:p>
            <w:pPr>
              <w:jc w:val="right"/>
              <w:ind w:right="112"/>
              <w:spacing w:after="0"/>
              <w:rPr>
                <w:sz w:val="20"/>
                <w:szCs w:val="20"/>
                <w:color w:val="auto"/>
              </w:rPr>
            </w:pPr>
            <w:r>
              <w:rPr>
                <w:rFonts w:ascii="Arial" w:cs="Arial" w:eastAsia="Arial" w:hAnsi="Arial"/>
                <w:sz w:val="14"/>
                <w:szCs w:val="14"/>
                <w:b w:val="1"/>
                <w:bCs w:val="1"/>
                <w:color w:val="auto"/>
                <w:w w:val="95"/>
              </w:rPr>
              <w:t>FISCAL YEARS ENDED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440" w:type="dxa"/>
            <w:vAlign w:val="bottom"/>
          </w:tcPr>
          <w:p>
            <w:pPr>
              <w:spacing w:after="0"/>
              <w:rPr>
                <w:sz w:val="20"/>
                <w:szCs w:val="20"/>
                <w:color w:val="auto"/>
              </w:rPr>
            </w:pPr>
          </w:p>
        </w:tc>
        <w:tc>
          <w:tcPr>
            <w:tcW w:w="108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w w:val="90"/>
              </w:rPr>
              <w:t>February 1,</w:t>
            </w:r>
          </w:p>
        </w:tc>
        <w:tc>
          <w:tcPr>
            <w:tcW w:w="1000" w:type="dxa"/>
            <w:vAlign w:val="bottom"/>
            <w:gridSpan w:val="5"/>
          </w:tcPr>
          <w:p>
            <w:pPr>
              <w:ind w:left="20"/>
              <w:spacing w:after="0"/>
              <w:rPr>
                <w:sz w:val="20"/>
                <w:szCs w:val="20"/>
                <w:color w:val="auto"/>
              </w:rPr>
            </w:pPr>
            <w:r>
              <w:rPr>
                <w:rFonts w:ascii="Arial" w:cs="Arial" w:eastAsia="Arial" w:hAnsi="Arial"/>
                <w:sz w:val="14"/>
                <w:szCs w:val="14"/>
                <w:b w:val="1"/>
                <w:bCs w:val="1"/>
                <w:color w:val="auto"/>
              </w:rPr>
              <w:t>February 2,</w:t>
            </w:r>
          </w:p>
        </w:tc>
        <w:tc>
          <w:tcPr>
            <w:tcW w:w="140" w:type="dxa"/>
            <w:vAlign w:val="bottom"/>
          </w:tcPr>
          <w:p>
            <w:pPr>
              <w:spacing w:after="0"/>
              <w:rPr>
                <w:sz w:val="20"/>
                <w:szCs w:val="20"/>
                <w:color w:val="auto"/>
              </w:rPr>
            </w:pPr>
          </w:p>
        </w:tc>
        <w:tc>
          <w:tcPr>
            <w:tcW w:w="78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February 3,</w:t>
            </w:r>
          </w:p>
        </w:tc>
        <w:tc>
          <w:tcPr>
            <w:tcW w:w="0" w:type="dxa"/>
            <w:vAlign w:val="bottom"/>
          </w:tcPr>
          <w:p>
            <w:pPr>
              <w:spacing w:after="0"/>
              <w:rPr>
                <w:sz w:val="1"/>
                <w:szCs w:val="1"/>
                <w:color w:val="auto"/>
              </w:rPr>
            </w:pPr>
          </w:p>
        </w:tc>
      </w:tr>
      <w:tr>
        <w:trPr>
          <w:trHeight w:val="174"/>
        </w:trPr>
        <w:tc>
          <w:tcPr>
            <w:tcW w:w="8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55"/>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55"/>
              <w:spacing w:after="0"/>
              <w:rPr>
                <w:sz w:val="20"/>
                <w:szCs w:val="20"/>
                <w:color w:val="auto"/>
              </w:rPr>
            </w:pPr>
            <w:r>
              <w:rPr>
                <w:rFonts w:ascii="Arial" w:cs="Arial" w:eastAsia="Arial" w:hAnsi="Arial"/>
                <w:sz w:val="14"/>
                <w:szCs w:val="14"/>
                <w:b w:val="1"/>
                <w:bCs w:val="1"/>
                <w:color w:val="auto"/>
                <w:w w:val="89"/>
              </w:rPr>
              <w:t>2002</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Federal</w:t>
            </w:r>
          </w:p>
        </w:tc>
        <w:tc>
          <w:tcPr>
            <w:tcW w:w="20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3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(627)</w:t>
            </w:r>
          </w:p>
        </w:tc>
        <w:tc>
          <w:tcPr>
            <w:tcW w:w="34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Federal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6,981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5,107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20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8,056</w:t>
            </w:r>
          </w:p>
        </w:tc>
        <w:tc>
          <w:tcPr>
            <w:tcW w:w="2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440" w:type="dxa"/>
            <w:vAlign w:val="bottom"/>
          </w:tcPr>
          <w:p>
            <w:pPr>
              <w:spacing w:after="0"/>
              <w:rPr>
                <w:sz w:val="20"/>
                <w:szCs w:val="20"/>
                <w:color w:val="auto"/>
              </w:rPr>
            </w:pPr>
            <w:r>
              <w:rPr>
                <w:rFonts w:ascii="Arial" w:cs="Arial" w:eastAsia="Arial" w:hAnsi="Arial"/>
                <w:sz w:val="18"/>
                <w:szCs w:val="18"/>
                <w:color w:val="auto"/>
              </w:rPr>
              <w:t>The following is a reconciliation between the statutory and effective income tax rates in dollars: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9"/>
          </w:tcPr>
          <w:p>
            <w:pPr>
              <w:jc w:val="center"/>
              <w:ind w:right="52"/>
              <w:spacing w:after="0"/>
              <w:rPr>
                <w:sz w:val="20"/>
                <w:szCs w:val="20"/>
                <w:color w:val="auto"/>
              </w:rPr>
            </w:pPr>
            <w:r>
              <w:rPr>
                <w:rFonts w:ascii="Arial" w:cs="Arial" w:eastAsia="Arial" w:hAnsi="Arial"/>
                <w:sz w:val="14"/>
                <w:szCs w:val="14"/>
                <w:b w:val="1"/>
                <w:bCs w:val="1"/>
                <w:color w:val="auto"/>
                <w:w w:val="96"/>
              </w:rPr>
              <w:t>FISCAL YEARS ENDED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February 1,</w:t>
            </w:r>
          </w:p>
        </w:tc>
        <w:tc>
          <w:tcPr>
            <w:tcW w:w="100" w:type="dxa"/>
            <w:vAlign w:val="bottom"/>
          </w:tcPr>
          <w:p>
            <w:pPr>
              <w:spacing w:after="0"/>
              <w:rPr>
                <w:sz w:val="20"/>
                <w:szCs w:val="20"/>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February 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2"/>
              </w:rPr>
              <w:t>February 3,</w:t>
            </w:r>
          </w:p>
        </w:tc>
        <w:tc>
          <w:tcPr>
            <w:tcW w:w="0" w:type="dxa"/>
            <w:vAlign w:val="bottom"/>
          </w:tcPr>
          <w:p>
            <w:pPr>
              <w:spacing w:after="0"/>
              <w:rPr>
                <w:sz w:val="1"/>
                <w:szCs w:val="1"/>
                <w:color w:val="auto"/>
              </w:rPr>
            </w:pPr>
          </w:p>
        </w:tc>
      </w:tr>
      <w:tr>
        <w:trPr>
          <w:trHeight w:val="174"/>
        </w:trPr>
        <w:tc>
          <w:tcPr>
            <w:tcW w:w="8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sz w:val="20"/>
                <w:szCs w:val="20"/>
                <w:color w:val="auto"/>
              </w:rPr>
            </w:pPr>
            <w:r>
              <w:rPr>
                <w:rFonts w:ascii="Arial" w:cs="Arial" w:eastAsia="Arial" w:hAnsi="Arial"/>
                <w:sz w:val="18"/>
                <w:szCs w:val="18"/>
                <w:color w:val="auto"/>
              </w:rPr>
              <w:t>Federal income tax at the statutory rate</w:t>
            </w:r>
          </w:p>
        </w:tc>
        <w:tc>
          <w:tcPr>
            <w:tcW w:w="1080" w:type="dxa"/>
            <w:vAlign w:val="bottom"/>
            <w:gridSpan w:val="5"/>
          </w:tcPr>
          <w:p>
            <w:pPr>
              <w:jc w:val="right"/>
              <w:ind w:right="192"/>
              <w:spacing w:after="0"/>
              <w:rPr>
                <w:sz w:val="20"/>
                <w:szCs w:val="20"/>
                <w:color w:val="auto"/>
              </w:rPr>
            </w:pPr>
            <w:r>
              <w:rPr>
                <w:rFonts w:ascii="Arial" w:cs="Arial" w:eastAsia="Arial" w:hAnsi="Arial"/>
                <w:sz w:val="18"/>
                <w:szCs w:val="18"/>
                <w:color w:val="auto"/>
                <w:w w:val="97"/>
              </w:rPr>
              <w:t>$ (13,666)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and other taxes, net of federal tax benefit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w w:val="98"/>
              </w:rPr>
              <w:t>21,644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Expiration of capital loss carryforward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7,978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2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During the first quarter of fiscal year 1999, the Internal Revenue Service (“IRS”) completed an examination of the Company’s federal income tax returns for fiscal years 1992 through 1996. Taxes on the adjustments proposed by the IRS, excluding interest, amounted to approximately $4.9 million. The IRS challenged the fiscal tax years in which various income and expense deductions were recognized, resulting in potential timing differences of previously paid federal income taxes. The Company appealed these proposed adjustments through the IRS appeals process and on August 25, 2001 reached a settlement on the audit. In accordance with the settlement, the Company paid to the IRS a total of $1.5 million in fiscal 2002, including interest. The settlement of $1.5 million had no material impact on the Company’s results of operations in fiscal 2002 due to adequate provisions previously established by the Company.</w:t>
      </w:r>
    </w:p>
    <w:p>
      <w:pPr>
        <w:spacing w:after="0" w:line="10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fiscal 2003, the Company received income tax refunds of $93,000 and paid income taxes of $56,000. In fiscal 2002, the Company made tax payments, excluding its settlement with the IRS, of $231,000. These figures represent the net of payments and receipts.</w:t>
      </w:r>
    </w:p>
    <w:p>
      <w:pPr>
        <w:spacing w:after="0" w:line="11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February 1, 2003, the Company was obligated under operating leases covering store and office space, automobiles and certain equipment for future minimum rentals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95"/>
        </w:trPr>
        <w:tc>
          <w:tcPr>
            <w:tcW w:w="550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550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(in thousands)</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2004</w:t>
            </w:r>
          </w:p>
        </w:tc>
        <w:tc>
          <w:tcPr>
            <w:tcW w:w="4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29,311</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2005</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24,163</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2006</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17,644</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2007</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12,760</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2008</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8,574</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9,429</w:t>
            </w:r>
          </w:p>
        </w:tc>
      </w:tr>
      <w:tr>
        <w:trPr>
          <w:trHeight w:val="108"/>
        </w:trPr>
        <w:tc>
          <w:tcPr>
            <w:tcW w:w="550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550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5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101,881</w:t>
            </w:r>
          </w:p>
        </w:tc>
      </w:tr>
      <w:tr>
        <w:trPr>
          <w:trHeight w:val="108"/>
        </w:trPr>
        <w:tc>
          <w:tcPr>
            <w:tcW w:w="550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48" w:lineRule="exact"/>
        <w:rPr>
          <w:sz w:val="20"/>
          <w:szCs w:val="20"/>
          <w:color w:val="auto"/>
        </w:rPr>
      </w:pPr>
    </w:p>
    <w:p>
      <w:pPr>
        <w:ind w:right="380"/>
        <w:spacing w:after="0" w:line="228" w:lineRule="auto"/>
        <w:rPr>
          <w:sz w:val="20"/>
          <w:szCs w:val="20"/>
          <w:color w:val="auto"/>
        </w:rPr>
      </w:pPr>
      <w:r>
        <w:rPr>
          <w:rFonts w:ascii="Arial" w:cs="Arial" w:eastAsia="Arial" w:hAnsi="Arial"/>
          <w:sz w:val="18"/>
          <w:szCs w:val="18"/>
          <w:color w:val="auto"/>
        </w:rPr>
        <w:t>Excluded from the above commitment schedule are the lease obligations for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the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As discussed in Note J, the Company is exiting these businesses and is in the process of</w:t>
      </w:r>
    </w:p>
    <w:p>
      <w:pPr>
        <w:sectPr>
          <w:pgSz w:w="11900" w:h="16838" w:orient="portrait"/>
          <w:cols w:equalWidth="0" w:num="1">
            <w:col w:w="11420"/>
          </w:cols>
          <w:pgMar w:left="240" w:top="459" w:right="239" w:bottom="279"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279"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lease termination negotiations with several landlords. Assuming that these stores were not to close, the lease obligations for these stores would be $16.9 million in fiscal 2004; $13.7 million in fiscal 2005; $9.5 million in fiscal 2006; $6.4 million in fiscal 2007; $5.3 million in fiscal 2008 and $14.7 million thereafter.</w:t>
      </w:r>
    </w:p>
    <w:p>
      <w:pPr>
        <w:spacing w:after="0" w:line="72" w:lineRule="exact"/>
        <w:rPr>
          <w:sz w:val="20"/>
          <w:szCs w:val="20"/>
          <w:color w:val="auto"/>
        </w:rPr>
      </w:pPr>
    </w:p>
    <w:p>
      <w:pPr>
        <w:ind w:right="300"/>
        <w:spacing w:after="0" w:line="228" w:lineRule="auto"/>
        <w:rPr>
          <w:sz w:val="20"/>
          <w:szCs w:val="20"/>
          <w:color w:val="auto"/>
        </w:rPr>
      </w:pPr>
      <w:r>
        <w:rPr>
          <w:rFonts w:ascii="Arial" w:cs="Arial" w:eastAsia="Arial" w:hAnsi="Arial"/>
          <w:sz w:val="18"/>
          <w:szCs w:val="18"/>
          <w:color w:val="auto"/>
        </w:rPr>
        <w:t>Furthermore, even though the Company has agreed to transfer the operations of seven of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to Candies, Inc., the Company will remain principally liable on the leases until their respective lease terminations.</w:t>
      </w:r>
    </w:p>
    <w:p>
      <w:pPr>
        <w:spacing w:after="0" w:line="14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w:t>
      </w:r>
    </w:p>
    <w:p>
      <w:pPr>
        <w:spacing w:after="0" w:line="11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has an outstanding ten year lease, which ends in January 2006, for its previous corporate headquarters in Needham, Massachusetts. The lease provides for the Company to pay all related costs associated with the land and headquarters building. The Company occupied these premises until the second quarter of fiscal 2003, at which time the majority of the Company relocated to Canton, Massachusetts as part of its Casual Male integration plan. At February 1, 2003, approximately 19,000 square feet of the building was occupied by the Company’s loss prevention service division. Over the past five years, the Company has subleased a large portion of these corporate headquarters. At February 1, 2003, the Company had no remaining subtenants. On March 1, 2003, subsequent to year end, the Company subleased approximately 17,000 of the total 80,000 square feet. The sublease agreement terminates in January 2006.</w:t>
      </w:r>
    </w:p>
    <w:p>
      <w:pPr>
        <w:spacing w:after="0" w:line="107"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In fiscal 2003, the Company exercised it right to terminate its two warehouse facilities located in Orlando, Florida. The cost to exit these leases totaled approximately $76,000.</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$46.2 million, $23.0 million and $22.3 million for fiscal 2003, 2002 and 2001, respectively.</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is also subject to various legal proceedings and claims that arise in the ordinary course of business. Management believes that the resolution of these matters will not have an adverse impact on the results of operations or the financial position of the Company.</w:t>
      </w:r>
    </w:p>
    <w:p>
      <w:pPr>
        <w:spacing w:after="0" w:line="118" w:lineRule="exact"/>
        <w:rPr>
          <w:sz w:val="20"/>
          <w:szCs w:val="20"/>
          <w:color w:val="auto"/>
        </w:rPr>
      </w:pPr>
    </w:p>
    <w:p>
      <w:pPr>
        <w:ind w:left="320" w:hanging="307"/>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 Conversion</w:t>
      </w:r>
    </w:p>
    <w:p>
      <w:pPr>
        <w:spacing w:after="0" w:line="15" w:lineRule="exact"/>
        <w:rPr>
          <w:sz w:val="20"/>
          <w:szCs w:val="20"/>
          <w:color w:val="auto"/>
        </w:rPr>
      </w:pPr>
    </w:p>
    <w:p>
      <w:pPr>
        <w:jc w:val="both"/>
        <w:ind w:right="120"/>
        <w:spacing w:after="0" w:line="295" w:lineRule="auto"/>
        <w:rPr>
          <w:sz w:val="20"/>
          <w:szCs w:val="20"/>
          <w:color w:val="auto"/>
        </w:rPr>
      </w:pPr>
      <w:r>
        <w:rPr>
          <w:rFonts w:ascii="Arial" w:cs="Arial" w:eastAsia="Arial" w:hAnsi="Arial"/>
          <w:sz w:val="16"/>
          <w:szCs w:val="16"/>
          <w:color w:val="auto"/>
        </w:rPr>
        <w:t>In connection with the Casual Male acquisition, the Company issued 180,162 shares of its Series B Convertible Preferred Stock through private placements. On August 8, 2002, all 180,162 shares of the Series B Convertible Preferred Stock were automatically converted into 18,016,200 shares of the Company’s common stock. No value was assigned to this conversion feature since the price paid on that date for one share of preferred stock was the same price as the price at which 100 shares of common stock could be purchased on the date of the transaction.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Warrants</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Warrants to purchase common stock of the Company were also issued in connection with the Casual Male acquisition. Below is a summary of warrant activity for fiscal 2003. There were no warrants issued or outstanding in fiscal 2002 or fiscal 2001.</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8">
        <w:r>
          <w:rPr>
            <w:rFonts w:ascii="Arial" w:cs="Arial" w:eastAsia="Arial" w:hAnsi="Arial"/>
            <w:sz w:val="16"/>
            <w:szCs w:val="16"/>
            <w:b w:val="1"/>
            <w:bCs w:val="1"/>
            <w:u w:val="single" w:color="auto"/>
            <w:color w:val="0000EE"/>
          </w:rPr>
          <w:t>Index to Financial Statements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 to purchase shares of</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at:</w:t>
      </w:r>
    </w:p>
    <w:p>
      <w:pPr>
        <w:ind w:left="20"/>
        <w:spacing w:after="0"/>
        <w:rPr>
          <w:sz w:val="20"/>
          <w:szCs w:val="20"/>
          <w:color w:val="auto"/>
        </w:rPr>
      </w:pPr>
      <w:r>
        <w:rPr>
          <w:rFonts w:ascii="Arial" w:cs="Arial" w:eastAsia="Arial" w:hAnsi="Arial"/>
          <w:sz w:val="18"/>
          <w:szCs w:val="18"/>
          <w:color w:val="auto"/>
        </w:rPr>
        <w:t>Number of warrants: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Issued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Canceled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$4.25 per</w:t>
            </w:r>
          </w:p>
        </w:tc>
        <w:tc>
          <w:tcPr>
            <w:tcW w:w="3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$8.50 per</w:t>
            </w:r>
          </w:p>
        </w:tc>
      </w:tr>
      <w:tr>
        <w:trPr>
          <w:trHeight w:val="174"/>
        </w:trPr>
        <w:tc>
          <w:tcPr>
            <w:tcW w:w="1020" w:type="dxa"/>
            <w:vAlign w:val="bottom"/>
          </w:tcPr>
          <w:p>
            <w:pPr>
              <w:ind w:left="60"/>
              <w:spacing w:after="0"/>
              <w:rPr>
                <w:sz w:val="20"/>
                <w:szCs w:val="20"/>
                <w:color w:val="auto"/>
              </w:rPr>
            </w:pPr>
            <w:r>
              <w:rPr>
                <w:rFonts w:ascii="Arial" w:cs="Arial" w:eastAsia="Arial" w:hAnsi="Arial"/>
                <w:sz w:val="14"/>
                <w:szCs w:val="14"/>
                <w:b w:val="1"/>
                <w:bCs w:val="1"/>
                <w:color w:val="auto"/>
                <w:w w:val="92"/>
              </w:rPr>
              <w:t>$0.01 per share</w:t>
            </w:r>
          </w:p>
        </w:tc>
        <w:tc>
          <w:tcPr>
            <w:tcW w:w="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share</w:t>
            </w:r>
          </w:p>
        </w:tc>
        <w:tc>
          <w:tcPr>
            <w:tcW w:w="3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0"/>
              </w:rPr>
              <w:t>share</w:t>
            </w:r>
          </w:p>
        </w:tc>
      </w:tr>
      <w:tr>
        <w:trPr>
          <w:trHeight w:val="95"/>
        </w:trPr>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68580</wp:posOffset>
            </wp:positionV>
            <wp:extent cx="72466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960" w:type="dxa"/>
            <w:vAlign w:val="bottom"/>
          </w:tcPr>
          <w:p>
            <w:pPr>
              <w:jc w:val="right"/>
              <w:ind w:right="172"/>
              <w:spacing w:after="0"/>
              <w:rPr>
                <w:sz w:val="20"/>
                <w:szCs w:val="20"/>
                <w:color w:val="auto"/>
              </w:rPr>
            </w:pPr>
            <w:r>
              <w:rPr>
                <w:rFonts w:ascii="Arial" w:cs="Arial" w:eastAsia="Arial" w:hAnsi="Arial"/>
                <w:sz w:val="18"/>
                <w:szCs w:val="18"/>
                <w:color w:val="auto"/>
                <w:w w:val="84"/>
              </w:rPr>
              <w:t>1,715,000</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500,000</w:t>
            </w:r>
          </w:p>
        </w:tc>
        <w:tc>
          <w:tcPr>
            <w:tcW w:w="860" w:type="dxa"/>
            <w:vAlign w:val="bottom"/>
          </w:tcPr>
          <w:p>
            <w:pPr>
              <w:jc w:val="right"/>
              <w:spacing w:after="0"/>
              <w:rPr>
                <w:sz w:val="20"/>
                <w:szCs w:val="20"/>
                <w:color w:val="auto"/>
              </w:rPr>
            </w:pPr>
            <w:r>
              <w:rPr>
                <w:rFonts w:ascii="Arial" w:cs="Arial" w:eastAsia="Arial" w:hAnsi="Arial"/>
                <w:sz w:val="18"/>
                <w:szCs w:val="18"/>
                <w:color w:val="auto"/>
              </w:rPr>
              <w:t>1,176,471</w:t>
            </w:r>
          </w:p>
        </w:tc>
      </w:tr>
      <w:tr>
        <w:trPr>
          <w:trHeight w:val="216"/>
        </w:trPr>
        <w:tc>
          <w:tcPr>
            <w:tcW w:w="960" w:type="dxa"/>
            <w:vAlign w:val="bottom"/>
          </w:tcPr>
          <w:p>
            <w:pPr>
              <w:jc w:val="right"/>
              <w:ind w:right="172"/>
              <w:spacing w:after="0"/>
              <w:rPr>
                <w:sz w:val="20"/>
                <w:szCs w:val="20"/>
                <w:color w:val="auto"/>
              </w:rPr>
            </w:pPr>
            <w:r>
              <w:rPr>
                <w:rFonts w:ascii="Arial" w:cs="Arial" w:eastAsia="Arial" w:hAnsi="Arial"/>
                <w:sz w:val="18"/>
                <w:szCs w:val="18"/>
                <w:color w:val="auto"/>
                <w:w w:val="84"/>
              </w:rPr>
              <w:t>1,190,000</w:t>
            </w:r>
          </w:p>
        </w:tc>
        <w:tc>
          <w:tcPr>
            <w:tcW w:w="102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22"/>
        </w:trPr>
        <w:tc>
          <w:tcPr>
            <w:tcW w:w="9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2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-272415</wp:posOffset>
            </wp:positionV>
            <wp:extent cx="72466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wp:posOffset>
            </wp:positionV>
            <wp:extent cx="20066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3160"/>
          </w:cols>
          <w:pgMar w:left="240" w:top="459" w:right="2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February 1, 2003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1,176,471</w:t>
            </w:r>
          </w:p>
        </w:tc>
      </w:tr>
      <w:tr>
        <w:trPr>
          <w:trHeight w:val="132"/>
        </w:trPr>
        <w:tc>
          <w:tcPr>
            <w:tcW w:w="82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part of the private placement of the Company’s 12% senior subordinated notes, the Company issued warrants to purchase 1,715,000 shares of common stock at an exercise price of $0.01 per share and additional warrants to purchase 1,176,471 shares of common stock at an exercise price of $8.50 per share. The Company has assigned a value, based on the Black Scholes model, of $9.6 million for these warrants. The value of the warrants has been reflected as a component of stockholders’ equity as a discount on the notes that is being amortized over the term of the corresponding debt, which is five years. Also, as part of the equity financing, the Company issued to its investment advisor warrants to purchase 500,000 shares of common stock at an exercise price of $4.25 per share. The total assigned value of these warrants of $1.3 million has been reflected as a cost of raising equity at February 1, 2003.</w:t>
      </w:r>
    </w:p>
    <w:p>
      <w:pPr>
        <w:spacing w:after="0" w:line="107"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At February 1, 2003, warrants to purchase 525,000 shares of the Company’s common stock at an exercise price of $0.01 remained outstanding and all of the warrants to purchase shares of the Company’s common stock at exercise prices of $4.25 and $8.50 per share described above were outstanding.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1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fiscal 2001, the Company repurchased 863,000 shares of Common Stock at an aggregate cost of $1,861,000 under a Stock Repurchase Program that was approved by the Company’s Board of Directors in June 2000. In the fourth quarter of fiscal 2001, the Company repurchased 1.8 million shares of Common Stock at $2.50 per share through a “Dutch Auction” tender offer. Under the terms of the offer, the Company invited its shareholders to tender their shares to the Company at prices specified by the tendering shareholders not in excess of $3.00 nor less than $2.20 per share, in ten-cent ($0.10) increments. The Company selected the lowest single per-share purchase price that would allow it to buy 1.5 million shares, and up to an additional 1.0 million shares at the Company’s option.</w:t>
      </w:r>
    </w:p>
    <w:p>
      <w:pPr>
        <w:spacing w:after="0" w:line="135"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In fiscal 2001, the Company utilized two brokerage firms in connection with the repurchase of the 863,000 shares of Common Stock. Sterling Financial Investment Group, Inc. (“Sterling Financial”), one of the firms used, is owned by a family relation of Seymour Holtzman, the Chairman of the Company’s Board of Directors. The Company negotiated a commission of $0.03 per share with each brokerage firm for trades executed as part of the Company’s stock repurchase program. The Company paid Sterling Financial total commissions of $20,940 for trades they executed as part of the Company’s stock repurchase program.</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These shares were purchased in the open market and were recorded by the Company as treasury stock and are reflected as a reduction in stockholders’ equity.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Treasury shares also include restricted shares of the Company which were forfeited by associates.</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February 1, 2003, the Company has a total of 3.1 million shares of repurchased stock at an aggregate cost of $8.9 million which is reported by the Company as treasury stock and is reflected as a reduction in stockholders’ equity.</w:t>
      </w:r>
    </w:p>
    <w:p>
      <w:pPr>
        <w:spacing w:after="0" w:line="118" w:lineRule="exact"/>
        <w:rPr>
          <w:sz w:val="20"/>
          <w:szCs w:val="20"/>
          <w:color w:val="auto"/>
        </w:rPr>
      </w:pPr>
    </w:p>
    <w:p>
      <w:pPr>
        <w:ind w:left="360" w:hanging="347"/>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April 3, 1992, the Board of Directors adopted the 1992 Stock Incentive Plan (the “1992 Plan”), which became effective on June 9, 1992 when it was approved by the stockholders of the Company. Under the original terms of the 1992 Plan, up to 1,850,000 shares of Common Stock could be issued pursuant to “incentive stock options” (as defined in Section 422 of the Internal Revenue Code of 1986, as amended), options which are not “incentive stock options,” conditioned stock awards, unrestricted stock awards and performance share awards. The 1992 Plan is administered by the Compensation Committee, all of the members of which are non-employee directors. The Compensation Committee makes all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determinations with respect to amounts and conditions covering awards under the 1992 Plan. No incentive stock options could be granted under the original terms of the 1992 Plan after April 2, 2002. Options have never been granted at a price less than fair value on the date of the grant. Options granted to employees, executives and directors typically vest over five, three and three years, respectively, with the exception of the premium priced options issued to the executives which vest over a five-year period. Options granted under the 1992 Plan expire ten years from the date of grant. The 1992 Plan, as amended, terminates on the earlier of (i) the date when all shares issuable thereunder have been issued and (ii) April 2, 2007.</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By written consent dated as of April 28, 1997, the Board of Directors authorized an increase in the number of shares of Common Stock issuable under the 1992 Plan to 2,430,000 shares. In addition, the Board of Directors authorized an increase in the number of options to purchase shares of Common Stock that could be granted during any fiscal year to any individual participant from 75,000 to 270,000 shares, but only if all such stock options had a per share exercise price not less than 200% of fair market value of one share of Common Stock on the date of grant. Furthermore, they authorized the elimination of certain provisions of the 1992 Plan that were no longer required by Rule 16b-3 under the Securities Exchange Act of 1934, as amended. The stockholders approved this increase and the other amendments to the 1992 Plan at the Annual Meeting of Stockholders held on June 10, 1997.</w:t>
      </w:r>
    </w:p>
    <w:p>
      <w:pPr>
        <w:spacing w:after="0" w:line="10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 May 19, 2000, the Board of Directors approved an amendment to the 1992 Plan to increase the number of shares of Common Stock authorized for issuance from 2,430,000 shares to 4,430,000 shares and to extend the date of termination of the 1992 Plan from April 2, 2002 to April 2, 2007. This amendment was subsequently approved by the Company’s stockholders at the Annual Meeting of Stockholders on June 26, 2000. At the Annual Meeting of Stockholders held on July 31, 2001, the shareholders approved an amendment to the 1992 Plan to allow the Company to grant options to purchase up to 270,000 shares of Common Stock to any individual participant during any fiscal year so long as the exercise price is not less than fair market value on the date of grant.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shares subject to the 1992 Plan for the fiscal years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4"/>
          </w:tcPr>
          <w:p>
            <w:pPr>
              <w:ind w:left="14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8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1,241,814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988,350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523,769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886,352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canceled</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20"/>
              <w:spacing w:after="0"/>
              <w:rPr>
                <w:sz w:val="20"/>
                <w:szCs w:val="20"/>
                <w:color w:val="auto"/>
              </w:rPr>
            </w:pPr>
            <w:r>
              <w:rPr>
                <w:rFonts w:ascii="Arial" w:cs="Arial" w:eastAsia="Arial" w:hAnsi="Arial"/>
                <w:sz w:val="18"/>
                <w:szCs w:val="18"/>
                <w:color w:val="auto"/>
              </w:rPr>
              <w:t>Options exercised</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180,513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59,392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8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1,899,990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1,241,814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exercisable at end of year</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707,632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470,551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Common shares reserved for future grants at end of year</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1,789,344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2,628,033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3,077,389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exercise price per option:</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Outstanding at beginning of year</w:t>
            </w:r>
          </w:p>
        </w:tc>
        <w:tc>
          <w:tcPr>
            <w:tcW w:w="3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 during the year</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Canceled during the year</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 during the year</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180"/>
              <w:spacing w:after="0"/>
              <w:rPr>
                <w:sz w:val="20"/>
                <w:szCs w:val="20"/>
                <w:color w:val="auto"/>
              </w:rPr>
            </w:pPr>
            <w:r>
              <w:rPr>
                <w:rFonts w:ascii="Arial" w:cs="Arial" w:eastAsia="Arial" w:hAnsi="Arial"/>
                <w:sz w:val="18"/>
                <w:szCs w:val="18"/>
                <w:color w:val="auto"/>
              </w:rPr>
              <w:t>Outstanding at end of year</w:t>
            </w:r>
          </w:p>
        </w:tc>
        <w:tc>
          <w:tcPr>
            <w:tcW w:w="3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800" w:type="dxa"/>
            <w:vAlign w:val="bottom"/>
          </w:tcPr>
          <w:p>
            <w:pPr>
              <w:spacing w:after="0"/>
              <w:rPr>
                <w:sz w:val="24"/>
                <w:szCs w:val="24"/>
                <w:color w:val="auto"/>
              </w:rPr>
            </w:pPr>
          </w:p>
        </w:tc>
        <w:tc>
          <w:tcPr>
            <w:tcW w:w="3420" w:type="dxa"/>
            <w:vAlign w:val="bottom"/>
          </w:tcPr>
          <w:p>
            <w:pPr>
              <w:jc w:val="right"/>
              <w:ind w:right="233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under the 1992 Plan at February 1, 2003: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620" w:type="dxa"/>
            <w:vAlign w:val="bottom"/>
            <w:gridSpan w:val="4"/>
          </w:tcPr>
          <w:p>
            <w:pPr>
              <w:ind w:left="98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5"/>
          </w:tcPr>
          <w:p>
            <w:pPr>
              <w:ind w:left="3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0" w:type="dxa"/>
            <w:vAlign w:val="bottom"/>
          </w:tcPr>
          <w:p>
            <w:pPr>
              <w:jc w:val="right"/>
              <w:ind w:right="178"/>
              <w:spacing w:after="0" w:line="149"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13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Remaining</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320" w:type="dxa"/>
            <w:vAlign w:val="bottom"/>
          </w:tcPr>
          <w:p>
            <w:pPr>
              <w:spacing w:after="0"/>
              <w:rPr>
                <w:sz w:val="12"/>
                <w:szCs w:val="12"/>
                <w:color w:val="auto"/>
              </w:rPr>
            </w:pPr>
          </w:p>
        </w:tc>
        <w:tc>
          <w:tcPr>
            <w:tcW w:w="100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1000" w:type="dxa"/>
            <w:vAlign w:val="bottom"/>
          </w:tcPr>
          <w:p>
            <w:pPr>
              <w:jc w:val="right"/>
              <w:ind w:right="58"/>
              <w:spacing w:after="0"/>
              <w:rPr>
                <w:sz w:val="20"/>
                <w:szCs w:val="20"/>
                <w:color w:val="auto"/>
              </w:rPr>
            </w:pPr>
            <w:r>
              <w:rPr>
                <w:rFonts w:ascii="Arial" w:cs="Arial" w:eastAsia="Arial" w:hAnsi="Arial"/>
                <w:sz w:val="14"/>
                <w:szCs w:val="14"/>
                <w:b w:val="1"/>
                <w:bCs w:val="1"/>
                <w:color w:val="auto"/>
              </w:rPr>
              <w:t>Outstanding</w:t>
            </w:r>
          </w:p>
        </w:tc>
        <w:tc>
          <w:tcPr>
            <w:tcW w:w="30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Life</w:t>
            </w:r>
          </w:p>
        </w:tc>
        <w:tc>
          <w:tcPr>
            <w:tcW w:w="100" w:type="dxa"/>
            <w:vAlign w:val="bottom"/>
          </w:tcPr>
          <w:p>
            <w:pPr>
              <w:spacing w:after="0"/>
              <w:rPr>
                <w:sz w:val="15"/>
                <w:szCs w:val="15"/>
                <w:color w:val="auto"/>
              </w:rPr>
            </w:pPr>
          </w:p>
        </w:tc>
        <w:tc>
          <w:tcPr>
            <w:tcW w:w="44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188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$0.81 to $2.15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483,541</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7.1 years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380,258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2.16 to 4.30</w:t>
            </w:r>
          </w:p>
        </w:tc>
        <w:tc>
          <w:tcPr>
            <w:tcW w:w="1000" w:type="dxa"/>
            <w:vAlign w:val="bottom"/>
          </w:tcPr>
          <w:p>
            <w:pPr>
              <w:jc w:val="right"/>
              <w:spacing w:after="0"/>
              <w:rPr>
                <w:sz w:val="20"/>
                <w:szCs w:val="20"/>
                <w:color w:val="auto"/>
              </w:rPr>
            </w:pPr>
            <w:r>
              <w:rPr>
                <w:rFonts w:ascii="Arial" w:cs="Arial" w:eastAsia="Arial" w:hAnsi="Arial"/>
                <w:sz w:val="18"/>
                <w:szCs w:val="18"/>
                <w:color w:val="auto"/>
              </w:rPr>
              <w:t>360,699</w:t>
            </w:r>
          </w:p>
        </w:tc>
        <w:tc>
          <w:tcPr>
            <w:tcW w:w="30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9.0 years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102,624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4.31 to 6.45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918,000</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9.2 years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6.46 to 8.60</w:t>
            </w:r>
          </w:p>
        </w:tc>
        <w:tc>
          <w:tcPr>
            <w:tcW w:w="1000" w:type="dxa"/>
            <w:vAlign w:val="bottom"/>
          </w:tcPr>
          <w:p>
            <w:pPr>
              <w:jc w:val="right"/>
              <w:spacing w:after="0"/>
              <w:rPr>
                <w:sz w:val="20"/>
                <w:szCs w:val="20"/>
                <w:color w:val="auto"/>
              </w:rPr>
            </w:pPr>
            <w:r>
              <w:rPr>
                <w:rFonts w:ascii="Arial" w:cs="Arial" w:eastAsia="Arial" w:hAnsi="Arial"/>
                <w:sz w:val="18"/>
                <w:szCs w:val="18"/>
                <w:color w:val="auto"/>
              </w:rPr>
              <w:t>89,750</w:t>
            </w:r>
          </w:p>
        </w:tc>
        <w:tc>
          <w:tcPr>
            <w:tcW w:w="30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4.7 years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54,750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8.61 to 10.75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0.5 years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17.75 to 17.75</w:t>
            </w:r>
          </w:p>
        </w:tc>
        <w:tc>
          <w:tcPr>
            <w:tcW w:w="1000" w:type="dxa"/>
            <w:vAlign w:val="bottom"/>
          </w:tcPr>
          <w:p>
            <w:pPr>
              <w:jc w:val="right"/>
              <w:spacing w:after="0"/>
              <w:rPr>
                <w:sz w:val="20"/>
                <w:szCs w:val="20"/>
                <w:color w:val="auto"/>
              </w:rPr>
            </w:pPr>
            <w:r>
              <w:rPr>
                <w:rFonts w:ascii="Arial" w:cs="Arial" w:eastAsia="Arial" w:hAnsi="Arial"/>
                <w:sz w:val="18"/>
                <w:szCs w:val="18"/>
                <w:color w:val="auto"/>
              </w:rPr>
              <w:t>23,000</w:t>
            </w:r>
          </w:p>
        </w:tc>
        <w:tc>
          <w:tcPr>
            <w:tcW w:w="300" w:type="dxa"/>
            <w:vAlign w:val="bottom"/>
          </w:tcPr>
          <w:p>
            <w:pPr>
              <w:spacing w:after="0"/>
              <w:rPr>
                <w:sz w:val="19"/>
                <w:szCs w:val="19"/>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0.2 years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17.75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$0.81 to $17.75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1,899,990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707,632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granted outside of the Company’s 1992 Plan</w:t>
      </w:r>
    </w:p>
    <w:p>
      <w:pPr>
        <w:spacing w:after="0" w:line="1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Below is a summary of options granted outside of the Company’s 1992 Plan. This activity represents options which have been granted to consultants of the Company and also options granted to its executives in excess of the 1992 Plan’s annual maximum grant of 270,000. With the exception of the 340,000 shares underlying options issued in November 2002, all shares underlying options granted outside of the Company’s 1992 Plan were registered in September 2002 as part of the Company’s Form S-3 Registration Statement: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8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3"/>
          </w:tcPr>
          <w:p>
            <w:pPr>
              <w:jc w:val="center"/>
              <w:ind w:right="14"/>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2"/>
                <w:szCs w:val="22"/>
                <w:color w:val="auto"/>
              </w:rPr>
            </w:pPr>
          </w:p>
        </w:tc>
        <w:tc>
          <w:tcPr>
            <w:tcW w:w="86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7"/>
              </w:rPr>
              <w:t>1,140,000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715,000</w:t>
            </w: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340,000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425,000</w:t>
            </w:r>
          </w:p>
        </w:tc>
        <w:tc>
          <w:tcPr>
            <w:tcW w:w="2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714,047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canceled</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Options exercised</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430,000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489,047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7"/>
              </w:rPr>
              <w:t>1,050,000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1,140,000</w:t>
            </w: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exercisable at end of year</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391,668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608,334</w:t>
            </w: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Weighted-average exercise price per option:</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beginning of year</w:t>
            </w:r>
          </w:p>
        </w:tc>
        <w:tc>
          <w:tcPr>
            <w:tcW w:w="10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2.27</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Granted during the year</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3.19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Canceled during the year</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Exercised during the year</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3.19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end of year</w:t>
            </w:r>
          </w:p>
        </w:tc>
        <w:tc>
          <w:tcPr>
            <w:tcW w:w="10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3.02</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9240" w:type="dxa"/>
            <w:vAlign w:val="bottom"/>
            <w:gridSpan w:val="11"/>
          </w:tcPr>
          <w:p>
            <w:pPr>
              <w:spacing w:after="0"/>
              <w:rPr>
                <w:sz w:val="20"/>
                <w:szCs w:val="20"/>
                <w:color w:val="auto"/>
              </w:rPr>
            </w:pPr>
            <w:r>
              <w:rPr>
                <w:rFonts w:ascii="Arial" w:cs="Arial" w:eastAsia="Arial" w:hAnsi="Arial"/>
                <w:sz w:val="18"/>
                <w:szCs w:val="18"/>
                <w:color w:val="auto"/>
                <w:w w:val="89"/>
              </w:rPr>
              <w:t>The following table summarizes information about stock options outstanding issued outside of the 1992 Plan at February 1, 2003:</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8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3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gridSpan w:val="7"/>
          </w:tcPr>
          <w:p>
            <w:pPr>
              <w:ind w:left="2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0" w:type="dxa"/>
            <w:vAlign w:val="bottom"/>
          </w:tcPr>
          <w:p>
            <w:pPr>
              <w:jc w:val="right"/>
              <w:ind w:right="181"/>
              <w:spacing w:after="0" w:line="149"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Remaining</w:t>
            </w:r>
          </w:p>
        </w:tc>
        <w:tc>
          <w:tcPr>
            <w:tcW w:w="26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1000" w:type="dxa"/>
            <w:vAlign w:val="bottom"/>
          </w:tcPr>
          <w:p>
            <w:pPr>
              <w:jc w:val="right"/>
              <w:ind w:right="61"/>
              <w:spacing w:after="0"/>
              <w:rPr>
                <w:sz w:val="20"/>
                <w:szCs w:val="20"/>
                <w:color w:val="auto"/>
              </w:rPr>
            </w:pPr>
            <w:r>
              <w:rPr>
                <w:rFonts w:ascii="Arial" w:cs="Arial" w:eastAsia="Arial" w:hAnsi="Arial"/>
                <w:sz w:val="14"/>
                <w:szCs w:val="14"/>
                <w:b w:val="1"/>
                <w:bCs w:val="1"/>
                <w:color w:val="auto"/>
              </w:rPr>
              <w:t>Outstanding</w:t>
            </w:r>
          </w:p>
        </w:tc>
        <w:tc>
          <w:tcPr>
            <w:tcW w:w="300" w:type="dxa"/>
            <w:vAlign w:val="bottom"/>
          </w:tcPr>
          <w:p>
            <w:pPr>
              <w:spacing w:after="0"/>
              <w:rPr>
                <w:sz w:val="15"/>
                <w:szCs w:val="15"/>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Contractual Life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Exercisable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188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30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$1.44 to $2.16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1"/>
              </w:rPr>
              <w:t>7.0 years</w:t>
            </w:r>
          </w:p>
        </w:tc>
        <w:tc>
          <w:tcPr>
            <w:tcW w:w="360" w:type="dxa"/>
            <w:vAlign w:val="bottom"/>
            <w:gridSpan w:val="2"/>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2.17 to 3.24</w:t>
            </w:r>
          </w:p>
        </w:tc>
        <w:tc>
          <w:tcPr>
            <w:tcW w:w="1000" w:type="dxa"/>
            <w:vAlign w:val="bottom"/>
          </w:tcPr>
          <w:p>
            <w:pPr>
              <w:jc w:val="right"/>
              <w:spacing w:after="0"/>
              <w:rPr>
                <w:sz w:val="20"/>
                <w:szCs w:val="20"/>
                <w:color w:val="auto"/>
              </w:rPr>
            </w:pPr>
            <w:r>
              <w:rPr>
                <w:rFonts w:ascii="Arial" w:cs="Arial" w:eastAsia="Arial" w:hAnsi="Arial"/>
                <w:sz w:val="18"/>
                <w:szCs w:val="18"/>
                <w:color w:val="auto"/>
              </w:rPr>
              <w:t>735,000</w:t>
            </w:r>
          </w:p>
        </w:tc>
        <w:tc>
          <w:tcPr>
            <w:tcW w:w="300" w:type="dxa"/>
            <w:vAlign w:val="bottom"/>
          </w:tcPr>
          <w:p>
            <w:pPr>
              <w:spacing w:after="0"/>
              <w:rPr>
                <w:sz w:val="18"/>
                <w:szCs w:val="18"/>
                <w:color w:val="auto"/>
              </w:rPr>
            </w:pPr>
          </w:p>
        </w:tc>
        <w:tc>
          <w:tcPr>
            <w:tcW w:w="1060" w:type="dxa"/>
            <w:vAlign w:val="bottom"/>
            <w:gridSpan w:val="3"/>
          </w:tcPr>
          <w:p>
            <w:pPr>
              <w:ind w:left="360"/>
              <w:spacing w:after="0"/>
              <w:rPr>
                <w:sz w:val="20"/>
                <w:szCs w:val="20"/>
                <w:color w:val="auto"/>
              </w:rPr>
            </w:pPr>
            <w:r>
              <w:rPr>
                <w:rFonts w:ascii="Arial" w:cs="Arial" w:eastAsia="Arial" w:hAnsi="Arial"/>
                <w:sz w:val="18"/>
                <w:szCs w:val="18"/>
                <w:color w:val="auto"/>
                <w:w w:val="91"/>
              </w:rPr>
              <w:t>8.4 years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151,668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5.01 to 6.81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1"/>
              </w:rPr>
              <w:t>8.9 years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30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$0.81 to $ 8.60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391,668</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Jewelcor Management, Inc. and Mr. Holtzman</w:t>
      </w:r>
    </w:p>
    <w:p>
      <w:pPr>
        <w:spacing w:after="0" w:line="1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a consulting agreement entered into on October 28, 1999 with Jewelcor Management, Inc. (“JMI”), JMI was given the right to receive a non-qualified stock option exercisable for up to 400,000 shares of the Common Stock. These 400,000 options, which were fully vested and exercisable, were issued outside of the 1992 Plan at an exercise price of $1.16 per share equal to the market price of the Common Stock on the date of grant. The shares underlying these options were subsequently registered by the Company on September 11, 2002 as part of its Form S-3 Registration Statement. The fair market value of these options, which was determined by an independent third party using a growth model, was $63,560. On April 18, 2002, the 400,000 options were exercised by JMI at a price of $1.16 per share, or a total cost of $462,500. The cost of these options were paid to the Company by JMI through the forfeiture of 79,467 of these shares at a value of $5.82 per share, the closing price of the Company’s stock on April 18, 2002. The 79,467 shares have been recorded by the Company as treasury stock.</w:t>
      </w:r>
    </w:p>
    <w:p>
      <w:pPr>
        <w:spacing w:after="0" w:line="10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fiscal 2002, in connection with his initial employment as an executive officer of the Company, Seymour Holtzman was granted an option to purchase up to 300,000 shares of Common Stock at a price of $3.88 per share, the closing price of the Common Stock on the date of grant. These options, which were issued outside of the 1992 Plan, will vest at a rate of 100,000 shares annually. On May 1, 2002, the Board of Directors granted Mr. Holtzman an option, subject to completion of the Casual Male acquisition, to purchase 200,000 shares of Common Stock at an exercise price of $4.58 per share. On October 16, 2002, Mr. Holtzman was granted additional options to purchase 400,000 shares of Common Stock at an exercise price of $3.15 per share. Of the 400,000 options, 330,000 were issued and oustanding outside of the 1992 Plan as of February 1, 2003.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 H for a full discussion of the Company’s consulting agreements and arrangements with JMI and Mr. Holtzman.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Agreements with Executives</w:t>
      </w:r>
    </w:p>
    <w:p>
      <w:pPr>
        <w:spacing w:after="0" w:line="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March 2000, in connection with his initial employment as President and Chief Executive Officer of the Company, David A. Levin was granted 300,000 options to purchase shares of Common Stock at an exercise price of $1.19 per share. Of these 300,000 options, 225,000 were issued outside of the 1992 Plan. On May 26, 2001, the Company granted Mr. Levin an additional 125,000 options at an exercise price of $3.88 per share, 50,000 of which were granted outside of the 1992 Plan. On May 1, 2002, Mr. Levin was granted options to purchase 75,000 shares of Common Stock at an exercise price of $3.15 per share. At February 1, 2003, Mr. Levin has a total of 500,000 options outstanding.</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September 2000, in connection with his initial employment as Senior Vice President and Chief Financial Officer of the Company, Dennis R. Hernreich was granted 60,000 options to purchase shares of Common Stock at an exercise price of $2.06 per share. In November 2000, Mr. Hernreich was granted an additional 25,000 options to purchase shares of Common Stock at an exercise price of $2.38 per share. Of these 25,000 options, 10,000 were issued outside of the 1992 Plan. On May 25, 2001, the Company granted to Mr. Hernreich an additional 100,000 options at an exercise price of $3.88 per share, 25,000 of which were granted outside of the 1992 Plan. On May 1, 2002, Mr. Hernreich was granted options to purchase 75,000 shares of Common Stock at an exercise price of $3.15 per share. At February 1, 2003, Mr. Hernreich has a total of 260,000 options outstanding.</w:t>
      </w:r>
    </w:p>
    <w:p>
      <w:pPr>
        <w:spacing w:after="0" w:line="107" w:lineRule="exact"/>
        <w:rPr>
          <w:sz w:val="20"/>
          <w:szCs w:val="20"/>
          <w:color w:val="auto"/>
        </w:rPr>
      </w:pPr>
    </w:p>
    <w:p>
      <w:pPr>
        <w:ind w:left="360" w:hanging="347"/>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RELATED PARTIES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Jewelcor Management, Inc.</w:t>
      </w:r>
    </w:p>
    <w:p>
      <w:pPr>
        <w:spacing w:after="0" w:line="1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On October 28, 1999, the Company entered into a consulting agreement with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12% of the outstanding Common Stock (principally held by JMI). He is also the President and Chief Executive Officer, and indirectly, with his wife, the primary shareholder of JMI. As compensation for these services, JMI was given the right to receive a non-qualified stock option to purchase up to 400,000 shares of Common Stock, exercisable at the closing price of the Common Stock on October 28, 1999. JMI was also entitled to certain additional compensation in respect of its services under the consulting agreement, which was paid to JMI in shares of Common Stock in lieu of cash. The total value of the compensation paid to JMI under this agreement was $347,560, which included (i) stock options to purchase 400,000 shares of Common Stock, valued by an independent third party, using a growth model, at $63,560; and (ii) the issuance of 203,489 shares of Common Stock, which had an aggregate market value of $240,000.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June 26, 2000 and May 25, 2001, the consulting agreement with JMI was extended for additional one year terms. As compensation for JMI’s services, the Company paid JMI annual compensation of $240,000, which was paid to JMI through the issuance of non-forfeitable and fully vested shares of Common Stock. Accordingly, JMI received 182,857 fully-vested and non-forfeitable shares of Common Stock on June 26, 2000 and 61,856 fully-vested and non-forfeitable shares on May 25, 2001.</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29, 2002, the Board of Directors approved the extension of the existing consulting agreement with JMI for an additional one-year term commencing April 29, 2002 and ending on April 28, 2003. As payment for services rendered under this agreement, the Company issued to JMI 60,659 non-forfeitable and fully vested shares of Common Stock. The fair value of those shares on April 29, 2002, the date of issuance, was $276,000 or $4.55 per share. The agreement also includes a significant disincentive for non-performance, which would require JMI to pay to the Company a penalty equal to 150% of any unearned consulting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Debt Issuance</w:t>
      </w:r>
    </w:p>
    <w:p>
      <w:pPr>
        <w:spacing w:after="0" w:line="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May 2002, the Company issued $24.5 million of 12% senior subordinated notes through private placements. Approximately $5.8 million of these notes are held by JMI, and another $11.3 million are held by Clark Partners I, L.P Stephen Duff, a director of the Company, is Treasurer of Ninth Floor Corporation, the general partner of Clark Partners I, L.P., and he is also Senior Investment Manager at The Clark Estates, Inc. Together with these notes, the Company also issued detachable warrants to acquire 1,715,000 shares of Common Stock at an exercise price of $0.01 per share and additional warrants to acquire 1,176,471 shares of Common Stock at an exercise price of $8.50 per share. JMI received warrants to purchase 402,500 shares of Common Stock at an exercise price of $0.01 per share and warrants to purchase 147,059 shares of Common Stock at an exercise price of $8.50 per share. Clark Partners I, L.P. received warrants to purchase 787,500 shares of Common Stock at an exercise price of $0.01 per share and warrants to purchase 147,059 shares of Common Stock at an exercise price of $8.50. Both JMI and Clark Partners I, L.P. exercised their $0.01 per share warrants in August 2002.</w:t>
      </w:r>
    </w:p>
    <w:p>
      <w:pPr>
        <w:spacing w:after="0" w:line="1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also issued $11.0 million of 5% senior subordinated notes through a private placement with Kellwood Company. Kellwood Company also has a material product sourcing agreement with the Company by which the Company has agreed to purchase certain minimum amounts of product from Kellwood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with Directors</w:t>
      </w:r>
    </w:p>
    <w:p>
      <w:pPr>
        <w:spacing w:after="0" w:line="1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On June 26, 2000, the Company extended a loan to David A. Levin, the President and Chief Executive Officer of the Company, in the amount of $196,875 in order for Mr. Levin to acquire from the Company 150,000 newly issued shares of Common Stock at the closing price of the Common Stock on that day. The Company and Mr. Levin entered into a secured promissory note, whereby Mr. Levin agreed to pay to the Company the principal sum of $196,875 plus interest due and payable on June 26, 2003. The promissory note provided for interest at a rate of 6.53% per annum and was secured by the 150,000 acquired shares of Common Stock.</w:t>
      </w:r>
    </w:p>
    <w:p>
      <w:pPr>
        <w:spacing w:after="0" w:line="13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On May 25, 2001, the Board of Directors decided to hire Mr. Holtzman, who had served as the non-employee Chairman of the Company, as an officer and employee of the Company. In connection with the hiring of Mr. Holtzman, the Board granted Mr. Holtzman an option, outside of the 1992 Plan, to purchase an aggregate of 300,000 shares of Common Stock at an exercise price of $3.88 per share, the closing price of the Common Stock on May 25, 2001. The option represents the principal portion of Mr. Holtzman’s compensation as an employee of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ind w:left="300" w:hanging="287"/>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15"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In connection with the Casual Male acquisition, the Company assumed the assets and liabilities of the Casual Male Noncontributory Pension Plan, which was known as J. Baker, Inc. Qualified Plan, (the “Pension Plan”). Casual Male Corp. froze all future benefits under this plan on May 1, 1997.</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Pension Plan’s funded status at February 1, 2003:</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auto"/>
        </w:rPr>
        <w:t>Change in benefit obligation</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May 14,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Benefits and expenses paid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and interest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Actuarial loss (gain)</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February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Change in 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Balance at May 14, 2002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Actual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Employer contributions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Benefits and expenses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February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Fair value of plan assets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Minimum pension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Prepaid benefit cost</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Net pension benefit for the year ended February 1, 2003 includes the following components: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cost earned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Interest cost on projected benefit obligation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pension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left="120" w:hanging="127"/>
        <w:spacing w:after="0" w:line="286" w:lineRule="auto"/>
        <w:rPr>
          <w:sz w:val="20"/>
          <w:szCs w:val="20"/>
          <w:color w:val="auto"/>
        </w:rPr>
      </w:pPr>
      <w:r>
        <w:rPr>
          <w:rFonts w:ascii="Arial" w:cs="Arial" w:eastAsia="Arial" w:hAnsi="Arial"/>
          <w:sz w:val="16"/>
          <w:szCs w:val="16"/>
          <w:color w:val="auto"/>
        </w:rPr>
        <w:t>$18,302 (1,105)</w:t>
      </w:r>
    </w:p>
    <w:p>
      <w:pPr>
        <w:ind w:left="300"/>
        <w:spacing w:after="0"/>
        <w:rPr>
          <w:sz w:val="20"/>
          <w:szCs w:val="20"/>
          <w:color w:val="auto"/>
        </w:rPr>
      </w:pPr>
      <w:r>
        <w:rPr>
          <w:rFonts w:ascii="Arial" w:cs="Arial" w:eastAsia="Arial" w:hAnsi="Arial"/>
          <w:sz w:val="18"/>
          <w:szCs w:val="18"/>
          <w:color w:val="auto"/>
        </w:rPr>
        <w:t>836</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3689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$17,945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39878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ind w:left="120" w:hanging="127"/>
        <w:spacing w:after="0" w:line="286" w:lineRule="auto"/>
        <w:rPr>
          <w:sz w:val="20"/>
          <w:szCs w:val="20"/>
          <w:color w:val="auto"/>
        </w:rPr>
      </w:pPr>
      <w:r>
        <w:rPr>
          <w:rFonts w:ascii="Arial" w:cs="Arial" w:eastAsia="Arial" w:hAnsi="Arial"/>
          <w:sz w:val="16"/>
          <w:szCs w:val="16"/>
          <w:color w:val="auto"/>
        </w:rPr>
        <w:t>$20,498 (1,958)</w:t>
      </w:r>
    </w:p>
    <w:p>
      <w:pPr>
        <w:ind w:left="3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3689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$17,435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39878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69" w:lineRule="exact"/>
        <w:rPr>
          <w:sz w:val="20"/>
          <w:szCs w:val="20"/>
          <w:color w:val="auto"/>
        </w:rPr>
      </w:pPr>
    </w:p>
    <w:p>
      <w:pPr>
        <w:jc w:val="right"/>
        <w:ind w:left="80" w:right="60" w:hanging="98"/>
        <w:spacing w:after="0" w:line="332" w:lineRule="auto"/>
        <w:rPr>
          <w:sz w:val="20"/>
          <w:szCs w:val="20"/>
          <w:color w:val="auto"/>
        </w:rPr>
      </w:pPr>
      <w:r>
        <w:rPr>
          <w:rFonts w:ascii="Arial" w:cs="Arial" w:eastAsia="Arial" w:hAnsi="Arial"/>
          <w:sz w:val="16"/>
          <w:szCs w:val="16"/>
          <w:color w:val="auto"/>
        </w:rPr>
        <w:t>$17,945 17,435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689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510</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3689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39878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hanging="227"/>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6"/>
          <w:szCs w:val="16"/>
          <w:color w:val="auto"/>
        </w:rPr>
        <w:t>(836)</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75565</wp:posOffset>
            </wp:positionV>
            <wp:extent cx="317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12" w:lineRule="exact"/>
        <w:rPr>
          <w:sz w:val="20"/>
          <w:szCs w:val="20"/>
          <w:color w:val="auto"/>
        </w:rPr>
      </w:pPr>
    </w:p>
    <w:p>
      <w:pPr>
        <w:ind w:left="8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77470</wp:posOffset>
            </wp:positionV>
            <wp:extent cx="34734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60" w:space="720"/>
            <w:col w:w="640"/>
          </w:cols>
          <w:pgMar w:left="240" w:top="459" w:right="239" w:bottom="1440" w:gutter="0" w:footer="0" w:header="0"/>
          <w:type w:val="continuous"/>
        </w:sectPr>
      </w:pPr>
    </w:p>
    <w:p>
      <w:pPr>
        <w:spacing w:after="0" w:line="2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Assumptions used to develop the Plans’ funded status were a discount rate of 6.55% and an expected long-term return on assets of 8%. Plan assets of the Pension Plan consist primarily of equity securities, U.S. government obligations, mutual funds and insurance contracts.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Retirement Plan</w:t>
      </w:r>
    </w:p>
    <w:p>
      <w:pPr>
        <w:spacing w:after="0" w:line="1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connection with the Casual Male acquisition, the Company also assumed the liability of the Casual Male Supplemental Retirement Plan (the “Supplemental Plan”).</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Supplemental Plan’s funded status at February 1, 2003:</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auto"/>
        </w:rPr>
        <w:t>Change in benefit obligation</w:t>
      </w: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May 14,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Benefits and expenses paid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and interest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February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auto"/>
        </w:rPr>
        <w:t>Change in fair value of plan asset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May 14,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Employer contributions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Benefits and expenses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February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Projected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411</w:t>
      </w:r>
    </w:p>
    <w:p>
      <w:pPr>
        <w:spacing w:after="0" w:line="15"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(7)</w:t>
      </w:r>
    </w:p>
    <w:p>
      <w:pPr>
        <w:spacing w:after="0" w:line="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2317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2317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317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162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260" w:space="720"/>
            <w:col w:w="440"/>
          </w:cols>
          <w:pgMar w:left="240" w:top="459" w:right="2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5"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During fiscal 2003, in addition to the Company’s existing defined contribution 401(k) plan, the Company assumed two additional defined contribution plans as a result of the Casual Male acquisition in May 2002. All three plans were merged into one defined contribution 401(k) plan for all employees on January 1, 2003.</w:t>
      </w:r>
    </w:p>
    <w:p>
      <w:pPr>
        <w:spacing w:after="0" w:line="7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401(k) plan covers all eligible employees who have completed six months of service. Under this plan, the Company may provide matching contributions up to a stipulated percentage of employee contributions. The expenses of the plan are fully funded by the Company; and the matching contribution, if any, is established each year by the Board of Directors. For fiscal 2003, the matching contribution by the Company was set at 50% of contributions by eligible employees up to a maximum of 6% of salary.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$385,355, $137,000 and $159,000 of expense under this plan in fiscal 2003, 2002 and 2001, respectively.</w:t>
      </w:r>
    </w:p>
    <w:p>
      <w:pPr>
        <w:spacing w:after="0" w:line="158" w:lineRule="exact"/>
        <w:rPr>
          <w:sz w:val="20"/>
          <w:szCs w:val="20"/>
          <w:color w:val="auto"/>
        </w:rPr>
      </w:pPr>
    </w:p>
    <w:p>
      <w:pPr>
        <w:ind w:left="300" w:hanging="287"/>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CHARGES AND DISCONTINUED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Charges</w:t>
      </w:r>
    </w:p>
    <w:p>
      <w:pPr>
        <w:spacing w:after="0" w:line="15"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During Fiscal 2003, as a result of the continued erosion of the Levi Strauss &amp; Co. brands in the marketplace and Levi Strauss &amp; Co.’s inability to provide the Company with a balanced assortment of products for the Company’s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(the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the Company implemented an aggressive plan to downsize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eventually exiting it completely. Under the plan, the Company plans to close between 50 to 55 stores over the next 24 months, thereby reducing the sales base of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 to less than 10% of the Company’s total sales. The Company expects that its remaining 30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will either be closed at the end of their respective lease terms, or otherwise be divested in a sales transaction. In spite of continuing sales erosion, the Company expects the remaining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to generate positive cash flow while the stores remain open.</w:t>
      </w:r>
    </w:p>
    <w:p>
      <w:pPr>
        <w:spacing w:after="0" w:line="14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January 2002, the Company entered into a license agreement with Candie’s, Inc. (“Candie’s”), a leading designer and marketer of young women’s footwear, apparel and accessories. This license agreement entitled the Company to the exclusive rights to open and operate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branded stores in outlet malls and value centers throughout the United States and Puerto Rico so long as the Company opened the requisite number of outlet stores per year, and reached 75 outlet stores in five years. However, based on the operating results of the twelve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that the Company had opened through the end of fiscal 2003, the Company decided to exit the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 by transferring to</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Candies, Inc. the operations of 7 of the 12 stores for the next 12 to 18 months, after which time, Candie’s, Inc. will either purchase the stores from the Company or close the stores. The Company plans to convert four of the five stores remaining to either its Casual Male or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 concepts during fiscal 2004.</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Company’s decision to exit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and its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business, in the second and fourth quarters of fiscal 2003, the</w:t>
      </w:r>
    </w:p>
    <w:p>
      <w:pPr>
        <w:spacing w:after="0"/>
        <w:rPr>
          <w:sz w:val="20"/>
          <w:szCs w:val="20"/>
          <w:color w:val="auto"/>
        </w:rPr>
      </w:pPr>
      <w:r>
        <w:rPr>
          <w:rFonts w:ascii="Arial" w:cs="Arial" w:eastAsia="Arial" w:hAnsi="Arial"/>
          <w:sz w:val="18"/>
          <w:szCs w:val="18"/>
          <w:color w:val="auto"/>
        </w:rPr>
        <w:t>Company recorded a total of $41.3 million in restructuring charges, summarized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550" w:type="dxa"/>
            <w:vAlign w:val="bottom"/>
          </w:tcPr>
          <w:p>
            <w:pPr>
              <w:jc w:val="right"/>
              <w:ind w:right="174"/>
              <w:spacing w:after="0"/>
              <w:rPr>
                <w:sz w:val="20"/>
                <w:szCs w:val="20"/>
                <w:color w:val="auto"/>
              </w:rPr>
            </w:pPr>
            <w:r>
              <w:rPr>
                <w:rFonts w:ascii="Arial" w:cs="Arial" w:eastAsia="Arial" w:hAnsi="Arial"/>
                <w:sz w:val="14"/>
                <w:szCs w:val="14"/>
                <w:b w:val="1"/>
                <w:bCs w:val="1"/>
                <w:color w:val="auto"/>
              </w:rPr>
              <w:t>Q2</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Q4</w:t>
            </w:r>
          </w:p>
        </w:tc>
        <w:tc>
          <w:tcPr>
            <w:tcW w:w="1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74"/>
        </w:trPr>
        <w:tc>
          <w:tcPr>
            <w:tcW w:w="84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Components of charges (in millions)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Fiscal 2003</w:t>
            </w:r>
          </w:p>
        </w:tc>
        <w:tc>
          <w:tcPr>
            <w:tcW w:w="340" w:type="dxa"/>
            <w:vAlign w:val="bottom"/>
          </w:tcPr>
          <w:p>
            <w:pPr>
              <w:spacing w:after="0"/>
              <w:rPr>
                <w:sz w:val="15"/>
                <w:szCs w:val="15"/>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Fiscal 2003</w:t>
            </w: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Restructuring</w:t>
            </w:r>
          </w:p>
        </w:tc>
        <w:tc>
          <w:tcPr>
            <w:tcW w:w="0" w:type="dxa"/>
            <w:vAlign w:val="bottom"/>
          </w:tcPr>
          <w:p>
            <w:pPr>
              <w:spacing w:after="0"/>
              <w:rPr>
                <w:sz w:val="1"/>
                <w:szCs w:val="1"/>
                <w:color w:val="auto"/>
              </w:rPr>
            </w:pPr>
          </w:p>
        </w:tc>
      </w:tr>
      <w:tr>
        <w:trPr>
          <w:trHeight w:val="95"/>
        </w:trPr>
        <w:tc>
          <w:tcPr>
            <w:tcW w:w="8460" w:type="dxa"/>
            <w:vAlign w:val="bottom"/>
            <w:gridSpan w:val="2"/>
            <w:vMerge w:val="continue"/>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8460" w:type="dxa"/>
            <w:vAlign w:val="bottom"/>
            <w:gridSpan w:val="2"/>
            <w:vMerge w:val="continue"/>
          </w:tcPr>
          <w:p>
            <w:pPr>
              <w:spacing w:after="0"/>
              <w:rPr>
                <w:sz w:val="8"/>
                <w:szCs w:val="8"/>
                <w:color w:val="auto"/>
              </w:rPr>
            </w:pPr>
          </w:p>
        </w:tc>
        <w:tc>
          <w:tcPr>
            <w:tcW w:w="13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3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Inventory markdowns</w:t>
            </w:r>
          </w:p>
        </w:tc>
        <w:tc>
          <w:tcPr>
            <w:tcW w:w="130" w:type="dxa"/>
            <w:vAlign w:val="bottom"/>
          </w:tcPr>
          <w:p>
            <w:pPr>
              <w:jc w:val="right"/>
              <w:ind w:right="18"/>
              <w:spacing w:after="0"/>
              <w:rPr>
                <w:sz w:val="20"/>
                <w:szCs w:val="20"/>
                <w:color w:val="auto"/>
              </w:rPr>
            </w:pPr>
            <w:r>
              <w:rPr>
                <w:rFonts w:ascii="Arial" w:cs="Arial" w:eastAsia="Arial" w:hAnsi="Arial"/>
                <w:sz w:val="10"/>
                <w:szCs w:val="10"/>
                <w:color w:val="auto"/>
                <w:w w:val="71"/>
              </w:rPr>
              <w:t>$</w:t>
            </w:r>
          </w:p>
        </w:tc>
        <w:tc>
          <w:tcPr>
            <w:tcW w:w="55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impairment and store closing:</w:t>
            </w:r>
          </w:p>
        </w:tc>
        <w:tc>
          <w:tcPr>
            <w:tcW w:w="13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Impairment of assets</w:t>
            </w:r>
          </w:p>
        </w:tc>
        <w:tc>
          <w:tcPr>
            <w:tcW w:w="130" w:type="dxa"/>
            <w:vAlign w:val="bottom"/>
          </w:tcPr>
          <w:p>
            <w:pPr>
              <w:jc w:val="right"/>
              <w:ind w:right="18"/>
              <w:spacing w:after="0"/>
              <w:rPr>
                <w:sz w:val="20"/>
                <w:szCs w:val="20"/>
                <w:color w:val="auto"/>
              </w:rPr>
            </w:pPr>
            <w:r>
              <w:rPr>
                <w:rFonts w:ascii="Arial" w:cs="Arial" w:eastAsia="Arial" w:hAnsi="Arial"/>
                <w:sz w:val="10"/>
                <w:szCs w:val="10"/>
                <w:color w:val="auto"/>
                <w:w w:val="71"/>
              </w:rPr>
              <w:t>$</w:t>
            </w:r>
          </w:p>
        </w:tc>
        <w:tc>
          <w:tcPr>
            <w:tcW w:w="550" w:type="dxa"/>
            <w:vAlign w:val="bottom"/>
          </w:tcPr>
          <w:p>
            <w:pPr>
              <w:jc w:val="right"/>
              <w:spacing w:after="0"/>
              <w:rPr>
                <w:sz w:val="20"/>
                <w:szCs w:val="20"/>
                <w:color w:val="auto"/>
              </w:rPr>
            </w:pPr>
            <w:r>
              <w:rPr>
                <w:rFonts w:ascii="Arial" w:cs="Arial" w:eastAsia="Arial" w:hAnsi="Arial"/>
                <w:sz w:val="18"/>
                <w:szCs w:val="18"/>
                <w:color w:val="auto"/>
              </w:rPr>
              <w:t>6.8</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accrued liabilities</w:t>
            </w:r>
          </w:p>
        </w:tc>
        <w:tc>
          <w:tcPr>
            <w:tcW w:w="13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30" w:type="dxa"/>
            <w:vAlign w:val="bottom"/>
          </w:tcPr>
          <w:p>
            <w:pPr>
              <w:spacing w:after="0"/>
              <w:rPr>
                <w:sz w:val="19"/>
                <w:szCs w:val="19"/>
                <w:color w:val="auto"/>
              </w:rPr>
            </w:pPr>
          </w:p>
        </w:tc>
        <w:tc>
          <w:tcPr>
            <w:tcW w:w="550" w:type="dxa"/>
            <w:vAlign w:val="bottom"/>
          </w:tcPr>
          <w:p>
            <w:pPr>
              <w:spacing w:after="0"/>
              <w:rPr>
                <w:sz w:val="19"/>
                <w:szCs w:val="19"/>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charge included in continued operations</w:t>
            </w:r>
          </w:p>
        </w:tc>
        <w:tc>
          <w:tcPr>
            <w:tcW w:w="130" w:type="dxa"/>
            <w:vAlign w:val="bottom"/>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3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Inventory liquidation</w:t>
            </w:r>
          </w:p>
        </w:tc>
        <w:tc>
          <w:tcPr>
            <w:tcW w:w="130" w:type="dxa"/>
            <w:vAlign w:val="bottom"/>
          </w:tcPr>
          <w:p>
            <w:pPr>
              <w:jc w:val="right"/>
              <w:ind w:right="18"/>
              <w:spacing w:after="0"/>
              <w:rPr>
                <w:sz w:val="20"/>
                <w:szCs w:val="20"/>
                <w:color w:val="auto"/>
              </w:rPr>
            </w:pPr>
            <w:r>
              <w:rPr>
                <w:rFonts w:ascii="Arial" w:cs="Arial" w:eastAsia="Arial" w:hAnsi="Arial"/>
                <w:sz w:val="10"/>
                <w:szCs w:val="10"/>
                <w:color w:val="auto"/>
                <w:w w:val="71"/>
              </w:rPr>
              <w:t>$</w:t>
            </w:r>
          </w:p>
        </w:tc>
        <w:tc>
          <w:tcPr>
            <w:tcW w:w="55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 of assets</w:t>
            </w:r>
          </w:p>
        </w:tc>
        <w:tc>
          <w:tcPr>
            <w:tcW w:w="13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charge included in discontinued operations</w:t>
            </w:r>
          </w:p>
        </w:tc>
        <w:tc>
          <w:tcPr>
            <w:tcW w:w="130" w:type="dxa"/>
            <w:vAlign w:val="bottom"/>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restructuring charges</w:t>
            </w:r>
          </w:p>
        </w:tc>
        <w:tc>
          <w:tcPr>
            <w:tcW w:w="130" w:type="dxa"/>
            <w:vAlign w:val="bottom"/>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45021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second quarter charge of approximately $11.1 million related to the Company’s decision to downsize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also included costs to integrate the newly acquired Casual Male business with the existing businesses of the Company. Of the $11.1 million, approximately $7.5 million related to the downsizing of the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the remaining $3.6 million was integration costs associated with the combination of the Casual Male and Designs businesses. In the fourth quarter of fiscal 2003, the Company accelerated its plan to downsize the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also to transfer its operations of the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to Candies, Inc. Accordingly, the Company recorded an additional charge in the fourth quarter of approximately $30.2 million.</w:t>
      </w:r>
    </w:p>
    <w:p>
      <w:pPr>
        <w:spacing w:after="0" w:line="146"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Of the total restructuring charges of $41.3 million: i) $7.8 million relates to the 20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stores closed and the exiting of its Candie’s business during fiscal 2003 and therefore, pursuant to SFAS No. 144, are included in loss from discontinued operations; ii) $25.5 million relates to the future closing of the balance of the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stores and integration costs associated with combining the Casual Male business with the Company and, pursuant to SFAS No. 144, are included in loss from continuing operations; and iii) $8.0 million relates to the impairment of certain tax assets, which is shown under Provision for income taxes. The impairment of the Company’s tax assets does not affect its ability to utilize the $49.5 million federal net operating loss carryforwards to offset future taxable income, subject to certain annual limitations.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for 2003 resulted in a loss of $8.1 million compared to net income of $1.6 million in fiscal 2002 and net income of $1.2 million (net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$0.8 million for income taxes) in fiscal 2001. Due to the consolidated loss for the Company in fiscal 2003 and 2002, no tax benefit or provision was realized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for either year. Included in discontinued operations are the results of operations for fiscal 2003, 2002 and 2001 of the 20</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which were closed in fiscal 2003 and the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 business, which the Company has exited. Below is a summary of</w:t>
      </w:r>
    </w:p>
    <w:p>
      <w:pPr>
        <w:spacing w:after="0"/>
        <w:rPr>
          <w:sz w:val="20"/>
          <w:szCs w:val="20"/>
          <w:color w:val="auto"/>
        </w:rPr>
      </w:pPr>
      <w:r>
        <w:rPr>
          <w:rFonts w:ascii="Arial" w:cs="Arial" w:eastAsia="Arial" w:hAnsi="Arial"/>
          <w:sz w:val="18"/>
          <w:szCs w:val="18"/>
          <w:color w:val="auto"/>
        </w:rPr>
        <w:t>the results of operations for these closed stores for the past three fiscal years: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6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2003</w:t>
            </w:r>
          </w:p>
        </w:tc>
        <w:tc>
          <w:tcPr>
            <w:tcW w:w="2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Fiscal 2002</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Fiscal 2001</w:t>
            </w:r>
          </w:p>
        </w:tc>
        <w:tc>
          <w:tcPr>
            <w:tcW w:w="0" w:type="dxa"/>
            <w:vAlign w:val="bottom"/>
          </w:tcPr>
          <w:p>
            <w:pPr>
              <w:spacing w:after="0"/>
              <w:rPr>
                <w:sz w:val="1"/>
                <w:szCs w:val="1"/>
                <w:color w:val="auto"/>
              </w:rPr>
            </w:pPr>
          </w:p>
        </w:tc>
      </w:tr>
      <w:tr>
        <w:trPr>
          <w:trHeight w:val="95"/>
        </w:trPr>
        <w:tc>
          <w:tcPr>
            <w:tcW w:w="8660" w:type="dxa"/>
            <w:vAlign w:val="bottom"/>
            <w:vMerge w:val="continue"/>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660" w:type="dxa"/>
            <w:vAlign w:val="bottom"/>
            <w:vMerge w:val="continue"/>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0"/>
              <w:spacing w:after="0"/>
              <w:rPr>
                <w:sz w:val="20"/>
                <w:szCs w:val="20"/>
                <w:color w:val="auto"/>
              </w:rPr>
            </w:pPr>
            <w:r>
              <w:rPr>
                <w:rFonts w:ascii="Arial" w:cs="Arial" w:eastAsia="Arial" w:hAnsi="Arial"/>
                <w:sz w:val="18"/>
                <w:szCs w:val="18"/>
                <w:color w:val="auto"/>
              </w:rPr>
              <w:t>Gross Profit, net of occupancy costs (1)</w:t>
            </w:r>
          </w:p>
        </w:tc>
        <w:tc>
          <w:tcPr>
            <w:tcW w:w="150" w:type="dxa"/>
            <w:vAlign w:val="bottom"/>
          </w:tcPr>
          <w:p>
            <w:pPr>
              <w:spacing w:after="0"/>
              <w:rPr>
                <w:sz w:val="18"/>
                <w:szCs w:val="18"/>
                <w:color w:val="auto"/>
              </w:rPr>
            </w:pPr>
          </w:p>
        </w:tc>
        <w:tc>
          <w:tcPr>
            <w:tcW w:w="91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15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5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66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5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50" w:type="dxa"/>
            <w:vAlign w:val="bottom"/>
          </w:tcPr>
          <w:p>
            <w:pPr>
              <w:spacing w:after="0"/>
              <w:rPr>
                <w:sz w:val="19"/>
                <w:szCs w:val="19"/>
                <w:color w:val="auto"/>
              </w:rPr>
            </w:pPr>
          </w:p>
        </w:tc>
        <w:tc>
          <w:tcPr>
            <w:tcW w:w="91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6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660" w:type="dxa"/>
            <w:vAlign w:val="bottom"/>
          </w:tcPr>
          <w:p>
            <w:pPr>
              <w:spacing w:after="0"/>
              <w:rPr>
                <w:sz w:val="8"/>
                <w:szCs w:val="8"/>
                <w:color w:val="auto"/>
              </w:rPr>
            </w:pPr>
          </w:p>
        </w:tc>
        <w:tc>
          <w:tcPr>
            <w:tcW w:w="150" w:type="dxa"/>
            <w:vAlign w:val="bottom"/>
          </w:tcPr>
          <w:p>
            <w:pPr>
              <w:spacing w:after="0"/>
              <w:rPr>
                <w:sz w:val="8"/>
                <w:szCs w:val="8"/>
                <w:color w:val="auto"/>
              </w:rPr>
            </w:pPr>
          </w:p>
        </w:tc>
        <w:tc>
          <w:tcPr>
            <w:tcW w:w="51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discontinued operations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1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66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360" w:hanging="347"/>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CASUAL MALE ACQUISITION</w:t>
      </w:r>
    </w:p>
    <w:p>
      <w:pPr>
        <w:spacing w:after="0" w:line="15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May 14, 2002, pursuant to an asset purchase agreement entered into as of May 2, 2002, the Company completed its acquisition of the Casual Male business from Casual Male Corp. for a purchase price of approximately $170 million, plus the assumption of certain operating liabilities. The Company was selected as the highest and best bidder for the Casual Male assets at a bankruptcy court ordered auction commencing on May 1, 2002 and concluding on May 2, 2002. The U.S. Bankruptcy Court for the Southern District of New York subsequently granted its approval of the acquisition on May 7, 2002.</w:t>
      </w:r>
    </w:p>
    <w:p>
      <w:pPr>
        <w:spacing w:after="0" w:line="99"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Casual Male, which was a leading independent specialty retailer of fashion, casual and dress apparel for big and tall men, had annual sales that exceeded $350 million. Casual Male sold its branded merchandise through various channels of distribution including full price and outlet retail stores, direct mail and the internet. Casual Male had been operating under the protection of the U.S. Bankruptcy Court since May 2001.</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terms of the asset purchase agreement, the Company acquired substantially all of the assets of Casual Male Corp. and certain of its subsidiaries including, but not limited to, the inventory and fixed assets of approximately 475 retail store locations and various intellectual property. In addition, the Company assumed certain operating liabilities including, but not limited to, existing retail store lease arrangements and the existing mortgage for Casual Male’s corporate headquarters located in Canton, Massachusetts.</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allocation of purchase price as disclosed by the Company in the third quarter of fiscal 2003 has been adjusted to reflect the results of certain asset valuations which were completed during the fourth quarter of fiscal 2003. The revised allocation of purchase price as of February 1, 2003 (subject to further adjustments)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0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Debit (credit)</w:t>
            </w:r>
          </w:p>
        </w:tc>
      </w:tr>
      <w:tr>
        <w:trPr>
          <w:trHeight w:val="174"/>
        </w:trPr>
        <w:tc>
          <w:tcPr>
            <w:tcW w:w="105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r>
      <w:tr>
        <w:trPr>
          <w:trHeight w:val="95"/>
        </w:trPr>
        <w:tc>
          <w:tcPr>
            <w:tcW w:w="10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10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10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1,397</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Merchandise inventory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70,968</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2,129</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52,862</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3,424</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50,698</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ind w:left="20"/>
              <w:spacing w:after="0"/>
              <w:rPr>
                <w:sz w:val="20"/>
                <w:szCs w:val="20"/>
                <w:color w:val="auto"/>
              </w:rPr>
            </w:pPr>
            <w:r>
              <w:rPr>
                <w:rFonts w:ascii="Arial" w:cs="Arial" w:eastAsia="Arial" w:hAnsi="Arial"/>
                <w:sz w:val="18"/>
                <w:szCs w:val="18"/>
                <w:color w:val="auto"/>
              </w:rPr>
              <w:t>Casual Male trademark</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29,200</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lists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(23,209)</w:t>
            </w:r>
          </w:p>
        </w:tc>
      </w:tr>
      <w:tr>
        <w:trPr>
          <w:trHeight w:val="216"/>
        </w:trPr>
        <w:tc>
          <w:tcPr>
            <w:tcW w:w="10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(6,862)</w:t>
            </w:r>
          </w:p>
        </w:tc>
      </w:tr>
      <w:tr>
        <w:trPr>
          <w:trHeight w:val="216"/>
        </w:trPr>
        <w:tc>
          <w:tcPr>
            <w:tcW w:w="10500" w:type="dxa"/>
            <w:vAlign w:val="bottom"/>
          </w:tcPr>
          <w:p>
            <w:pPr>
              <w:ind w:left="20"/>
              <w:spacing w:after="0"/>
              <w:rPr>
                <w:sz w:val="20"/>
                <w:szCs w:val="20"/>
                <w:color w:val="auto"/>
              </w:rPr>
            </w:pPr>
            <w:r>
              <w:rPr>
                <w:rFonts w:ascii="Arial" w:cs="Arial" w:eastAsia="Arial" w:hAnsi="Arial"/>
                <w:sz w:val="18"/>
                <w:szCs w:val="18"/>
                <w:color w:val="auto"/>
              </w:rPr>
              <w:t>Accrual for estimated transaction and severance costs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(9,248)</w:t>
            </w:r>
          </w:p>
        </w:tc>
      </w:tr>
      <w:tr>
        <w:trPr>
          <w:trHeight w:val="216"/>
        </w:trPr>
        <w:tc>
          <w:tcPr>
            <w:tcW w:w="10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note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(12,151)</w:t>
            </w:r>
          </w:p>
        </w:tc>
      </w:tr>
      <w:tr>
        <w:trPr>
          <w:trHeight w:val="108"/>
        </w:trPr>
        <w:tc>
          <w:tcPr>
            <w:tcW w:w="10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10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10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paid for assets acquired and liabilities assumed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161,001</w:t>
            </w:r>
          </w:p>
        </w:tc>
        <w:tc>
          <w:tcPr>
            <w:tcW w:w="80" w:type="dxa"/>
            <w:vAlign w:val="bottom"/>
            <w:shd w:val="clear" w:color="auto" w:fill="CCEEFF"/>
          </w:tcPr>
          <w:p>
            <w:pPr>
              <w:spacing w:after="0"/>
              <w:rPr>
                <w:sz w:val="18"/>
                <w:szCs w:val="18"/>
                <w:color w:val="auto"/>
              </w:rPr>
            </w:pPr>
          </w:p>
        </w:tc>
      </w:tr>
      <w:tr>
        <w:trPr>
          <w:trHeight w:val="132"/>
        </w:trPr>
        <w:tc>
          <w:tcPr>
            <w:tcW w:w="10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Casual Male acquisition, along with the payment of certain related fees and expenses, was completed with funds provided by: (i) approximately $30.2 million in additional borrowings from the Company’s amended three-year $120.0 million senior secured credit facility with the Company’s bank, Fleet Retail Finance, Inc., (ii) $15.0 million from a three-year term loan with a subsidiary of Fleet Retail Finance Inc., (iii) proceeds from the private placement of $24.5 million</w:t>
      </w:r>
    </w:p>
    <w:p>
      <w:pPr>
        <w:sectPr>
          <w:pgSz w:w="11900" w:h="16838" w:orient="portrait"/>
          <w:cols w:equalWidth="0" w:num="1">
            <w:col w:w="11420"/>
          </w:cols>
          <w:pgMar w:left="240" w:top="459" w:right="239" w:bottom="144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jc w:val="both"/>
        <w:ind w:right="160"/>
        <w:spacing w:after="0" w:line="291" w:lineRule="auto"/>
        <w:rPr>
          <w:sz w:val="20"/>
          <w:szCs w:val="20"/>
          <w:color w:val="auto"/>
        </w:rPr>
      </w:pPr>
      <w:r>
        <w:rPr>
          <w:rFonts w:ascii="Arial" w:cs="Arial" w:eastAsia="Arial" w:hAnsi="Arial"/>
          <w:sz w:val="16"/>
          <w:szCs w:val="16"/>
          <w:color w:val="auto"/>
        </w:rPr>
        <w:t>principal amount of 12% senior subordinated notes due 2007 together with detachable warrants to acquire 1,715,000 shares of the Company’s common stock at an exercise price of $.01 per share, and additional detachable warrants to acquire 1,176,471 shares of common stock at an exercise price of $8.50 per share, (iv) proceeds from the private placement of $11.0 million principal amount of 5% senior subordinated notes due 2007, (v) approximately $82.5 million of proceeds from the private placement of approximately 1.4 million shares of common stock and 180,162 shares of newly designated Series B Convertible Preferred Stock, par value $0.01 per share (which shares were automatically converted on August 8, 2002 into 18,016,200 shares of common stock), and (vi) the assumption of a mortgage note in the principal amount of approximately $12.2 million.</w:t>
      </w:r>
    </w:p>
    <w:p>
      <w:pPr>
        <w:spacing w:after="0" w:line="10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Below are the unaudited pro forma results for the fiscal year ended February 1, 2003, assuming that the Casual Male acquisition had occurred on February 3, 2002, and the unaudited pro forma results for the fiscal year ended February 2, 2002, assuming that the acquisition had occurred on February 4, 2001: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Casual Male</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77"/>
              </w:rPr>
              <w:t>Designs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5"/>
          </w:tcPr>
          <w:p>
            <w:pPr>
              <w:ind w:left="400"/>
              <w:spacing w:after="0"/>
              <w:rPr>
                <w:sz w:val="20"/>
                <w:szCs w:val="20"/>
                <w:color w:val="auto"/>
              </w:rPr>
            </w:pPr>
            <w:r>
              <w:rPr>
                <w:rFonts w:ascii="Arial" w:cs="Arial" w:eastAsia="Arial" w:hAnsi="Arial"/>
                <w:sz w:val="14"/>
                <w:szCs w:val="14"/>
                <w:b w:val="1"/>
                <w:bCs w:val="1"/>
                <w:color w:val="auto"/>
              </w:rPr>
              <w:t>Total Consolidated</w:t>
            </w:r>
          </w:p>
        </w:tc>
        <w:tc>
          <w:tcPr>
            <w:tcW w:w="0" w:type="dxa"/>
            <w:vAlign w:val="bottom"/>
          </w:tcPr>
          <w:p>
            <w:pPr>
              <w:spacing w:after="0"/>
              <w:rPr>
                <w:sz w:val="1"/>
                <w:szCs w:val="1"/>
                <w:color w:val="auto"/>
              </w:rPr>
            </w:pPr>
          </w:p>
        </w:tc>
      </w:tr>
      <w:tr>
        <w:trPr>
          <w:trHeight w:val="298"/>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w:t>
            </w:r>
          </w:p>
        </w:tc>
        <w:tc>
          <w:tcPr>
            <w:tcW w:w="17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2/1/03</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2/2/02</w:t>
            </w:r>
            <w:r>
              <w:rPr>
                <w:rFonts w:ascii="Arial" w:cs="Arial" w:eastAsia="Arial" w:hAnsi="Arial"/>
                <w:sz w:val="22"/>
                <w:szCs w:val="22"/>
                <w:b w:val="1"/>
                <w:bCs w:val="1"/>
                <w:color w:val="auto"/>
                <w:vertAlign w:val="superscript"/>
              </w:rPr>
              <w:t>(1)</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2/1/03</w:t>
            </w:r>
            <w:r>
              <w:rPr>
                <w:rFonts w:ascii="Arial" w:cs="Arial" w:eastAsia="Arial" w:hAnsi="Arial"/>
                <w:sz w:val="22"/>
                <w:szCs w:val="22"/>
                <w:b w:val="1"/>
                <w:bCs w:val="1"/>
                <w:color w:val="auto"/>
                <w:vertAlign w:val="superscript"/>
              </w:rPr>
              <w:t>(2)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w w:val="97"/>
              </w:rPr>
              <w:t>2/2/02</w:t>
            </w:r>
          </w:p>
        </w:tc>
        <w:tc>
          <w:tcPr>
            <w:tcW w:w="320" w:type="dxa"/>
            <w:vAlign w:val="bottom"/>
          </w:tcPr>
          <w:p>
            <w:pPr>
              <w:spacing w:after="0"/>
              <w:rPr>
                <w:sz w:val="24"/>
                <w:szCs w:val="24"/>
                <w:color w:val="auto"/>
              </w:rPr>
            </w:pPr>
          </w:p>
        </w:tc>
        <w:tc>
          <w:tcPr>
            <w:tcW w:w="740" w:type="dxa"/>
            <w:vAlign w:val="bottom"/>
          </w:tcPr>
          <w:p>
            <w:pPr>
              <w:jc w:val="right"/>
              <w:ind w:right="118"/>
              <w:spacing w:after="0"/>
              <w:rPr>
                <w:sz w:val="20"/>
                <w:szCs w:val="20"/>
                <w:color w:val="auto"/>
              </w:rPr>
            </w:pPr>
            <w:r>
              <w:rPr>
                <w:rFonts w:ascii="Arial" w:cs="Arial" w:eastAsia="Arial" w:hAnsi="Arial"/>
                <w:sz w:val="14"/>
                <w:szCs w:val="14"/>
                <w:b w:val="1"/>
                <w:bCs w:val="1"/>
                <w:color w:val="auto"/>
              </w:rPr>
              <w:t>2/1/03</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w w:val="97"/>
              </w:rPr>
              <w:t>2/2/02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9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(Unaudited, in millions)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Sales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   329.2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332.4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155.7</w:t>
            </w:r>
          </w:p>
        </w:tc>
        <w:tc>
          <w:tcPr>
            <w:tcW w:w="2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174.1</w:t>
            </w:r>
          </w:p>
        </w:tc>
        <w:tc>
          <w:tcPr>
            <w:tcW w:w="740" w:type="dxa"/>
            <w:vAlign w:val="bottom"/>
          </w:tcPr>
          <w:p>
            <w:pPr>
              <w:jc w:val="right"/>
              <w:spacing w:after="0"/>
              <w:rPr>
                <w:sz w:val="20"/>
                <w:szCs w:val="20"/>
                <w:color w:val="auto"/>
              </w:rPr>
            </w:pPr>
            <w:r>
              <w:rPr>
                <w:rFonts w:ascii="Arial" w:cs="Arial" w:eastAsia="Arial" w:hAnsi="Arial"/>
                <w:sz w:val="18"/>
                <w:szCs w:val="18"/>
                <w:color w:val="auto"/>
              </w:rPr>
              <w:t>$   484.9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35.9</w:t>
            </w:r>
          </w:p>
        </w:tc>
        <w:tc>
          <w:tcPr>
            <w:tcW w:w="740" w:type="dxa"/>
            <w:vAlign w:val="bottom"/>
          </w:tcPr>
          <w:p>
            <w:pPr>
              <w:jc w:val="right"/>
              <w:spacing w:after="0"/>
              <w:rPr>
                <w:sz w:val="20"/>
                <w:szCs w:val="20"/>
                <w:color w:val="auto"/>
              </w:rPr>
            </w:pPr>
            <w:r>
              <w:rPr>
                <w:rFonts w:ascii="Arial" w:cs="Arial" w:eastAsia="Arial" w:hAnsi="Arial"/>
                <w:sz w:val="18"/>
                <w:szCs w:val="18"/>
                <w:color w:val="auto"/>
              </w:rPr>
              <w:t>150.4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3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to eliminate the results of operations for closed store locations, which were not purchased by the Company.</w:t>
      </w:r>
    </w:p>
    <w:p>
      <w:pPr>
        <w:spacing w:after="0" w:line="15" w:lineRule="exact"/>
        <w:rPr>
          <w:rFonts w:ascii="Arial" w:cs="Arial" w:eastAsia="Arial" w:hAnsi="Arial"/>
          <w:sz w:val="18"/>
          <w:szCs w:val="18"/>
          <w:color w:val="auto"/>
        </w:rPr>
      </w:pPr>
    </w:p>
    <w:p>
      <w:pPr>
        <w:ind w:left="460" w:right="80" w:hanging="452"/>
        <w:spacing w:after="0" w:line="22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the impact of restructuring charges totaling $41.3 million related to the downsizing of the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which were recorded by the Company during the second and fourth quarters of fiscal 2003.</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Below are the unaudited quarterly pro forma results for only the Casual Male business assuming that the acquisition had occurred on February 3, 2002 and February 4, 2001, respectively: Certain pro forma information has been adjusted from quarterly pro forma information filed by the Company during the second quarter and third quarter to reflect adjustments to the pre-acquisition Casual Male results.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First Quarter</w:t>
            </w:r>
          </w:p>
        </w:tc>
        <w:tc>
          <w:tcPr>
            <w:tcW w:w="80" w:type="dxa"/>
            <w:vAlign w:val="bottom"/>
          </w:tcPr>
          <w:p>
            <w:pPr>
              <w:spacing w:after="0"/>
              <w:rPr>
                <w:sz w:val="14"/>
                <w:szCs w:val="14"/>
                <w:color w:val="auto"/>
              </w:rPr>
            </w:pPr>
          </w:p>
        </w:tc>
        <w:tc>
          <w:tcPr>
            <w:tcW w:w="13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7"/>
              </w:rPr>
              <w:t>Second Quarter</w:t>
            </w:r>
          </w:p>
        </w:tc>
        <w:tc>
          <w:tcPr>
            <w:tcW w:w="160" w:type="dxa"/>
            <w:vAlign w:val="bottom"/>
          </w:tcPr>
          <w:p>
            <w:pPr>
              <w:spacing w:after="0"/>
              <w:rPr>
                <w:sz w:val="14"/>
                <w:szCs w:val="14"/>
                <w:color w:val="auto"/>
              </w:rPr>
            </w:pPr>
          </w:p>
        </w:tc>
        <w:tc>
          <w:tcPr>
            <w:tcW w:w="14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6"/>
          </w:tcPr>
          <w:p>
            <w:pPr>
              <w:ind w:left="20"/>
              <w:spacing w:after="0"/>
              <w:rPr>
                <w:sz w:val="20"/>
                <w:szCs w:val="20"/>
                <w:color w:val="auto"/>
              </w:rPr>
            </w:pPr>
            <w:r>
              <w:rPr>
                <w:rFonts w:ascii="Arial" w:cs="Arial" w:eastAsia="Arial" w:hAnsi="Arial"/>
                <w:sz w:val="14"/>
                <w:szCs w:val="14"/>
                <w:b w:val="1"/>
                <w:bCs w:val="1"/>
                <w:color w:val="auto"/>
              </w:rPr>
              <w:t>Fourth Quarter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Annual</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3440" w:type="dxa"/>
            <w:vAlign w:val="bottom"/>
            <w:gridSpan w:val="2"/>
          </w:tcPr>
          <w:p>
            <w:pPr>
              <w:spacing w:after="0"/>
              <w:rPr>
                <w:sz w:val="20"/>
                <w:szCs w:val="20"/>
                <w:color w:val="auto"/>
              </w:rPr>
            </w:pPr>
            <w:r>
              <w:rPr>
                <w:rFonts w:ascii="Arial" w:cs="Arial" w:eastAsia="Arial" w:hAnsi="Arial"/>
                <w:sz w:val="14"/>
                <w:szCs w:val="14"/>
                <w:i w:val="1"/>
                <w:iCs w:val="1"/>
                <w:color w:val="auto"/>
              </w:rPr>
              <w:t>(Unaudited, in millions)</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5"/>
                <w:szCs w:val="15"/>
                <w:color w:val="auto"/>
              </w:rPr>
            </w:pPr>
          </w:p>
        </w:tc>
      </w:tr>
      <w:tr>
        <w:trPr>
          <w:trHeight w:val="95"/>
        </w:trPr>
        <w:tc>
          <w:tcPr>
            <w:tcW w:w="182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$80.3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94.8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98.9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329.2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332.4</w:t>
            </w:r>
          </w:p>
        </w:tc>
        <w:tc>
          <w:tcPr>
            <w:tcW w:w="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4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34.2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8"/>
                <w:szCs w:val="18"/>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rPr>
              <w:t>31.8</w:t>
            </w:r>
          </w:p>
        </w:tc>
        <w:tc>
          <w:tcPr>
            <w:tcW w:w="40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40.9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43.7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140.1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142.3</w:t>
            </w:r>
          </w:p>
        </w:tc>
        <w:tc>
          <w:tcPr>
            <w:tcW w:w="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27.9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33.8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116.0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123.3</w:t>
            </w:r>
          </w:p>
        </w:tc>
        <w:tc>
          <w:tcPr>
            <w:tcW w:w="60" w:type="dxa"/>
            <w:vAlign w:val="bottom"/>
            <w:shd w:val="clear" w:color="auto" w:fill="CCEEFF"/>
          </w:tcPr>
          <w:p>
            <w:pPr>
              <w:spacing w:after="0"/>
              <w:rPr>
                <w:sz w:val="18"/>
                <w:szCs w:val="18"/>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rPr>
              <w:t>1.5</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r>
      <w:tr>
        <w:trPr>
          <w:trHeight w:val="102"/>
        </w:trPr>
        <w:tc>
          <w:tcPr>
            <w:tcW w:w="1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rPr>
              <w:t>2.6</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102"/>
        </w:trPr>
        <w:tc>
          <w:tcPr>
            <w:tcW w:w="1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(2.9)</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(3.0)</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(0.3)</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 (1.7)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bl>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 forma results have been prepared based on available information, using assumptions that the Company’s management believes are reasonable. The results do not purport to represent the actual results of operations that would have occurred if the acquisition had occurred on the dates specified. The above results are also not necessarily indicative of the results that may be achieved in the future.</w:t>
      </w:r>
    </w:p>
    <w:p>
      <w:pPr>
        <w:spacing w:after="0" w:line="127" w:lineRule="exact"/>
        <w:rPr>
          <w:sz w:val="20"/>
          <w:szCs w:val="20"/>
          <w:color w:val="auto"/>
        </w:rPr>
      </w:pPr>
    </w:p>
    <w:p>
      <w:pPr>
        <w:ind w:left="340" w:hanging="327"/>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JOINT VENTURE</w:t>
      </w:r>
    </w:p>
    <w:p>
      <w:pPr>
        <w:spacing w:after="0" w:line="158"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During the first quarter of fiscal 2003, the Company entered into a joint venture with EcKo Complex, LLC (“EcKo”), a privately held company with worldwide annual sales exceeding $200 million, to open and operate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outlet stores throughout the United States. EcKo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 a leading design-driven lifestyle brand targeting young men and women.</w:t>
      </w:r>
    </w:p>
    <w:p>
      <w:pPr>
        <w:spacing w:after="0" w:line="11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Under its joint venture with EcKo, the Company, a 50.5% partner, would own and manage retail outlet stores bearing the name EcKo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Unltd. and featuring EcKo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branded merchandise. EcKo, a 49.5% partner, contributes to the joint venture the use of its trademark and the merchandise requirements, at cost, for the retail outlet stores. The Company contributes all real estate and operating requirements for the retail outlet stores, including but not limited to, the real estate leases, payroll needs and advertising. Each partner shares in the operating profits of the joint venture, after each partner has received reimbursement for cost contributions. Under the terms of the agreement, the Company must maintain a prescribed store opening schedule and open 75 stores over a six-year period in order to maintain the joint venture’s exclusivity. At certain times during the term of the agreement, the Company may exercise a put option to sell its share of the retail joint venture to EcKo, and EcKo has an option to acquire the Company’s share of the retail joint venture at a price based on the performance of the retail outlet stores.</w:t>
      </w:r>
    </w:p>
    <w:p>
      <w:pPr>
        <w:spacing w:after="0" w:line="132"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For financial reporting purposes, the joint venture’s assets, liabilities and results of operations are consolidated with those of the Company, and EcKo’s 49.5% ownership interest in the joint venture therefore is included in the Company’s consolidated financial statements as a minority interest. The joint venture operated six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which had sales for fiscal 2003 of $4.9 million.</w:t>
      </w:r>
    </w:p>
    <w:p>
      <w:pPr>
        <w:spacing w:after="0" w:line="38" w:lineRule="exact"/>
        <w:rPr>
          <w:sz w:val="20"/>
          <w:szCs w:val="20"/>
          <w:color w:val="auto"/>
        </w:rPr>
      </w:pPr>
    </w:p>
    <w:p>
      <w:pPr>
        <w:ind w:left="380" w:hanging="367"/>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Since the Casual Male acquisition in May 2002, the Company has operated its business under two reportable store segments: (i) the Casual Male business and (ii) Other Branded Apparel businesses.</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The Casual Male business: </w:t>
      </w:r>
      <w:r>
        <w:rPr>
          <w:rFonts w:ascii="Arial" w:cs="Arial" w:eastAsia="Arial" w:hAnsi="Arial"/>
          <w:sz w:val="18"/>
          <w:szCs w:val="18"/>
          <w:color w:val="auto"/>
        </w:rPr>
        <w:t>This group includes the Company’s 409 Casual Male Big &amp; Tall retail stores, 58 Casual Male Big &amp; Tall outlet stores,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catalog and e-commerce businesses.</w:t>
      </w:r>
    </w:p>
    <w:p>
      <w:pPr>
        <w:spacing w:after="0" w:line="118"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i w:val="1"/>
          <w:iCs w:val="1"/>
          <w:color w:val="auto"/>
        </w:rPr>
        <w:t>Other Branded Apparel businesses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This group includes the Company’s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EcKo Unltd.</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and Candie’s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w:t>
      </w:r>
    </w:p>
    <w:p>
      <w:pPr>
        <w:spacing w:after="0" w:line="146" w:lineRule="exact"/>
        <w:rPr>
          <w:sz w:val="20"/>
          <w:szCs w:val="20"/>
          <w:color w:val="auto"/>
        </w:rPr>
      </w:pPr>
    </w:p>
    <w:p>
      <w:pPr>
        <w:ind w:right="320"/>
        <w:spacing w:after="0" w:line="217" w:lineRule="auto"/>
        <w:rPr>
          <w:sz w:val="20"/>
          <w:szCs w:val="20"/>
          <w:color w:val="auto"/>
        </w:rPr>
      </w:pPr>
      <w:r>
        <w:rPr>
          <w:rFonts w:ascii="Arial" w:cs="Arial" w:eastAsia="Arial" w:hAnsi="Arial"/>
          <w:sz w:val="17"/>
          <w:szCs w:val="17"/>
          <w:color w:val="auto"/>
        </w:rPr>
        <w:t>As discussed above in Note J, the Company is in the process of exiting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 and has transferred the operations of its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to Candies, Inc. Accordingly, the results of operations for these stores are shown as discontinued operations.</w:t>
      </w:r>
    </w:p>
    <w:p>
      <w:pPr>
        <w:spacing w:after="0" w:line="144"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The accounting policies of the reportable segments are the same as those described in Note A. The Company evaluates individual store profitability in terms of a store’s “Operating Profit” which is defined by the Company as gross margin less occupancy costs, direct selling costs and an allocation of indirect selling costs.</w:t>
      </w:r>
    </w:p>
    <w:p>
      <w:pPr>
        <w:spacing w:after="0" w:line="4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Below are the results of operations on a segment basis for the fiscal year ending February 1, 2003. No segment reporting was necessary for fiscal 2002 and fiscal 2001 since the Casual Male business was not acquired until Fiscal 2003.</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Fiscal 2003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i w:val="1"/>
                <w:iCs w:val="1"/>
                <w:color w:val="auto"/>
                <w:w w:val="84"/>
              </w:rPr>
              <w:t>Casual Male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jc w:val="center"/>
              <w:ind w:right="340"/>
              <w:spacing w:after="0"/>
              <w:rPr>
                <w:sz w:val="20"/>
                <w:szCs w:val="20"/>
                <w:color w:val="auto"/>
              </w:rPr>
            </w:pPr>
            <w:r>
              <w:rPr>
                <w:rFonts w:ascii="Arial" w:cs="Arial" w:eastAsia="Arial" w:hAnsi="Arial"/>
                <w:sz w:val="14"/>
                <w:szCs w:val="14"/>
                <w:i w:val="1"/>
                <w:iCs w:val="1"/>
                <w:color w:val="auto"/>
                <w:w w:val="87"/>
              </w:rPr>
              <w:t>Other Branded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34"/>
              <w:spacing w:after="0"/>
              <w:rPr>
                <w:sz w:val="20"/>
                <w:szCs w:val="20"/>
                <w:color w:val="auto"/>
              </w:rPr>
            </w:pPr>
            <w:r>
              <w:rPr>
                <w:rFonts w:ascii="Arial" w:cs="Arial" w:eastAsia="Arial" w:hAnsi="Arial"/>
                <w:sz w:val="14"/>
                <w:szCs w:val="14"/>
                <w:i w:val="1"/>
                <w:iCs w:val="1"/>
                <w:color w:val="auto"/>
                <w:w w:val="80"/>
              </w:rPr>
              <w:t>Business</w:t>
            </w:r>
          </w:p>
        </w:tc>
        <w:tc>
          <w:tcPr>
            <w:tcW w:w="340" w:type="dxa"/>
            <w:vAlign w:val="bottom"/>
          </w:tcPr>
          <w:p>
            <w:pPr>
              <w:spacing w:after="0"/>
              <w:rPr>
                <w:sz w:val="14"/>
                <w:szCs w:val="14"/>
                <w:color w:val="auto"/>
              </w:rPr>
            </w:pPr>
          </w:p>
        </w:tc>
        <w:tc>
          <w:tcPr>
            <w:tcW w:w="1260" w:type="dxa"/>
            <w:vAlign w:val="bottom"/>
            <w:gridSpan w:val="6"/>
          </w:tcPr>
          <w:p>
            <w:pPr>
              <w:jc w:val="center"/>
              <w:ind w:right="260"/>
              <w:spacing w:after="0"/>
              <w:rPr>
                <w:sz w:val="20"/>
                <w:szCs w:val="20"/>
                <w:color w:val="auto"/>
              </w:rPr>
            </w:pPr>
            <w:r>
              <w:rPr>
                <w:rFonts w:ascii="Arial" w:cs="Arial" w:eastAsia="Arial" w:hAnsi="Arial"/>
                <w:sz w:val="14"/>
                <w:szCs w:val="14"/>
                <w:i w:val="1"/>
                <w:iCs w:val="1"/>
                <w:color w:val="auto"/>
                <w:w w:val="85"/>
              </w:rPr>
              <w:t>Outlet Businesses</w:t>
            </w:r>
          </w:p>
        </w:tc>
        <w:tc>
          <w:tcPr>
            <w:tcW w:w="1320" w:type="dxa"/>
            <w:vAlign w:val="bottom"/>
            <w:gridSpan w:val="7"/>
          </w:tcPr>
          <w:p>
            <w:pPr>
              <w:ind w:left="140"/>
              <w:spacing w:after="0"/>
              <w:rPr>
                <w:sz w:val="20"/>
                <w:szCs w:val="20"/>
                <w:color w:val="auto"/>
              </w:rPr>
            </w:pPr>
            <w:r>
              <w:rPr>
                <w:rFonts w:ascii="Arial" w:cs="Arial" w:eastAsia="Arial" w:hAnsi="Arial"/>
                <w:sz w:val="14"/>
                <w:szCs w:val="14"/>
                <w:i w:val="1"/>
                <w:iCs w:val="1"/>
                <w:color w:val="auto"/>
              </w:rPr>
              <w:t>Restructuring</w:t>
            </w:r>
          </w:p>
        </w:tc>
        <w:tc>
          <w:tcPr>
            <w:tcW w:w="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w w:val="89"/>
              </w:rPr>
              <w:t>Total</w:t>
            </w:r>
          </w:p>
        </w:tc>
      </w:tr>
      <w:tr>
        <w:trPr>
          <w:trHeight w:val="95"/>
        </w:trPr>
        <w:tc>
          <w:tcPr>
            <w:tcW w:w="116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Statement of Operations: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Sales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6"/>
          </w:tcPr>
          <w:p>
            <w:pPr>
              <w:jc w:val="right"/>
              <w:spacing w:after="0"/>
              <w:rPr>
                <w:sz w:val="20"/>
                <w:szCs w:val="20"/>
                <w:color w:val="auto"/>
              </w:rPr>
            </w:pPr>
            <w:r>
              <w:rPr>
                <w:rFonts w:ascii="Arial" w:cs="Arial" w:eastAsia="Arial" w:hAnsi="Arial"/>
                <w:sz w:val="18"/>
                <w:szCs w:val="18"/>
                <w:color w:val="auto"/>
              </w:rPr>
              <w:t>$ 242,677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155,671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398,348</w:t>
            </w:r>
          </w:p>
        </w:tc>
        <w:tc>
          <w:tcPr>
            <w:tcW w:w="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102,703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(11,093)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124,962</w:t>
            </w:r>
          </w:p>
        </w:tc>
        <w:tc>
          <w:tcPr>
            <w:tcW w:w="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79,068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34,453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113,521</w:t>
            </w:r>
          </w:p>
        </w:tc>
        <w:tc>
          <w:tcPr>
            <w:tcW w:w="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Deprecation and amortization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10,436</w:t>
            </w:r>
          </w:p>
        </w:tc>
        <w:tc>
          <w:tcPr>
            <w:tcW w:w="60" w:type="dxa"/>
            <w:vAlign w:val="bottom"/>
            <w:shd w:val="clear" w:color="auto" w:fill="CCEEFF"/>
          </w:tcPr>
          <w:p>
            <w:pPr>
              <w:spacing w:after="0"/>
              <w:rPr>
                <w:sz w:val="18"/>
                <w:szCs w:val="18"/>
                <w:color w:val="auto"/>
              </w:rPr>
            </w:pPr>
          </w:p>
        </w:tc>
      </w:tr>
      <w:tr>
        <w:trPr>
          <w:trHeight w:val="222"/>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Provision for store closings, impairment of assets and severance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gridSpan w:val="2"/>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14,434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14,434</w:t>
            </w:r>
          </w:p>
        </w:tc>
        <w:tc>
          <w:tcPr>
            <w:tcW w:w="60" w:type="dxa"/>
            <w:vAlign w:val="bottom"/>
          </w:tcPr>
          <w:p>
            <w:pPr>
              <w:spacing w:after="0"/>
              <w:rPr>
                <w:sz w:val="19"/>
                <w:szCs w:val="19"/>
                <w:color w:val="auto"/>
              </w:rPr>
            </w:pPr>
          </w:p>
        </w:tc>
      </w:tr>
      <w:tr>
        <w:trPr>
          <w:trHeight w:val="102"/>
        </w:trPr>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(5,530)</w:t>
            </w:r>
          </w:p>
        </w:tc>
        <w:tc>
          <w:tcPr>
            <w:tcW w:w="1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(25,527)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(13,429)</w:t>
            </w:r>
          </w:p>
        </w:tc>
      </w:tr>
      <w:tr>
        <w:trPr>
          <w:trHeight w:val="323"/>
        </w:trPr>
        <w:tc>
          <w:tcPr>
            <w:tcW w:w="5440" w:type="dxa"/>
            <w:vAlign w:val="bottom"/>
            <w:gridSpan w:val="2"/>
          </w:tcPr>
          <w:p>
            <w:pPr>
              <w:ind w:left="20"/>
              <w:spacing w:after="0"/>
              <w:rPr>
                <w:sz w:val="20"/>
                <w:szCs w:val="20"/>
                <w:color w:val="auto"/>
              </w:rPr>
            </w:pPr>
            <w:r>
              <w:rPr>
                <w:rFonts w:ascii="Arial" w:cs="Arial" w:eastAsia="Arial" w:hAnsi="Arial"/>
                <w:sz w:val="18"/>
                <w:szCs w:val="18"/>
                <w:i w:val="1"/>
                <w:iCs w:val="1"/>
                <w:color w:val="auto"/>
              </w:rPr>
              <w:t>Reconciliation to net loss: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Minority interest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60" w:type="dxa"/>
            <w:vAlign w:val="bottom"/>
            <w:shd w:val="clear" w:color="auto" w:fill="CCEEFF"/>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4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(30,695)</w:t>
            </w:r>
          </w:p>
        </w:tc>
      </w:tr>
      <w:tr>
        <w:trPr>
          <w:trHeight w:val="222"/>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Loss from discontinued operations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gridSpan w:val="2"/>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(7,785)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(8,105)</w:t>
            </w:r>
          </w:p>
        </w:tc>
      </w:tr>
      <w:tr>
        <w:trPr>
          <w:trHeight w:val="102"/>
        </w:trPr>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(38,800)</w:t>
            </w:r>
          </w:p>
        </w:tc>
      </w:tr>
      <w:tr>
        <w:trPr>
          <w:trHeight w:val="132"/>
        </w:trPr>
        <w:tc>
          <w:tcPr>
            <w:tcW w:w="11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1160" w:type="dxa"/>
            <w:vAlign w:val="bottom"/>
          </w:tcPr>
          <w:p>
            <w:pPr>
              <w:spacing w:after="0"/>
              <w:rPr>
                <w:sz w:val="9"/>
                <w:szCs w:val="9"/>
                <w:color w:val="auto"/>
              </w:rPr>
            </w:pPr>
          </w:p>
        </w:tc>
        <w:tc>
          <w:tcPr>
            <w:tcW w:w="4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Balance Sheet: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Inventory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62,307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40,915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103,222</w:t>
            </w:r>
          </w:p>
        </w:tc>
        <w:tc>
          <w:tcPr>
            <w:tcW w:w="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55,985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64,062</w:t>
            </w:r>
          </w:p>
        </w:tc>
        <w:tc>
          <w:tcPr>
            <w:tcW w:w="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Goodwill and other intangible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81,427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81,427</w:t>
            </w:r>
          </w:p>
        </w:tc>
        <w:tc>
          <w:tcPr>
            <w:tcW w:w="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33,902</w:t>
            </w:r>
          </w:p>
        </w:tc>
        <w:tc>
          <w:tcPr>
            <w:tcW w:w="60" w:type="dxa"/>
            <w:vAlign w:val="bottom"/>
            <w:shd w:val="clear" w:color="auto" w:fill="CCEEFF"/>
          </w:tcPr>
          <w:p>
            <w:pPr>
              <w:spacing w:after="0"/>
              <w:rPr>
                <w:sz w:val="18"/>
                <w:szCs w:val="18"/>
                <w:color w:val="auto"/>
              </w:rPr>
            </w:pPr>
          </w:p>
        </w:tc>
      </w:tr>
      <w:tr>
        <w:trPr>
          <w:trHeight w:val="222"/>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8,113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14,468</w:t>
            </w:r>
          </w:p>
        </w:tc>
        <w:tc>
          <w:tcPr>
            <w:tcW w:w="60" w:type="dxa"/>
            <w:vAlign w:val="bottom"/>
          </w:tcPr>
          <w:p>
            <w:pPr>
              <w:spacing w:after="0"/>
              <w:rPr>
                <w:sz w:val="19"/>
                <w:szCs w:val="19"/>
                <w:color w:val="auto"/>
              </w:rPr>
            </w:pPr>
          </w:p>
        </w:tc>
      </w:tr>
      <w:tr>
        <w:trPr>
          <w:trHeight w:val="35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N.  SELECTED QUARTERLY DATA (UNAUDITED)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6"/>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24"/>
                <w:szCs w:val="24"/>
                <w:color w:val="auto"/>
              </w:rPr>
            </w:pPr>
          </w:p>
        </w:tc>
        <w:tc>
          <w:tcPr>
            <w:tcW w:w="76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SECOND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24"/>
                <w:szCs w:val="2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FULL</w:t>
            </w:r>
          </w:p>
        </w:tc>
      </w:tr>
      <w:tr>
        <w:trPr>
          <w:trHeight w:val="174"/>
        </w:trPr>
        <w:tc>
          <w:tcPr>
            <w:tcW w:w="11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5"/>
                <w:szCs w:val="15"/>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YEAR</w:t>
            </w:r>
          </w:p>
        </w:tc>
      </w:tr>
      <w:tr>
        <w:trPr>
          <w:trHeight w:val="95"/>
        </w:trPr>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400" w:type="dxa"/>
            <w:vAlign w:val="bottom"/>
            <w:gridSpan w:val="3"/>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4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116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15"/>
          </w:tcPr>
          <w:p>
            <w:pPr>
              <w:ind w:left="18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YEAR 2003</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32,632</w:t>
            </w:r>
          </w:p>
        </w:tc>
        <w:tc>
          <w:tcPr>
            <w:tcW w:w="1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12"/>
              <w:spacing w:after="0"/>
              <w:rPr>
                <w:sz w:val="20"/>
                <w:szCs w:val="20"/>
                <w:color w:val="auto"/>
              </w:rPr>
            </w:pPr>
            <w:r>
              <w:rPr>
                <w:rFonts w:ascii="Arial" w:cs="Arial" w:eastAsia="Arial" w:hAnsi="Arial"/>
                <w:sz w:val="18"/>
                <w:szCs w:val="18"/>
                <w:color w:val="auto"/>
                <w:w w:val="86"/>
              </w:rPr>
              <w:t>110,264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119,675</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$135,777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348,348</w:t>
            </w:r>
          </w:p>
        </w:tc>
        <w:tc>
          <w:tcPr>
            <w:tcW w:w="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38,212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41,768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124,692</w:t>
            </w:r>
          </w:p>
        </w:tc>
        <w:tc>
          <w:tcPr>
            <w:tcW w:w="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(Loss) income from continuing operations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2"/>
              <w:spacing w:after="0"/>
              <w:rPr>
                <w:sz w:val="20"/>
                <w:szCs w:val="20"/>
                <w:color w:val="auto"/>
              </w:rPr>
            </w:pPr>
            <w:r>
              <w:rPr>
                <w:rFonts w:ascii="Arial" w:cs="Arial" w:eastAsia="Arial" w:hAnsi="Arial"/>
                <w:sz w:val="18"/>
                <w:szCs w:val="18"/>
                <w:color w:val="auto"/>
              </w:rPr>
              <w:t>(1,439)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(8,478)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(20,282)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(30.695)</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income from discontinued operations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(8,105)</w:t>
            </w: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Net (loss) income (1)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2"/>
              <w:spacing w:after="0"/>
              <w:rPr>
                <w:sz w:val="20"/>
                <w:szCs w:val="20"/>
                <w:color w:val="auto"/>
              </w:rPr>
            </w:pPr>
            <w:r>
              <w:rPr>
                <w:rFonts w:ascii="Arial" w:cs="Arial" w:eastAsia="Arial" w:hAnsi="Arial"/>
                <w:sz w:val="18"/>
                <w:szCs w:val="18"/>
                <w:color w:val="auto"/>
              </w:rPr>
              <w:t>(1,796)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(12,908)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(23,766)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(38,800)</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(loss) per share – basic and diluted</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3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364"/>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FISCAL YEAR 2002</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35,223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42,307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48,952</w:t>
            </w:r>
          </w:p>
        </w:tc>
        <w:tc>
          <w:tcPr>
            <w:tcW w:w="3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174,117</w:t>
            </w:r>
          </w:p>
        </w:tc>
        <w:tc>
          <w:tcPr>
            <w:tcW w:w="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8,352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
              <w:spacing w:after="0"/>
              <w:rPr>
                <w:sz w:val="20"/>
                <w:szCs w:val="20"/>
                <w:color w:val="auto"/>
              </w:rPr>
            </w:pPr>
            <w:r>
              <w:rPr>
                <w:rFonts w:ascii="Arial" w:cs="Arial" w:eastAsia="Arial" w:hAnsi="Arial"/>
                <w:sz w:val="18"/>
                <w:szCs w:val="18"/>
                <w:color w:val="auto"/>
              </w:rPr>
              <w:t>11,300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11,160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10,616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41,428</w:t>
            </w:r>
          </w:p>
        </w:tc>
        <w:tc>
          <w:tcPr>
            <w:tcW w:w="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income from continuing operations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(1,430)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(9,477)</w:t>
            </w: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(Loss) income from discontinued operations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664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1,596</w:t>
            </w:r>
          </w:p>
        </w:tc>
        <w:tc>
          <w:tcPr>
            <w:tcW w:w="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(2)</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(1,368)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(7,881)</w:t>
            </w:r>
          </w:p>
        </w:tc>
      </w:tr>
      <w:tr>
        <w:trPr>
          <w:trHeight w:val="222"/>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Earnings (loss) per share – basic and diluted</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32"/>
              <w:spacing w:after="0"/>
              <w:rPr>
                <w:sz w:val="20"/>
                <w:szCs w:val="20"/>
                <w:color w:val="auto"/>
              </w:rPr>
            </w:pPr>
            <w:r>
              <w:rPr>
                <w:rFonts w:ascii="Arial" w:cs="Arial" w:eastAsia="Arial" w:hAnsi="Arial"/>
                <w:sz w:val="18"/>
                <w:szCs w:val="18"/>
                <w:color w:val="auto"/>
              </w:rPr>
              <w:t>(0.09)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w w:val="91"/>
              </w:rPr>
              <w:t>0.05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0.04</w:t>
            </w:r>
          </w:p>
        </w:tc>
        <w:tc>
          <w:tcPr>
            <w:tcW w:w="320" w:type="dxa"/>
            <w:vAlign w:val="bottom"/>
            <w:gridSpan w:val="4"/>
          </w:tcPr>
          <w:p>
            <w:pPr>
              <w:ind w:left="22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-3693160</wp:posOffset>
            </wp:positionV>
            <wp:extent cx="50165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-3693160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-3693160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-3693160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second quarter of fiscal 2003, the Company recorded a charge of $11.1 million primarily related to the Company’s decision to downsize its</w:t>
      </w:r>
    </w:p>
    <w:p>
      <w:pPr>
        <w:spacing w:after="0" w:line="38" w:lineRule="exact"/>
        <w:rPr>
          <w:rFonts w:ascii="Arial" w:cs="Arial" w:eastAsia="Arial" w:hAnsi="Arial"/>
          <w:sz w:val="16"/>
          <w:szCs w:val="16"/>
          <w:color w:val="auto"/>
        </w:rPr>
      </w:pPr>
    </w:p>
    <w:p>
      <w:pPr>
        <w:ind w:left="460" w:right="60"/>
        <w:spacing w:after="0" w:line="218" w:lineRule="auto"/>
        <w:rPr>
          <w:rFonts w:ascii="Arial" w:cs="Arial" w:eastAsia="Arial" w:hAnsi="Arial"/>
          <w:sz w:val="16"/>
          <w:szCs w:val="16"/>
          <w:color w:val="auto"/>
        </w:rPr>
      </w:pPr>
      <w:r>
        <w:rPr>
          <w:rFonts w:ascii="Arial" w:cs="Arial" w:eastAsia="Arial" w:hAnsi="Arial"/>
          <w:sz w:val="18"/>
          <w:szCs w:val="18"/>
          <w:color w:val="auto"/>
        </w:rPr>
        <w:t>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integrate the operations of its acquired Casual Male business. In the fourth quarter of fiscal 2003, the Company recorded an additional charge of $30.2 million related to its decision to accelerate the downsizing of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with the intention of ultimately exiting</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right="40"/>
        <w:spacing w:after="0"/>
        <w:rPr>
          <w:sz w:val="20"/>
          <w:szCs w:val="20"/>
          <w:color w:val="auto"/>
        </w:rPr>
      </w:pPr>
      <w:r>
        <w:rPr>
          <w:rFonts w:ascii="Arial" w:cs="Arial" w:eastAsia="Arial" w:hAnsi="Arial"/>
          <w:sz w:val="17"/>
          <w:szCs w:val="17"/>
          <w:color w:val="auto"/>
        </w:rPr>
        <w:t>this business as well as its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operations. Of the total charge of $30.2 million recorded in the fourth quarter, approximately $11.1 million is related to inventory liquidation and is reflected as a reduction in gross margin for the fourth quarter of fiscal 2003.</w:t>
      </w:r>
    </w:p>
    <w:p>
      <w:pPr>
        <w:spacing w:after="0" w:line="2" w:lineRule="exact"/>
        <w:rPr>
          <w:sz w:val="20"/>
          <w:szCs w:val="20"/>
          <w:color w:val="auto"/>
        </w:rPr>
      </w:pPr>
    </w:p>
    <w:p>
      <w:pPr>
        <w:ind w:left="460" w:right="2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fourth quarter of fiscal 2002, the Company recorded a write-down of its deferred tax assets of $8.0 million attributable to the potential that certain federal net operating loss carryforwards may not be realizable.</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Historically, the Company has experienced seasonal fluctuations in net sales, gross profit and net income, with increases occurring during the Company’s third and fourth quarters as a result of Fall and Holiday seasons. The Company’s largest sales months are December (holiday season) and June (Father’s Day). Quarterly sales comparisons are not necessarily indicative of actual trends, since such amounts also reflect the addition of new stores, closing of stores and the remodeling of stores during these periods.</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60"/>
          </w:cols>
          <w:pgMar w:left="24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right="3159"/>
        <w:spacing w:after="0" w:line="426"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45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i w:val="1"/>
          <w:iCs w:val="1"/>
          <w:color w:val="auto"/>
        </w:rPr>
        <w:t>Directors and Executive Officers of the Registrant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the directors of the Company is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DIRECTOR</w:t>
            </w:r>
          </w:p>
        </w:tc>
        <w:tc>
          <w:tcPr>
            <w:tcW w:w="0" w:type="dxa"/>
            <w:vAlign w:val="bottom"/>
          </w:tcPr>
          <w:p>
            <w:pPr>
              <w:spacing w:after="0"/>
              <w:rPr>
                <w:sz w:val="1"/>
                <w:szCs w:val="1"/>
                <w:color w:val="auto"/>
              </w:rPr>
            </w:pPr>
          </w:p>
        </w:tc>
      </w:tr>
      <w:tr>
        <w:trPr>
          <w:trHeight w:val="174"/>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NAME (1)</w:t>
            </w: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AGE</w:t>
            </w:r>
          </w:p>
        </w:tc>
        <w:tc>
          <w:tcPr>
            <w:tcW w:w="2180" w:type="dxa"/>
            <w:vAlign w:val="bottom"/>
          </w:tcPr>
          <w:p>
            <w:pPr>
              <w:spacing w:after="0"/>
              <w:rPr>
                <w:sz w:val="15"/>
                <w:szCs w:val="15"/>
                <w:color w:val="auto"/>
              </w:rPr>
            </w:pPr>
          </w:p>
        </w:tc>
        <w:tc>
          <w:tcPr>
            <w:tcW w:w="30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95"/>
        </w:trPr>
        <w:tc>
          <w:tcPr>
            <w:tcW w:w="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Chairman of the Board and Director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5240" w:type="dxa"/>
            <w:vAlign w:val="bottom"/>
            <w:gridSpan w:val="3"/>
          </w:tcPr>
          <w:p>
            <w:pPr>
              <w:ind w:left="320"/>
              <w:spacing w:after="0"/>
              <w:rPr>
                <w:sz w:val="20"/>
                <w:szCs w:val="20"/>
                <w:color w:val="auto"/>
              </w:rPr>
            </w:pPr>
            <w:r>
              <w:rPr>
                <w:rFonts w:ascii="Arial" w:cs="Arial" w:eastAsia="Arial" w:hAnsi="Arial"/>
                <w:sz w:val="18"/>
                <w:szCs w:val="18"/>
                <w:color w:val="auto"/>
              </w:rPr>
              <w:t>President, Chief Executive Officer and Director</w:t>
            </w: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Jesse Choper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 (2),(3)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Stephen M. Duff</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5240" w:type="dxa"/>
            <w:vAlign w:val="bottom"/>
            <w:gridSpan w:val="3"/>
          </w:tcPr>
          <w:p>
            <w:pPr>
              <w:ind w:left="320"/>
              <w:spacing w:after="0"/>
              <w:rPr>
                <w:sz w:val="20"/>
                <w:szCs w:val="20"/>
                <w:color w:val="auto"/>
              </w:rPr>
            </w:pPr>
            <w:r>
              <w:rPr>
                <w:rFonts w:ascii="Arial" w:cs="Arial" w:eastAsia="Arial" w:hAnsi="Arial"/>
                <w:sz w:val="18"/>
                <w:szCs w:val="18"/>
                <w:color w:val="auto"/>
              </w:rPr>
              <w:t>Director (2)</w:t>
            </w:r>
          </w:p>
        </w:tc>
        <w:tc>
          <w:tcPr>
            <w:tcW w:w="720" w:type="dxa"/>
            <w:vAlign w:val="bottom"/>
          </w:tcPr>
          <w:p>
            <w:pPr>
              <w:jc w:val="right"/>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Jeremiah P. Murphy, Jr.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 (2)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Joseph Pennacchio</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5240" w:type="dxa"/>
            <w:vAlign w:val="bottom"/>
            <w:gridSpan w:val="3"/>
          </w:tcPr>
          <w:p>
            <w:pPr>
              <w:ind w:left="320"/>
              <w:spacing w:after="0"/>
              <w:rPr>
                <w:sz w:val="20"/>
                <w:szCs w:val="20"/>
                <w:color w:val="auto"/>
              </w:rPr>
            </w:pPr>
            <w:r>
              <w:rPr>
                <w:rFonts w:ascii="Arial" w:cs="Arial" w:eastAsia="Arial" w:hAnsi="Arial"/>
                <w:sz w:val="18"/>
                <w:szCs w:val="18"/>
                <w:color w:val="auto"/>
              </w:rPr>
              <w:t>Director (2),(3)</w:t>
            </w:r>
          </w:p>
        </w:tc>
        <w:tc>
          <w:tcPr>
            <w:tcW w:w="72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T. Porter, Jr.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 (3)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Alan Cohen, a director of the Company since May 2, 2000, resigned his position effective January 10, 2003.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Current member of the Compensation Committee. Mr. Porter became a member of the Compensation Committee on March 3, 2003.</w:t>
      </w:r>
    </w:p>
    <w:p>
      <w:pPr>
        <w:spacing w:after="0" w:line="1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Seymour Holtzman </w:t>
      </w:r>
      <w:r>
        <w:rPr>
          <w:rFonts w:ascii="Arial" w:cs="Arial" w:eastAsia="Arial" w:hAnsi="Arial"/>
          <w:sz w:val="16"/>
          <w:szCs w:val="16"/>
          <w:color w:val="auto"/>
        </w:rPr>
        <w:t>has been a director of the Company since April 7, 2000 and Chairman of the Board since April 11, 2000. On May 25, 2001,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the Company hired Mr. Holtzman as an officer and an employee of the Company. Mr. Holtzman has been involved in the retail business for over 30 years. For many years, he has been the President and Chief Executive Officer of Jewelcor, Inc., a former New York Stock Exchange listed company that operated a chain of retail stores. From 1986 to 1988, Mr. Holtzman was Chairman of the Board and Chief Executive Officer of Gruen Marketing Corporation, an American Stock Exchange listed company involved in the nationwide distribution of watches. During the last five years, Mr. Holtzman has served as Chairman and Chief Executive Officer of each of Jewelcor Management, Inc., a company primarily involved in investment and management services; C.D. Peacock, Inc., a Chicago, Illinois retail jewelry establishment; and S.A. Peck &amp; Company, a retail and mail order jewelry company based in Chicago, Illinois. Mr. Holtzman is currently Chairman of the Board of MM Companies, Inc. (OTCBB: “MMCO”) and a member of the board of Liquid Audio, Inc. (NASDAQ: “LQID”). Mr. Holtzman is a well-known shareholder activist who specializes in the banking industry and the retail industry.</w:t>
      </w:r>
    </w:p>
    <w:p>
      <w:pPr>
        <w:spacing w:after="0" w:line="10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President and Chief Executive Officer of the Company since April 10, 2000 and a director of the Company since April 11, 2000.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1999 to 2000, he served as 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almost 30 years.</w:t>
      </w:r>
    </w:p>
    <w:p>
      <w:pPr>
        <w:spacing w:after="0" w:line="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of the Company since October 8, 1999. Mr. Choper is the Earl Warren Professor of Public Law at the University of California at</w:t>
      </w:r>
      <w:r>
        <w:rPr>
          <w:rFonts w:ascii="Arial" w:cs="Arial" w:eastAsia="Arial" w:hAnsi="Arial"/>
          <w:sz w:val="18"/>
          <w:szCs w:val="18"/>
          <w:i w:val="1"/>
          <w:iCs w:val="1"/>
          <w:color w:val="auto"/>
        </w:rPr>
        <w:t xml:space="preserve"> </w:t>
      </w:r>
      <w:r>
        <w:rPr>
          <w:rFonts w:ascii="Arial" w:cs="Arial" w:eastAsia="Arial" w:hAnsi="Arial"/>
          <w:sz w:val="18"/>
          <w:szCs w:val="18"/>
          <w:color w:val="auto"/>
        </w:rPr>
        <w:t>Berkeley School of Law, where he has taught since 1965. From 1960 to 1961, Professor Choper was a law clerk for Supreme Court Chief Justice Earl Warren. Mr. Choper is also on the Board of Directors of MM Companies, Inc and Liquid Audio,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i w:val="1"/>
          <w:iCs w:val="1"/>
          <w:color w:val="auto"/>
        </w:rPr>
        <w:t xml:space="preserve">Stephen M. Duff </w:t>
      </w:r>
      <w:r>
        <w:rPr>
          <w:rFonts w:ascii="Arial" w:cs="Arial" w:eastAsia="Arial" w:hAnsi="Arial"/>
          <w:sz w:val="16"/>
          <w:szCs w:val="16"/>
          <w:color w:val="auto"/>
        </w:rPr>
        <w:t>has been a director of the Company since May 14, 2002. Mr. Duff has been the Chief Investment Officer at The Clark Estates, Inc. since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2002. Prior to that, he was a Senior Investment Manager from 1995 until December 2002. From 1990 to 1995, Mr. Duff was an analyst and Portfolio Manager at the Portfolio Group, an asset management subsidiary of The Chemical Banking Corporation. Mr. Duff is also on the Board of Directors of Easylink Services Corporation and The Clara Welch Thanksgiving Home, a not-for-profit elderly care facility in Cooperstown, New York.</w:t>
      </w:r>
    </w:p>
    <w:p>
      <w:pPr>
        <w:spacing w:after="0" w:line="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Jeremiah P. Murphy, Jr. </w:t>
      </w:r>
      <w:r>
        <w:rPr>
          <w:rFonts w:ascii="Arial" w:cs="Arial" w:eastAsia="Arial" w:hAnsi="Arial"/>
          <w:sz w:val="18"/>
          <w:szCs w:val="18"/>
          <w:color w:val="auto"/>
        </w:rPr>
        <w:t>has been a director of the Company since October 8, 1999. Since 1992, Mr. Murphy has been the President of the Harvard Cooperative</w:t>
      </w:r>
      <w:r>
        <w:rPr>
          <w:rFonts w:ascii="Arial" w:cs="Arial" w:eastAsia="Arial" w:hAnsi="Arial"/>
          <w:sz w:val="18"/>
          <w:szCs w:val="18"/>
          <w:i w:val="1"/>
          <w:iCs w:val="1"/>
          <w:color w:val="auto"/>
        </w:rPr>
        <w:t xml:space="preserve"> </w:t>
      </w:r>
      <w:r>
        <w:rPr>
          <w:rFonts w:ascii="Arial" w:cs="Arial" w:eastAsia="Arial" w:hAnsi="Arial"/>
          <w:sz w:val="18"/>
          <w:szCs w:val="18"/>
          <w:color w:val="auto"/>
        </w:rPr>
        <w:t>Society (“the COOP”), a member based retailer for the Harvard and MIT communities. From 1987 to 1992, Mr. Murphy held various officer positions with specialty retailer Neiman Marcus.</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Joseph Pennacchio </w:t>
      </w:r>
      <w:r>
        <w:rPr>
          <w:rFonts w:ascii="Arial" w:cs="Arial" w:eastAsia="Arial" w:hAnsi="Arial"/>
          <w:sz w:val="16"/>
          <w:szCs w:val="16"/>
          <w:color w:val="auto"/>
        </w:rPr>
        <w:t>has been a director of the Company since October 8, 1999. Mr. Pennacchio has been Chief Executive Officer of Aurafin LLC, a privately held</w:t>
      </w:r>
      <w:r>
        <w:rPr>
          <w:rFonts w:ascii="Arial" w:cs="Arial" w:eastAsia="Arial" w:hAnsi="Arial"/>
          <w:sz w:val="16"/>
          <w:szCs w:val="16"/>
          <w:i w:val="1"/>
          <w:iCs w:val="1"/>
          <w:color w:val="auto"/>
        </w:rPr>
        <w:t xml:space="preserve"> </w:t>
      </w:r>
      <w:r>
        <w:rPr>
          <w:rFonts w:ascii="Arial" w:cs="Arial" w:eastAsia="Arial" w:hAnsi="Arial"/>
          <w:sz w:val="16"/>
          <w:szCs w:val="16"/>
          <w:color w:val="auto"/>
        </w:rPr>
        <w:t>jewelry manufacturer and wholesaler, since 1997. From May 1994 to May 1996, Mr. Pennacchio was President of Jan Bell Marketing, a $250 million jewelry retailer, which is listed on the American Stock Exchange. Mr. Pennacchio was also President of Jordan Marsh Department Stores from 1992 to 1994.</w:t>
      </w:r>
    </w:p>
    <w:p>
      <w:pPr>
        <w:spacing w:after="0" w:line="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George T. Porter</w:t>
      </w:r>
      <w:r>
        <w:rPr>
          <w:rFonts w:ascii="Arial" w:cs="Arial" w:eastAsia="Arial" w:hAnsi="Arial"/>
          <w:sz w:val="18"/>
          <w:szCs w:val="18"/>
          <w:color w:val="auto"/>
        </w:rPr>
        <w:t>,</w:t>
      </w:r>
      <w:r>
        <w:rPr>
          <w:rFonts w:ascii="Arial" w:cs="Arial" w:eastAsia="Arial" w:hAnsi="Arial"/>
          <w:sz w:val="18"/>
          <w:szCs w:val="18"/>
          <w:i w:val="1"/>
          <w:iCs w:val="1"/>
          <w:color w:val="auto"/>
        </w:rPr>
        <w:t xml:space="preserve"> Jr</w:t>
      </w:r>
      <w:r>
        <w:rPr>
          <w:rFonts w:ascii="Arial" w:cs="Arial" w:eastAsia="Arial" w:hAnsi="Arial"/>
          <w:sz w:val="18"/>
          <w:szCs w:val="18"/>
          <w:color w:val="auto"/>
        </w:rPr>
        <w:t>. has been a director of the Company since October 28, 1999. Mr. Porter was President of Levi’s USA for Levi Strauss &amp; Co. from 1994 to</w:t>
      </w:r>
      <w:r>
        <w:rPr>
          <w:rFonts w:ascii="Arial" w:cs="Arial" w:eastAsia="Arial" w:hAnsi="Arial"/>
          <w:sz w:val="18"/>
          <w:szCs w:val="18"/>
          <w:i w:val="1"/>
          <w:iCs w:val="1"/>
          <w:color w:val="auto"/>
        </w:rPr>
        <w:t xml:space="preserve"> </w:t>
      </w:r>
      <w:r>
        <w:rPr>
          <w:rFonts w:ascii="Arial" w:cs="Arial" w:eastAsia="Arial" w:hAnsi="Arial"/>
          <w:sz w:val="18"/>
          <w:szCs w:val="18"/>
          <w:color w:val="auto"/>
        </w:rPr>
        <w:t>1997. Beginning in 1974, Mr. Porter held various positions at Levi Strauss &amp; Co., including President of Levi’s Men’s Jeans Division. Mr. Porter was also Corporate Vice President and General Manager of Nike USA from 1997 to 1998.</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Executive Officers</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Dennis R. Hernreich</w:t>
      </w:r>
      <w:r>
        <w:rPr>
          <w:rFonts w:ascii="Arial" w:cs="Arial" w:eastAsia="Arial" w:hAnsi="Arial"/>
          <w:sz w:val="16"/>
          <w:szCs w:val="16"/>
          <w:color w:val="auto"/>
        </w:rPr>
        <w:t>, 46, has been the Executive Vice President, Chief Operating Officer and Chief Financial Officer of the Company since September 2002.</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that, Mr. Hernreich served as the Senior Vice President, Chief Financial Officer and Treasurer upon joining the Company on September 5, 2000. Prior to joining the 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Company’s directors and executive officers.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Section 16(a) Beneficial Ownership Reporting Compliance</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executive officers and directors, and persons who own more than 10% of a registered class of the Company’s equity securities (collectively, the “Reporting Persons”), to file reports of ownership and changes in ownership with the Securities and Exchange Commission. The Reporting Persons are required to furnish the Company with copies of all Section 16(a) reports they file. Based solely upon a review of Forms 3 and 4 and amendments thereto furnished to the Company during fiscal 2003 and Forms 5 and amendments thereto furnished to the Company with respect to fiscal 2003, the Company believes that the current Reporting Persons complied with all applicable Section 16(a) reporting requirements and all required reports were filed in a timely manner.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adopted a Code of Ethics which applies to the Company’s Directors, Chief Executive Officer, Chief Financial Officer as well as the Company’s other senior financial officers. The full text of the Code of Ethics can be found under Corporate Governance on the Investor Relations page of the Company’s corporate web site, which is at www.cmrginc.com.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i w:val="1"/>
          <w:iCs w:val="1"/>
          <w:color w:val="auto"/>
        </w:rPr>
        <w:t>Executive Compensation</w:t>
      </w:r>
    </w:p>
    <w:p>
      <w:pPr>
        <w:spacing w:after="0" w:line="164"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Summary Compensation Table</w:t>
      </w:r>
      <w:r>
        <w:rPr>
          <w:rFonts w:ascii="Arial" w:cs="Arial" w:eastAsia="Arial" w:hAnsi="Arial"/>
          <w:sz w:val="18"/>
          <w:szCs w:val="18"/>
          <w:color w:val="auto"/>
        </w:rPr>
        <w:t>. The following Summary Compensation Table sets forth certain information regarding compensation paid or accrued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 respect to the Chairman of the Board, Chief Executive Officer, the Chief Financial Officer and the President of the Casual Male division. The table also includes a former executive officer of the Company, Ronald N. Batts, who resigned as President of Levi’s</w:t>
      </w:r>
      <w:r>
        <w:rPr>
          <w:rFonts w:ascii="Arial" w:cs="Arial" w:eastAsia="Arial" w:hAnsi="Arial"/>
          <w:sz w:val="22"/>
          <w:szCs w:val="22"/>
          <w:color w:val="auto"/>
          <w:vertAlign w:val="superscript"/>
        </w:rPr>
        <w:t>®</w:t>
      </w:r>
      <w:r>
        <w:rPr>
          <w:rFonts w:ascii="Arial" w:cs="Arial" w:eastAsia="Arial" w:hAnsi="Arial"/>
          <w:sz w:val="18"/>
          <w:szCs w:val="18"/>
          <w:color w:val="auto"/>
        </w:rPr>
        <w:t>, Dockers</w:t>
      </w:r>
      <w:r>
        <w:rPr>
          <w:rFonts w:ascii="Arial" w:cs="Arial" w:eastAsia="Arial" w:hAnsi="Arial"/>
          <w:sz w:val="22"/>
          <w:szCs w:val="22"/>
          <w:color w:val="auto"/>
          <w:vertAlign w:val="superscript"/>
        </w:rPr>
        <w:t>®</w:t>
      </w:r>
      <w:r>
        <w:rPr>
          <w:rFonts w:ascii="Arial" w:cs="Arial" w:eastAsia="Arial" w:hAnsi="Arial"/>
          <w:sz w:val="18"/>
          <w:szCs w:val="18"/>
          <w:color w:val="auto"/>
        </w:rPr>
        <w:t>,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EcKo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divisions October 25, 2002 (collectively, the “Named Executive Officers”), for fiscal 2003 and for the fiscal years ended February 2, 2002 (“fiscal 2002”) and February 3, 2001 (“fiscal 2001”).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Summary Compensation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Name and</w:t>
            </w:r>
          </w:p>
        </w:tc>
        <w:tc>
          <w:tcPr>
            <w:tcW w:w="2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1"/>
              </w:rPr>
              <w:t>Annual Compensation</w:t>
            </w:r>
          </w:p>
        </w:tc>
        <w:tc>
          <w:tcPr>
            <w:tcW w:w="340" w:type="dxa"/>
            <w:vAlign w:val="bottom"/>
          </w:tcPr>
          <w:p>
            <w:pPr>
              <w:spacing w:after="0"/>
              <w:rPr>
                <w:sz w:val="15"/>
                <w:szCs w:val="15"/>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Long-Term</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2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Principal Position</w:t>
            </w:r>
          </w:p>
        </w:tc>
        <w:tc>
          <w:tcPr>
            <w:tcW w:w="2340" w:type="dxa"/>
            <w:vAlign w:val="bottom"/>
          </w:tcPr>
          <w:p>
            <w:pPr>
              <w:spacing w:after="0"/>
              <w:rPr>
                <w:sz w:val="3"/>
                <w:szCs w:val="3"/>
                <w:color w:val="auto"/>
              </w:rPr>
            </w:pPr>
          </w:p>
        </w:tc>
        <w:tc>
          <w:tcPr>
            <w:tcW w:w="56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rPr>
              <w:t>Fiscal</w:t>
            </w: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40" w:type="dxa"/>
            <w:vAlign w:val="bottom"/>
            <w:vMerge w:val="restart"/>
          </w:tcPr>
          <w:p>
            <w:pPr>
              <w:spacing w:after="0"/>
              <w:rPr>
                <w:sz w:val="3"/>
                <w:szCs w:val="3"/>
                <w:color w:val="auto"/>
              </w:rPr>
            </w:pPr>
          </w:p>
        </w:tc>
        <w:tc>
          <w:tcPr>
            <w:tcW w:w="1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20" w:type="dxa"/>
            <w:vAlign w:val="bottom"/>
          </w:tcPr>
          <w:p>
            <w:pPr>
              <w:spacing w:after="0"/>
              <w:rPr>
                <w:sz w:val="3"/>
                <w:szCs w:val="3"/>
                <w:color w:val="auto"/>
              </w:rPr>
            </w:pPr>
          </w:p>
        </w:tc>
        <w:tc>
          <w:tcPr>
            <w:tcW w:w="1020" w:type="dxa"/>
            <w:vAlign w:val="bottom"/>
            <w:gridSpan w:val="2"/>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89"/>
        </w:trPr>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3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 at February 1, 2003)</w:t>
            </w:r>
          </w:p>
        </w:tc>
        <w:tc>
          <w:tcPr>
            <w:tcW w:w="2340" w:type="dxa"/>
            <w:vAlign w:val="bottom"/>
          </w:tcPr>
          <w:p>
            <w:pPr>
              <w:spacing w:after="0"/>
              <w:rPr>
                <w:sz w:val="15"/>
                <w:szCs w:val="15"/>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Salary</w:t>
            </w:r>
          </w:p>
        </w:tc>
        <w:tc>
          <w:tcPr>
            <w:tcW w:w="10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Bonus</w:t>
            </w:r>
          </w:p>
        </w:tc>
        <w:tc>
          <w:tcPr>
            <w:tcW w:w="34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Awards Options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Seymour Holtzman</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4"/>
        </w:trPr>
        <w:tc>
          <w:tcPr>
            <w:tcW w:w="3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Chairman of the Board (1)</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(3)</w:t>
            </w:r>
          </w:p>
        </w:tc>
        <w:tc>
          <w:tcPr>
            <w:tcW w:w="0" w:type="dxa"/>
            <w:vAlign w:val="bottom"/>
          </w:tcPr>
          <w:p>
            <w:pPr>
              <w:spacing w:after="0"/>
              <w:rPr>
                <w:sz w:val="1"/>
                <w:szCs w:val="1"/>
                <w:color w:val="auto"/>
              </w:rPr>
            </w:pPr>
          </w:p>
        </w:tc>
      </w:tr>
      <w:tr>
        <w:trPr>
          <w:trHeight w:val="208"/>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David A. Levin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468,596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270,000</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16,031(2)</w:t>
            </w:r>
          </w:p>
        </w:tc>
        <w:tc>
          <w:tcPr>
            <w:tcW w:w="0" w:type="dxa"/>
            <w:vAlign w:val="bottom"/>
          </w:tcPr>
          <w:p>
            <w:pPr>
              <w:spacing w:after="0"/>
              <w:rPr>
                <w:sz w:val="1"/>
                <w:szCs w:val="1"/>
                <w:color w:val="auto"/>
              </w:rPr>
            </w:pPr>
          </w:p>
        </w:tc>
      </w:tr>
      <w:tr>
        <w:trPr>
          <w:trHeight w:val="216"/>
        </w:trPr>
        <w:tc>
          <w:tcPr>
            <w:tcW w:w="366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382,374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14,485(3)</w:t>
            </w:r>
          </w:p>
        </w:tc>
        <w:tc>
          <w:tcPr>
            <w:tcW w:w="0" w:type="dxa"/>
            <w:vAlign w:val="bottom"/>
          </w:tcPr>
          <w:p>
            <w:pPr>
              <w:spacing w:after="0"/>
              <w:rPr>
                <w:sz w:val="1"/>
                <w:szCs w:val="1"/>
                <w:color w:val="auto"/>
              </w:rPr>
            </w:pPr>
          </w:p>
        </w:tc>
      </w:tr>
      <w:tr>
        <w:trPr>
          <w:trHeight w:val="223"/>
        </w:trPr>
        <w:tc>
          <w:tcPr>
            <w:tcW w:w="3660" w:type="dxa"/>
            <w:vAlign w:val="bottom"/>
            <w:gridSpan w:val="3"/>
          </w:tcPr>
          <w:p>
            <w:pPr>
              <w:ind w:left="120"/>
              <w:spacing w:after="0"/>
              <w:rPr>
                <w:sz w:val="20"/>
                <w:szCs w:val="20"/>
                <w:color w:val="auto"/>
              </w:rPr>
            </w:pPr>
            <w:r>
              <w:rPr>
                <w:rFonts w:ascii="Arial" w:cs="Arial" w:eastAsia="Arial" w:hAnsi="Arial"/>
                <w:sz w:val="18"/>
                <w:szCs w:val="18"/>
                <w:color w:val="auto"/>
              </w:rPr>
              <w:t>Officer</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311,758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09"/>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Dennis R. Hernreich</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323,885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230,000</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8,020(2)</w:t>
            </w:r>
          </w:p>
        </w:tc>
        <w:tc>
          <w:tcPr>
            <w:tcW w:w="0" w:type="dxa"/>
            <w:vAlign w:val="bottom"/>
          </w:tcPr>
          <w:p>
            <w:pPr>
              <w:spacing w:after="0"/>
              <w:rPr>
                <w:sz w:val="1"/>
                <w:szCs w:val="1"/>
                <w:color w:val="auto"/>
              </w:rPr>
            </w:pPr>
          </w:p>
        </w:tc>
      </w:tr>
      <w:tr>
        <w:trPr>
          <w:trHeight w:val="216"/>
        </w:trPr>
        <w:tc>
          <w:tcPr>
            <w:tcW w:w="3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Executive Vice President,</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232,398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6,828(3)</w:t>
            </w:r>
          </w:p>
        </w:tc>
        <w:tc>
          <w:tcPr>
            <w:tcW w:w="0" w:type="dxa"/>
            <w:vAlign w:val="bottom"/>
          </w:tcPr>
          <w:p>
            <w:pPr>
              <w:spacing w:after="0"/>
              <w:rPr>
                <w:sz w:val="1"/>
                <w:szCs w:val="1"/>
                <w:color w:val="auto"/>
              </w:rPr>
            </w:pPr>
          </w:p>
        </w:tc>
      </w:tr>
      <w:tr>
        <w:trPr>
          <w:trHeight w:val="216"/>
        </w:trPr>
        <w:tc>
          <w:tcPr>
            <w:tcW w:w="3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Chief Financial Officer, Chief Operating</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121,610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85,307(4)</w:t>
            </w:r>
          </w:p>
        </w:tc>
        <w:tc>
          <w:tcPr>
            <w:tcW w:w="0" w:type="dxa"/>
            <w:vAlign w:val="bottom"/>
          </w:tcPr>
          <w:p>
            <w:pPr>
              <w:spacing w:after="0"/>
              <w:rPr>
                <w:sz w:val="1"/>
                <w:szCs w:val="1"/>
                <w:color w:val="auto"/>
              </w:rPr>
            </w:pPr>
          </w:p>
        </w:tc>
      </w:tr>
      <w:tr>
        <w:trPr>
          <w:trHeight w:val="224"/>
        </w:trPr>
        <w:tc>
          <w:tcPr>
            <w:tcW w:w="3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Officer and Treasurer</w:t>
            </w:r>
          </w:p>
        </w:tc>
        <w:tc>
          <w:tcPr>
            <w:tcW w:w="2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Stephen Gatsik (5)</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186,154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70,000</w:t>
            </w: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6,370(2)</w:t>
            </w:r>
          </w:p>
        </w:tc>
        <w:tc>
          <w:tcPr>
            <w:tcW w:w="0" w:type="dxa"/>
            <w:vAlign w:val="bottom"/>
          </w:tcPr>
          <w:p>
            <w:pPr>
              <w:spacing w:after="0"/>
              <w:rPr>
                <w:sz w:val="1"/>
                <w:szCs w:val="1"/>
                <w:color w:val="auto"/>
              </w:rPr>
            </w:pPr>
          </w:p>
        </w:tc>
      </w:tr>
      <w:tr>
        <w:trPr>
          <w:trHeight w:val="223"/>
        </w:trPr>
        <w:tc>
          <w:tcPr>
            <w:tcW w:w="3660" w:type="dxa"/>
            <w:vAlign w:val="bottom"/>
            <w:gridSpan w:val="3"/>
          </w:tcPr>
          <w:p>
            <w:pPr>
              <w:ind w:left="120"/>
              <w:spacing w:after="0"/>
              <w:rPr>
                <w:sz w:val="20"/>
                <w:szCs w:val="20"/>
                <w:color w:val="auto"/>
              </w:rPr>
            </w:pPr>
            <w:r>
              <w:rPr>
                <w:rFonts w:ascii="Arial" w:cs="Arial" w:eastAsia="Arial" w:hAnsi="Arial"/>
                <w:sz w:val="18"/>
                <w:szCs w:val="18"/>
                <w:color w:val="auto"/>
              </w:rPr>
              <w:t>President of the Casual Male division</w:t>
            </w:r>
          </w:p>
        </w:tc>
        <w:tc>
          <w:tcPr>
            <w:tcW w:w="2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Ronald N. Batts (6)</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251,172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81,509(2)</w:t>
            </w:r>
          </w:p>
        </w:tc>
        <w:tc>
          <w:tcPr>
            <w:tcW w:w="0" w:type="dxa"/>
            <w:vAlign w:val="bottom"/>
          </w:tcPr>
          <w:p>
            <w:pPr>
              <w:spacing w:after="0"/>
              <w:rPr>
                <w:sz w:val="1"/>
                <w:szCs w:val="1"/>
                <w:color w:val="auto"/>
              </w:rPr>
            </w:pPr>
          </w:p>
        </w:tc>
      </w:tr>
      <w:tr>
        <w:trPr>
          <w:trHeight w:val="216"/>
        </w:trPr>
        <w:tc>
          <w:tcPr>
            <w:tcW w:w="3660" w:type="dxa"/>
            <w:vAlign w:val="bottom"/>
            <w:gridSpan w:val="3"/>
            <w:shd w:val="clear" w:color="auto" w:fill="CCEEFF"/>
          </w:tcPr>
          <w:p>
            <w:pPr>
              <w:ind w:left="120"/>
              <w:spacing w:after="0" w:line="217" w:lineRule="exact"/>
              <w:rPr>
                <w:sz w:val="20"/>
                <w:szCs w:val="20"/>
                <w:color w:val="auto"/>
              </w:rPr>
            </w:pPr>
            <w:r>
              <w:rPr>
                <w:rFonts w:ascii="Arial" w:cs="Arial" w:eastAsia="Arial" w:hAnsi="Arial"/>
                <w:sz w:val="18"/>
                <w:szCs w:val="18"/>
                <w:color w:val="auto"/>
              </w:rPr>
              <w:t>Former President of Levi’s</w:t>
            </w:r>
            <w:r>
              <w:rPr>
                <w:rFonts w:ascii="Arial" w:cs="Arial" w:eastAsia="Arial" w:hAnsi="Arial"/>
                <w:sz w:val="22"/>
                <w:szCs w:val="22"/>
                <w:color w:val="auto"/>
                <w:vertAlign w:val="superscript"/>
              </w:rPr>
              <w:t>®</w:t>
            </w:r>
            <w:r>
              <w:rPr>
                <w:rFonts w:ascii="Arial" w:cs="Arial" w:eastAsia="Arial" w:hAnsi="Arial"/>
                <w:sz w:val="18"/>
                <w:szCs w:val="18"/>
                <w:color w:val="auto"/>
              </w:rPr>
              <w:t>, Dockers</w:t>
            </w:r>
            <w:r>
              <w:rPr>
                <w:rFonts w:ascii="Arial" w:cs="Arial" w:eastAsia="Arial" w:hAnsi="Arial"/>
                <w:sz w:val="22"/>
                <w:szCs w:val="22"/>
                <w:color w:val="auto"/>
                <w:vertAlign w:val="superscript"/>
              </w:rPr>
              <w:t>®</w:t>
            </w:r>
            <w:r>
              <w:rPr>
                <w:rFonts w:ascii="Arial" w:cs="Arial" w:eastAsia="Arial" w:hAnsi="Arial"/>
                <w:sz w:val="18"/>
                <w:szCs w:val="18"/>
                <w:color w:val="auto"/>
              </w:rPr>
              <w:t>,</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86,432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10,403(3)</w:t>
            </w:r>
          </w:p>
        </w:tc>
        <w:tc>
          <w:tcPr>
            <w:tcW w:w="0" w:type="dxa"/>
            <w:vAlign w:val="bottom"/>
          </w:tcPr>
          <w:p>
            <w:pPr>
              <w:spacing w:after="0"/>
              <w:rPr>
                <w:sz w:val="1"/>
                <w:szCs w:val="1"/>
                <w:color w:val="auto"/>
              </w:rPr>
            </w:pPr>
          </w:p>
        </w:tc>
      </w:tr>
      <w:tr>
        <w:trPr>
          <w:trHeight w:val="224"/>
        </w:trPr>
        <w:tc>
          <w:tcPr>
            <w:tcW w:w="3660" w:type="dxa"/>
            <w:vAlign w:val="bottom"/>
            <w:gridSpan w:val="3"/>
            <w:shd w:val="clear" w:color="auto" w:fill="CCEEFF"/>
          </w:tcPr>
          <w:p>
            <w:pPr>
              <w:ind w:left="120"/>
              <w:spacing w:after="0" w:line="224" w:lineRule="exact"/>
              <w:rPr>
                <w:sz w:val="20"/>
                <w:szCs w:val="20"/>
                <w:color w:val="auto"/>
              </w:rPr>
            </w:pPr>
            <w:r>
              <w:rPr>
                <w:rFonts w:ascii="Arial" w:cs="Arial" w:eastAsia="Arial" w:hAnsi="Arial"/>
                <w:sz w:val="18"/>
                <w:szCs w:val="18"/>
                <w:color w:val="auto"/>
              </w:rPr>
              <w:t>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divisions</w:t>
            </w:r>
          </w:p>
        </w:tc>
        <w:tc>
          <w:tcPr>
            <w:tcW w:w="2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60" w:hanging="452"/>
        <w:spacing w:after="0" w:line="252"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Holtzman was hired by the Company as an executive officer and employee of the Company on May 25, 2001. As compensation for his services, in fiscal 2002, the Company granted to Mr. Holtzman an option to purchase up to 300,000 shares of the Company’s common stock. In fiscal 2003, Mr. Holtzman was granted additional options to purchase up to 600,000 shares of the Company’s common stock. See “Employment Agreements” for more discussion.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Compensation with respect to fiscal 2003 represents:</w:t>
      </w:r>
    </w:p>
    <w:p>
      <w:pPr>
        <w:spacing w:after="0" w:line="9" w:lineRule="exact"/>
        <w:rPr>
          <w:rFonts w:ascii="Arial" w:cs="Arial" w:eastAsia="Arial" w:hAnsi="Arial"/>
          <w:sz w:val="18"/>
          <w:szCs w:val="18"/>
          <w:color w:val="auto"/>
        </w:rPr>
      </w:pPr>
    </w:p>
    <w:p>
      <w:pPr>
        <w:ind w:left="460" w:right="80" w:firstLine="4"/>
        <w:spacing w:after="0" w:line="281" w:lineRule="auto"/>
        <w:tabs>
          <w:tab w:leader="none" w:pos="670" w:val="left"/>
        </w:tabs>
        <w:numPr>
          <w:ilvl w:val="1"/>
          <w:numId w:val="34"/>
        </w:numPr>
        <w:rPr>
          <w:rFonts w:ascii="Arial" w:cs="Arial" w:eastAsia="Arial" w:hAnsi="Arial"/>
          <w:sz w:val="16"/>
          <w:szCs w:val="16"/>
          <w:color w:val="auto"/>
        </w:rPr>
      </w:pPr>
      <w:r>
        <w:rPr>
          <w:rFonts w:ascii="Arial" w:cs="Arial" w:eastAsia="Arial" w:hAnsi="Arial"/>
          <w:sz w:val="16"/>
          <w:szCs w:val="16"/>
          <w:color w:val="auto"/>
        </w:rPr>
        <w:t>payments by the Company of insurance premiums for term life insurance for the benefit of the executive officers (Mr. Holtzman $34, Mr. Levin $3,245, Mr. Hernreich $466, Mr. Gatsik $870 and Mr. Batts $426); (ii) matching contributions made by the Company for the benefit of each of the following executive officers to the Company’s retirement plan (the “401(k) Plan”) established pursuant to Section 401(k) of the Internal Revenue Code of 1986, as amended (the “Internal Revenue Code”) (Mr. Levin $4,426, Mr. Hernreich $5,131 and Mr. Gatsik $5,500); (iii) car allowances (Mr. Levin $8,360 and Mr. Hernreich $2,423); (iv) reimbursement for relocation costs (Mr. Batts $36,769); and (v) severance payments (Mr. Batts $44,314).</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Compensation with respect to fiscal 2002 represents:</w:t>
      </w:r>
    </w:p>
    <w:p>
      <w:pPr>
        <w:spacing w:after="0" w:line="9" w:lineRule="exact"/>
        <w:rPr>
          <w:rFonts w:ascii="Arial" w:cs="Arial" w:eastAsia="Arial" w:hAnsi="Arial"/>
          <w:sz w:val="18"/>
          <w:szCs w:val="18"/>
          <w:color w:val="auto"/>
        </w:rPr>
      </w:pPr>
    </w:p>
    <w:p>
      <w:pPr>
        <w:ind w:left="460" w:right="20" w:firstLine="4"/>
        <w:spacing w:after="0" w:line="255" w:lineRule="auto"/>
        <w:tabs>
          <w:tab w:leader="none" w:pos="67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payments by the Company of insurance premiums for term life insurance for the benefit of the executive officers (Mr. Levin $3,131, Mr. Hernreich $411 and Mr. Batts $124); (ii) matching contributions made by the Company for the benefit of each of the following executive officers to the 401(k) Plan (Mr. Levin $4,482 and Mr. Hernreich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color w:val="auto"/>
        </w:rPr>
        <w:t>$469); (iii) car allowances (Mr. Levin $6,872 and Mr. Hernreich $2,771); and (iv) reimbursement for relocation costs (Mr. Hernreich $3,177 and Mr. Batts $10,279).</w:t>
      </w: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Compensation with respect to fiscal 2001 represents:</w:t>
      </w:r>
    </w:p>
    <w:p>
      <w:pPr>
        <w:spacing w:after="0" w:line="9" w:lineRule="exact"/>
        <w:rPr>
          <w:rFonts w:ascii="Arial" w:cs="Arial" w:eastAsia="Arial" w:hAnsi="Arial"/>
          <w:sz w:val="18"/>
          <w:szCs w:val="18"/>
          <w:color w:val="auto"/>
        </w:rPr>
      </w:pPr>
    </w:p>
    <w:p>
      <w:pPr>
        <w:ind w:left="460" w:right="300" w:firstLine="4"/>
        <w:spacing w:after="0" w:line="250" w:lineRule="auto"/>
        <w:tabs>
          <w:tab w:leader="none" w:pos="67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payments by the Company of insurance premiums for term life insurance for the benefit of the executive officers (Mr. Levin $449 and Mr. Hernreich $307); and (iv) reimbursement for relocation costs (Mr. Hernreich $85,000).</w:t>
      </w:r>
    </w:p>
    <w:p>
      <w:pPr>
        <w:jc w:val="both"/>
        <w:ind w:left="460" w:right="26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Gatsik joined the Company on May 15, 2002 as a result of the Company’s Casual Male acquisition and served as an employee of the Company until May 2, 2003, when his employment with the Company terminated. Compensation paid by Casual Male Corp. to Mr. Gatsik prior to May 15, 2002 is not included in this schedule. In May 2003, Mr. Gatsik received a $70,000 bonus for fiscal 2003.</w:t>
      </w:r>
    </w:p>
    <w:p>
      <w:pPr>
        <w:spacing w:after="0" w:line="1" w:lineRule="exact"/>
        <w:rPr>
          <w:rFonts w:ascii="Arial" w:cs="Arial" w:eastAsia="Arial" w:hAnsi="Arial"/>
          <w:sz w:val="18"/>
          <w:szCs w:val="18"/>
          <w:color w:val="auto"/>
        </w:rPr>
      </w:pPr>
    </w:p>
    <w:p>
      <w:pPr>
        <w:ind w:left="460" w:right="100" w:hanging="452"/>
        <w:spacing w:after="0" w:line="20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Batts joined the Company on October 22, 2001 and most recently served as President of Levi’s</w:t>
      </w:r>
      <w:r>
        <w:rPr>
          <w:rFonts w:ascii="Arial" w:cs="Arial" w:eastAsia="Arial" w:hAnsi="Arial"/>
          <w:sz w:val="22"/>
          <w:szCs w:val="22"/>
          <w:color w:val="auto"/>
          <w:vertAlign w:val="superscript"/>
        </w:rPr>
        <w:t>®</w:t>
      </w:r>
      <w:r>
        <w:rPr>
          <w:rFonts w:ascii="Arial" w:cs="Arial" w:eastAsia="Arial" w:hAnsi="Arial"/>
          <w:sz w:val="18"/>
          <w:szCs w:val="18"/>
          <w:color w:val="auto"/>
        </w:rPr>
        <w:t>, 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divisions until October 25, 2002.</w:t>
      </w:r>
    </w:p>
    <w:p>
      <w:pPr>
        <w:spacing w:after="0" w:line="14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Option Grants Table</w:t>
      </w:r>
      <w:r>
        <w:rPr>
          <w:rFonts w:ascii="Arial" w:cs="Arial" w:eastAsia="Arial" w:hAnsi="Arial"/>
          <w:sz w:val="18"/>
          <w:szCs w:val="18"/>
          <w:color w:val="auto"/>
        </w:rPr>
        <w:t>. The following Option Grants Table sets forth certain information as of February 1, 2003 regarding stock options granted during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2003 by the Company to the Named Executive Officers.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Option Grants In Fiscal 2003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Potential Realizable</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Value of Assumed</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Individual Grants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Annual Rates of</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5"/>
          </w:tcPr>
          <w:p>
            <w:pPr>
              <w:jc w:val="center"/>
              <w:ind w:right="120"/>
              <w:spacing w:after="0" w:line="114" w:lineRule="exact"/>
              <w:rPr>
                <w:sz w:val="20"/>
                <w:szCs w:val="20"/>
                <w:color w:val="auto"/>
              </w:rPr>
            </w:pPr>
            <w:r>
              <w:rPr>
                <w:rFonts w:ascii="Arial" w:cs="Arial" w:eastAsia="Arial" w:hAnsi="Arial"/>
                <w:sz w:val="12"/>
                <w:szCs w:val="12"/>
                <w:b w:val="1"/>
                <w:bCs w:val="1"/>
                <w:color w:val="auto"/>
              </w:rPr>
              <w:t>Stock Price</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8"/>
              </w:rPr>
              <w:t>Number of</w:t>
            </w: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Percent of</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jc w:val="center"/>
              <w:ind w:right="100"/>
              <w:spacing w:after="0" w:line="156" w:lineRule="exact"/>
              <w:rPr>
                <w:sz w:val="20"/>
                <w:szCs w:val="20"/>
                <w:color w:val="auto"/>
              </w:rPr>
            </w:pPr>
            <w:r>
              <w:rPr>
                <w:rFonts w:ascii="Arial" w:cs="Arial" w:eastAsia="Arial" w:hAnsi="Arial"/>
                <w:sz w:val="14"/>
                <w:szCs w:val="14"/>
                <w:b w:val="1"/>
                <w:bCs w:val="1"/>
                <w:color w:val="auto"/>
                <w:w w:val="88"/>
              </w:rPr>
              <w:t>Appreciation for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0"/>
              </w:rPr>
              <w:t>Option Term (2)</w:t>
            </w:r>
          </w:p>
        </w:tc>
        <w:tc>
          <w:tcPr>
            <w:tcW w:w="0" w:type="dxa"/>
            <w:vAlign w:val="bottom"/>
          </w:tcPr>
          <w:p>
            <w:pPr>
              <w:spacing w:after="0"/>
              <w:rPr>
                <w:sz w:val="1"/>
                <w:szCs w:val="1"/>
                <w:color w:val="auto"/>
              </w:rPr>
            </w:pPr>
          </w:p>
        </w:tc>
      </w:tr>
      <w:tr>
        <w:trPr>
          <w:trHeight w:val="93"/>
        </w:trPr>
        <w:tc>
          <w:tcPr>
            <w:tcW w:w="9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66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Shares of Common</w:t>
            </w:r>
          </w:p>
        </w:tc>
        <w:tc>
          <w:tcPr>
            <w:tcW w:w="126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Total Options</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960" w:type="dxa"/>
            <w:vAlign w:val="bottom"/>
          </w:tcPr>
          <w:p>
            <w:pPr>
              <w:spacing w:after="0"/>
              <w:rPr>
                <w:sz w:val="4"/>
                <w:szCs w:val="4"/>
                <w:color w:val="auto"/>
              </w:rPr>
            </w:pPr>
          </w:p>
        </w:tc>
        <w:tc>
          <w:tcPr>
            <w:tcW w:w="352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166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Stock Underlying</w:t>
            </w:r>
          </w:p>
        </w:tc>
        <w:tc>
          <w:tcPr>
            <w:tcW w:w="126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Granted to</w:t>
            </w:r>
          </w:p>
        </w:tc>
        <w:tc>
          <w:tcPr>
            <w:tcW w:w="88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Exercise</w:t>
            </w: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Options</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Granted(1)</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Fiscal Year</w:t>
            </w:r>
          </w:p>
        </w:tc>
        <w:tc>
          <w:tcPr>
            <w:tcW w:w="100" w:type="dxa"/>
            <w:vAlign w:val="bottom"/>
          </w:tcPr>
          <w:p>
            <w:pPr>
              <w:spacing w:after="0"/>
              <w:rPr>
                <w:sz w:val="15"/>
                <w:szCs w:val="15"/>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Share</w:t>
            </w: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700" w:type="dxa"/>
            <w:vAlign w:val="bottom"/>
          </w:tcPr>
          <w:p>
            <w:pPr>
              <w:jc w:val="right"/>
              <w:ind w:right="223"/>
              <w:spacing w:after="0"/>
              <w:rPr>
                <w:sz w:val="20"/>
                <w:szCs w:val="20"/>
                <w:color w:val="auto"/>
              </w:rPr>
            </w:pPr>
            <w:r>
              <w:rPr>
                <w:rFonts w:ascii="Arial" w:cs="Arial" w:eastAsia="Arial" w:hAnsi="Arial"/>
                <w:sz w:val="14"/>
                <w:szCs w:val="14"/>
                <w:b w:val="1"/>
                <w:bCs w:val="1"/>
                <w:color w:val="auto"/>
              </w:rPr>
              <w:t>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4.58</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1,459,868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5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10/16/12</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792,407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2,008,116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1,368,475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3,467,984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1100" w:type="dxa"/>
            <w:vAlign w:val="bottom"/>
          </w:tcPr>
          <w:p>
            <w:pPr>
              <w:jc w:val="right"/>
              <w:spacing w:after="0"/>
              <w:rPr>
                <w:sz w:val="20"/>
                <w:szCs w:val="20"/>
                <w:color w:val="auto"/>
              </w:rPr>
            </w:pPr>
            <w:r>
              <w:rPr>
                <w:rFonts w:ascii="Arial" w:cs="Arial" w:eastAsia="Arial" w:hAnsi="Arial"/>
                <w:sz w:val="18"/>
                <w:szCs w:val="18"/>
                <w:color w:val="auto"/>
              </w:rPr>
              <w:t>75,000</w:t>
            </w:r>
          </w:p>
        </w:tc>
        <w:tc>
          <w:tcPr>
            <w:tcW w:w="5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4.58</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216,025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547,451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4.58</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216,025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Stephen Gatsik</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50,000(3)</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4.60</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8/22/12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144,646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366,561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N. Batts</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10,000(4)</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8/22/12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options granted in the table become exercisable over a three year period, with one-third vesting on each anniversary from the date of grant.</w:t>
      </w:r>
    </w:p>
    <w:p>
      <w:pPr>
        <w:spacing w:after="0" w:line="38"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shown on these columns represent hypothetical gains that could be achieved for the options if exercised at the end of the option term. These gains are based on assumed rates of stock appreciation as mandated by the Securities and Exchange Commission (based on the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Gatsik’s employment with the Company terminated on May 2, 2003. Accordingly, the 50,000 options, which were unexercisable, were canceled.</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Batts terminated his employment with the Company on October 25, 2002. Accordingly, the 10,000 options, which were unexercisable, were canceled.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i w:val="1"/>
          <w:iCs w:val="1"/>
          <w:color w:val="auto"/>
        </w:rPr>
        <w:t>Aggregated Option Exercises and Fiscal Year-End Option Value Table</w:t>
      </w:r>
      <w:r>
        <w:rPr>
          <w:rFonts w:ascii="Arial" w:cs="Arial" w:eastAsia="Arial" w:hAnsi="Arial"/>
          <w:sz w:val="16"/>
          <w:szCs w:val="16"/>
          <w:color w:val="auto"/>
        </w:rPr>
        <w:t>. The following table sets forth information for the Named Executive Officers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exercise of stock options during the fiscal year ended February 1, 2003 and the year-end value of unexercised options.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Aggregated Option Exercises in Fiscal 2003 and Fiscal Year-End Option Values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 Securities Underlying</w:t>
            </w:r>
          </w:p>
        </w:tc>
        <w:tc>
          <w:tcPr>
            <w:tcW w:w="100" w:type="dxa"/>
            <w:vAlign w:val="bottom"/>
          </w:tcPr>
          <w:p>
            <w:pPr>
              <w:spacing w:after="0"/>
              <w:rPr>
                <w:sz w:val="12"/>
                <w:szCs w:val="12"/>
                <w:color w:val="auto"/>
              </w:rPr>
            </w:pPr>
          </w:p>
        </w:tc>
        <w:tc>
          <w:tcPr>
            <w:tcW w:w="17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In-The-Money Options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Unexercised Options at Year-End</w:t>
            </w:r>
          </w:p>
        </w:tc>
        <w:tc>
          <w:tcPr>
            <w:tcW w:w="100" w:type="dxa"/>
            <w:vAlign w:val="bottom"/>
          </w:tcPr>
          <w:p>
            <w:pPr>
              <w:spacing w:after="0"/>
              <w:rPr>
                <w:sz w:val="12"/>
                <w:szCs w:val="12"/>
                <w:color w:val="auto"/>
              </w:rPr>
            </w:pPr>
          </w:p>
        </w:tc>
        <w:tc>
          <w:tcPr>
            <w:tcW w:w="17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at Year End</w:t>
            </w: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4"/>
              </w:rPr>
              <w:t># of Shares</w:t>
            </w:r>
          </w:p>
        </w:tc>
        <w:tc>
          <w:tcPr>
            <w:tcW w:w="100" w:type="dxa"/>
            <w:vAlign w:val="bottom"/>
          </w:tcPr>
          <w:p>
            <w:pPr>
              <w:spacing w:after="0"/>
              <w:rPr>
                <w:sz w:val="15"/>
                <w:szCs w:val="15"/>
                <w:color w:val="auto"/>
              </w:rPr>
            </w:pPr>
          </w:p>
        </w:tc>
        <w:tc>
          <w:tcPr>
            <w:tcW w:w="17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Value of Shares (1)</w:t>
            </w:r>
          </w:p>
        </w:tc>
        <w:tc>
          <w:tcPr>
            <w:tcW w:w="0" w:type="dxa"/>
            <w:vAlign w:val="bottom"/>
          </w:tcPr>
          <w:p>
            <w:pPr>
              <w:spacing w:after="0"/>
              <w:rPr>
                <w:sz w:val="1"/>
                <w:szCs w:val="1"/>
                <w:color w:val="auto"/>
              </w:rPr>
            </w:pPr>
          </w:p>
        </w:tc>
      </w:tr>
      <w:tr>
        <w:trPr>
          <w:trHeight w:val="95"/>
        </w:trPr>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1"/>
              </w:rPr>
              <w:t>Shares</w:t>
            </w: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Acquired. on</w:t>
            </w: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Value</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Exercise (#)</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Realized ($)</w:t>
            </w: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Exercisable</w:t>
            </w: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Unexercisable</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4"/>
              </w:rPr>
              <w:t>Exercisable</w:t>
            </w:r>
          </w:p>
        </w:tc>
        <w:tc>
          <w:tcPr>
            <w:tcW w:w="30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Seymour Holtzman(2)</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000" w:type="dxa"/>
            <w:vAlign w:val="bottom"/>
          </w:tcPr>
          <w:p>
            <w:pPr>
              <w:jc w:val="right"/>
              <w:spacing w:after="0"/>
              <w:rPr>
                <w:sz w:val="20"/>
                <w:szCs w:val="20"/>
                <w:color w:val="auto"/>
              </w:rPr>
            </w:pPr>
            <w:r>
              <w:rPr>
                <w:rFonts w:ascii="Arial" w:cs="Arial" w:eastAsia="Arial" w:hAnsi="Arial"/>
                <w:sz w:val="18"/>
                <w:szCs w:val="18"/>
                <w:color w:val="auto"/>
              </w:rPr>
              <w:t>241,667</w:t>
            </w: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258,333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420,500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Stephen Gatsik (3)</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Batts (4)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25,000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60" w:hanging="452"/>
        <w:spacing w:after="0" w:line="25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value of unexercised in-the-money options at fiscal year end is the difference between the closing price of the Company’s Common Stock on January 31, 2003, of $3.29 per share, and the exercise price of the respective options.</w:t>
      </w: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including options held in the name of Jewelcor Management,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Gatsik’s employment with the Company terminated on May 2, 2003. Accordingly, his options which were unexercisable were canceled on that date.</w:t>
      </w:r>
    </w:p>
    <w:p>
      <w:pPr>
        <w:spacing w:after="0" w:line="32" w:lineRule="exact"/>
        <w:rPr>
          <w:rFonts w:ascii="Arial" w:cs="Arial" w:eastAsia="Arial" w:hAnsi="Arial"/>
          <w:sz w:val="16"/>
          <w:szCs w:val="16"/>
          <w:color w:val="auto"/>
        </w:rPr>
      </w:pPr>
    </w:p>
    <w:p>
      <w:pPr>
        <w:ind w:left="460" w:right="20" w:hanging="452"/>
        <w:spacing w:after="0" w:line="26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Batts’ employment with the Company terminated on October 25, 2002. Accordingly, all unexercised options were canceled on that date and exercisable options expired 30 days from October 25, 2002.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15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As part of the Casual Male acquisition, the Company assumed Casual Male Corp.’s obligations under its Pension Plan (see Note I to the Notes to Consolidated Financial Statements)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400" w:type="dxa"/>
            <w:vAlign w:val="bottom"/>
            <w:gridSpan w:val="5"/>
          </w:tcPr>
          <w:p>
            <w:pPr>
              <w:jc w:val="right"/>
              <w:spacing w:after="0"/>
              <w:rPr>
                <w:sz w:val="20"/>
                <w:szCs w:val="20"/>
                <w:color w:val="auto"/>
              </w:rPr>
            </w:pPr>
            <w:r>
              <w:rPr>
                <w:rFonts w:ascii="Arial" w:cs="Arial" w:eastAsia="Arial" w:hAnsi="Arial"/>
                <w:sz w:val="14"/>
                <w:szCs w:val="14"/>
                <w:b w:val="1"/>
                <w:bCs w:val="1"/>
                <w:color w:val="auto"/>
              </w:rPr>
              <w:t>Representative Years of Service</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Average of Highest Five</w:t>
            </w: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440" w:type="dxa"/>
            <w:vAlign w:val="bottom"/>
            <w:gridSpan w:val="4"/>
            <w:vMerge w:val="continue"/>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440" w:type="dxa"/>
            <w:vAlign w:val="bottom"/>
            <w:gridSpan w:val="4"/>
          </w:tcPr>
          <w:p>
            <w:pPr>
              <w:spacing w:after="0"/>
              <w:rPr>
                <w:sz w:val="20"/>
                <w:szCs w:val="20"/>
                <w:color w:val="auto"/>
              </w:rPr>
            </w:pPr>
            <w:r>
              <w:rPr>
                <w:rFonts w:ascii="Arial" w:cs="Arial" w:eastAsia="Arial" w:hAnsi="Arial"/>
                <w:sz w:val="14"/>
                <w:szCs w:val="14"/>
                <w:b w:val="1"/>
                <w:bCs w:val="1"/>
                <w:color w:val="auto"/>
              </w:rPr>
              <w:t>Years of Compensation</w:t>
            </w:r>
          </w:p>
        </w:tc>
        <w:tc>
          <w:tcPr>
            <w:tcW w:w="600" w:type="dxa"/>
            <w:vAlign w:val="bottom"/>
          </w:tcPr>
          <w:p>
            <w:pPr>
              <w:jc w:val="right"/>
              <w:ind w:right="57"/>
              <w:spacing w:after="0"/>
              <w:rPr>
                <w:sz w:val="20"/>
                <w:szCs w:val="20"/>
                <w:color w:val="auto"/>
              </w:rPr>
            </w:pPr>
            <w:r>
              <w:rPr>
                <w:rFonts w:ascii="Arial" w:cs="Arial" w:eastAsia="Arial" w:hAnsi="Arial"/>
                <w:sz w:val="14"/>
                <w:szCs w:val="14"/>
                <w:b w:val="1"/>
                <w:bCs w:val="1"/>
                <w:color w:val="auto"/>
              </w:rPr>
              <w:t>10yrs</w:t>
            </w:r>
          </w:p>
        </w:tc>
        <w:tc>
          <w:tcPr>
            <w:tcW w:w="34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20yrs</w:t>
            </w:r>
          </w:p>
        </w:tc>
        <w:tc>
          <w:tcPr>
            <w:tcW w:w="34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30yrs(maximum)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6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$50,000</w:t>
            </w:r>
          </w:p>
        </w:tc>
        <w:tc>
          <w:tcPr>
            <w:tcW w:w="8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4,977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9,953</w:t>
            </w:r>
          </w:p>
        </w:tc>
        <w:tc>
          <w:tcPr>
            <w:tcW w:w="8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100,000</w:t>
            </w:r>
          </w:p>
        </w:tc>
        <w:tc>
          <w:tcPr>
            <w:tcW w:w="8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23,953</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150,000</w:t>
            </w:r>
          </w:p>
        </w:tc>
        <w:tc>
          <w:tcPr>
            <w:tcW w:w="8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37,953</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200,000</w:t>
            </w:r>
          </w:p>
        </w:tc>
        <w:tc>
          <w:tcPr>
            <w:tcW w:w="8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51,953</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250,000*</w:t>
            </w:r>
          </w:p>
        </w:tc>
        <w:tc>
          <w:tcPr>
            <w:tcW w:w="8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65,953</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267,326*</w:t>
            </w:r>
          </w:p>
        </w:tc>
        <w:tc>
          <w:tcPr>
            <w:tcW w:w="8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70,805</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300,000*</w:t>
            </w:r>
          </w:p>
        </w:tc>
        <w:tc>
          <w:tcPr>
            <w:tcW w:w="86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79,953</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6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Retirement and Supplemental Plans is $267,326.</w:t>
      </w:r>
    </w:p>
    <w:p>
      <w:pPr>
        <w:spacing w:after="0" w:line="181"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the Company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Plan for retirees at age 65, prior to the offset, if any, for benefits accrued under the retirement plan of Casual Male Corp. and for Social Security benefits.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February 1, 2003, none of the Named Executive Officers of the Company was a participant in either the Pension Plan or Supplemental Plan and therefore such officers are not entitled to any benefits from these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has a 401(k) plan for which all eligible employees of the Company may participate. In May 2002, as part of the Company’s Casual Male acquisition, the Company assumed the assets and liabilities of Casual Male Corp.’s two 401(k) plans. On January 1, 2003, all three 401(k) plans were merged into one 401(k) defined contribution plan. The 401(k) Plan permits each participant to defer up to 15 percent of such participant’s annual salary up to a maximum annual amount ($11,000 in calendar year 2003, $11,000 in calendar year 2002 and $10,000 in calendar year 2001). The Board of Directors of the Company may determine, from fiscal year to fiscal year, whether and to what extent the Company will contribute to the 401(k) Plan by matching contributions made to such plan by eligible employees. During fiscal 2003, the matching contribution by the Company continued to be 50% of contributions by eligible employees up to a maximum of six percent of salary.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Man Insurance</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fiscal 2001, the Company obtained a key man life insurance policy in the amount of $2,000,000 on the life of Mr. Levin. In fiscal 2002, the Company obtained a key man life insurance policy in the amount of $2,000,000 on the life of Mr. Hernreich.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entered into an employment agreement, effective as of March 31, 2000, as amended, with David A. Levin for a two-year term ending April 10, 2002. Mr. Levin’s Employment Agreement was amended on April 10, 2001 to extend the term of the Agreement to April 2004. Mr. Levin’s Employment Agreement was further amended on January 30, 2003 (the “Second Amendment”) to redefine the initial term of employment as beginning on April 10, 2000 for a three-year term ending on April 10, 2003. This agreement automatically renews each year on its anniversary for additional one year periods, unless ninety day prior notice by either party is given otherwise. Accordingly, on April 10, 2003, Mr. Levin’s employment with the Company was extended for an additional one year period thereby extending the agreement to April 10, 2006.</w:t>
      </w:r>
    </w:p>
    <w:p>
      <w:pPr>
        <w:spacing w:after="0" w:line="1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August 14, 2000, the Company entered into an employment agreement with Dennis R. Hernreich for a one-year term ending September 1, 2001. Mr. Hernreich’s Employment Agreement was amended on April 25, 2001 to extend the term of the Agreement to September 4, 2002. On January 30, 2003, the agreement was amended (the “Second Amendment”) to redefine the initial term of employment as beginning on September 4, 2000 for a three-year term ending on September 4, 2003. This agreement automatically renews each year on its anniversary for additional one year periods, unless ninety day prior notice by either party is given otherwise. Accordingly as of September 4, 2002, the most recent anniversary date, Mr. Hernreich’s employment agreement with the Company was extended to September 4, 2005.</w:t>
      </w:r>
    </w:p>
    <w:p>
      <w:pPr>
        <w:spacing w:after="0" w:line="131"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These employment agreements with Messrs. Levin and Hernreich (collectively, the “Employment Agreements”) require each executive officer to devote substantially all of the executive officer’s time and attention to the business of the Company as necessary to fulfill his respective duties. The Employment Agreements, as amended, provide that Messrs. Levin and Hernreich would be paid base salaries at annual rates of $500,000 and $375,000 respectively. The Employment Agreements provide that the annual rate of base salary for the renewal term may be increased by the Compensation Committee of the Board of Directors in its sole discretion. The Employment Agreements also provide for the payment of bonuses in such amounts as may be determined by the Compensation Committee. While Messrs. Levin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and Hernreich are employed by the Company, the Company will provide each executive an automobile allowance in the amount of $600 per month. Each executive is entitled to vacation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9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Employment Agreement for Mr. Hernreich also provided for reimbursement of expenses associated with his relocation to the Boston area. In accordance with his agreement, Mr. Hernreich was entitled to receive a total amount of $85,000 for relocation costs, which Mr. Hernreich received, less applicable taxes, in fiscal 2001. In addition, Mr. Hernreich was entitled to receive reimbursement for reasonable expenses associated with his temporary living arrangements.</w:t>
      </w:r>
    </w:p>
    <w:p>
      <w:pPr>
        <w:spacing w:after="0" w:line="9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Mr. Levin is entitled to receive an annual bonus of up to 50% and Mr. Hernreich is entitled to receive an annual bonus of up to 45% of their respective annual base salaries depending on the performance of the Company. The Compensation Committee of the Board of Directors shall determine, in its sole discretion, the amount of bonus to be paid to the executive officers. Mr. Levin is entitled to receive an additional annual bonus of 10% if the Company meets its annual projections for its fiscal budget plan, as approved by the Board of Directors. In fiscal 2003, Messrs. Levin and Hernreich were paid bonuses of $270,000 and $230,000, respectively.</w:t>
      </w:r>
    </w:p>
    <w:p>
      <w:pPr>
        <w:spacing w:after="0" w:line="1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Employment Agreements provide that in the event the executive officer’s employment is terminated by the Company at any time for any reason other than “justifiable cause” (as defined in the Employment Agreements), disability or death, the Company is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the Company. Mr. Levin’s Employment Agreement also provides that if he is terminated without justifiable cause within one year after a Change of Control of the Company (as defined below) has occurred, the executive officer shall receive a lump sum payment in the amount of (1) the base salary for the remaining term of the related Employment Agreement or (2) an amount equal to the current base salary for one year.</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Employment Agreements contain confidentiality provisions pursuant to which each executive officer agrees not to disclose confidential information regarding the Company. The Employment Agreements also contain covenants pursuant to which each executive officer agrees, during the term of his employment and for a one-year period following the termination of his employment, not to have any connection with any business which competes with the business of the Company.</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August 19, 2002, the Company had entered into an employment agreement with Stephen Gatsik for a one-year term ending on August 19, 2003. Pursuant to that agreement, Mr. Gatsik was entitled to receive an annual salary of $350,000 and a minimum bonus of $70,000. This employment agreement was in effect through May 2, 2003, the date Mr. Gatsik’s employment with the Company was terminated. Pursuant to his employment agreement, Mr. Gatsik will receive severance payments, over a six-month period, in an aggregate amount equal to the aggregate amount of the payments he would have been entitled to receive as salary for such period.</w:t>
      </w:r>
    </w:p>
    <w:p>
      <w:pPr>
        <w:spacing w:after="0" w:line="12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Mr. Holtzman, who had served as the Company’s non-employee Chairman of the Board, was hired by the Company in May 2001 as an executive officer of the Company. In connection with his hiring, the Board awarded Mr. Holtzman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option to purchase an aggregate of 300,000 shares of the Company’s Common Stock at an exercise price of $3.88 per share, equal to the closing price of the Common Stock on the date of his hiring. On May 1, 2002, Mr. Holtzman was granted options to acquire 200,000 shares of Common Stock at an exercise price of $4.58 per share and on October 16, 2002, Mr. Holtzman was granted options to purchase an additional 400,000 shares of the Company’s Common Stock at an exercise price of $3.15 per share, which exercise prices were equal to the respective closing price of the Common Stock on those dates. These options represent the principal portion of Mr. Holtzman’s compensation as an employee of the Company. Mr. Holtzman received $23,539 in cash compensation as an employee during fiscal 2003. Mr. Holtzman is otherwise subject to an employment arrangement on terms substantially similar to those of the Employment Agreements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158"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color w:val="auto"/>
        </w:rPr>
        <w:t>On October 25, 2002, the Company and Ronald N. Batts, who at the time was the Company’s President of Levi’s</w:t>
      </w:r>
      <w:r>
        <w:rPr>
          <w:rFonts w:ascii="Arial" w:cs="Arial" w:eastAsia="Arial" w:hAnsi="Arial"/>
          <w:sz w:val="22"/>
          <w:szCs w:val="22"/>
          <w:color w:val="auto"/>
          <w:vertAlign w:val="superscript"/>
        </w:rPr>
        <w:t>®</w:t>
      </w:r>
      <w:r>
        <w:rPr>
          <w:rFonts w:ascii="Arial" w:cs="Arial" w:eastAsia="Arial" w:hAnsi="Arial"/>
          <w:sz w:val="18"/>
          <w:szCs w:val="18"/>
          <w:color w:val="auto"/>
        </w:rPr>
        <w:t>, Dockers</w:t>
      </w:r>
      <w:r>
        <w:rPr>
          <w:rFonts w:ascii="Arial" w:cs="Arial" w:eastAsia="Arial" w:hAnsi="Arial"/>
          <w:sz w:val="22"/>
          <w:szCs w:val="22"/>
          <w:color w:val="auto"/>
          <w:vertAlign w:val="superscript"/>
        </w:rPr>
        <w:t>®</w:t>
      </w:r>
      <w:r>
        <w:rPr>
          <w:rFonts w:ascii="Arial" w:cs="Arial" w:eastAsia="Arial" w:hAnsi="Arial"/>
          <w:sz w:val="18"/>
          <w:szCs w:val="18"/>
          <w:color w:val="auto"/>
        </w:rPr>
        <w:t>,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divisions, entered into a Separation Agreement whereby the Company agreed to pay Mr. Batts his monthly salary per his employment agreement, or approximately $10,578 per month, for a period of eight months and an additional $2,083 per month for the eight months as partial payment of his guaranteed bonus that he was entitled to under his employment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fiscal 2003, non-employee directors of the Company were paid $3,000 plus expenses for each meeting of the Board of Directors in which they participated. During fiscal 2003, non-employee directors of the Company were paid, in addition to reimbursement of expenses, for meetings of committees of the Board in which they participated as follows: $3,000 for each Compensation Committee meeting and $1,500 for each Audit Committee meeting. Non-employee directors received $500 for certain telephonic board or committee meetings. During fiscal 2003, non-employee directors of the Company were also eligible to participate in the Company’s 1992 Stock Incentive Plan, as amended (the “1992 Plan”). On January 20, 2000, the Board of Directors amended the plan to provide for the grant to each non-employee director of the Company a stock option to purchase 15,000 shares of Common Stock upon such director’s election and a stock option to purchase 15,000 shares of Common Stock upon such director’s re-election. On June 26, 2001, the plan was further amended by the Board of Directors to provide that each of such stock options would become exercisable in three equal annual installments commencing with the date of grant. All options are granted with a term of ten years.</w:t>
      </w:r>
    </w:p>
    <w:p>
      <w:pPr>
        <w:spacing w:after="0" w:line="1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1992 Plan also provides that non-employee directors of the Company may elect to receive all or a portion of their directors’ fees, on a current or deferred basis, in shares of Common Stock that are free of any restrictions under the 1992 Plan. A director wishing to receive Common Stock in lieu of cash would enter into an irrevocable agreement with the Company in advance of the beginning of a calendar year. During fiscal 2003, all non-employee directors elected to receive their directors’ fees in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58"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For fiscal 2003, the members of the Compensation Committee were Mr. Joseph Pennacchio and Mr. Jesse Choper. Persons serving on the Compensation Committee had no relationships with the Company in fiscal 2002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Decisions concerning the compensation of the Company’s executive officers generally are made by the two-member Compensation Committee of the Board of Directors. Each member of the Compensation Committee is a non-employee director of the Company. This Compensation Committee Report summarizes the Company’s executive officer compensation practices and policies for fiscal year 2003. For fiscal 2003, the Compensation Committee consisted of two members, Joseph Pennacchio and Jesse Choper.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Policies</w:t>
      </w:r>
    </w:p>
    <w:p>
      <w:pPr>
        <w:spacing w:after="0" w:line="158"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The Company’s compensation policies are designed to link executive officer compensation to the annual and long-term performance of the Company and to provide industry-competitive compensation for such officers. The Company’s executive officer compensation consists of two key components: (1) an annual component, consisting of annual base salary and annual incentive bonus, if any, and (2) a long-term component consisting of the grant of stock options.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policies with respect to each of these elements, as well as the bases for determining the compensation of the Company’s executives,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Annual Component: Base Salary and Annual Incentive Bonus</w:t>
      </w:r>
    </w:p>
    <w:p>
      <w:pPr>
        <w:spacing w:after="0" w:line="1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w:t>
      </w:r>
    </w:p>
    <w:p>
      <w:pPr>
        <w:spacing w:after="0" w:line="10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During fiscal 2003, as a result of the Casual Male acquisition and its impact on the size of the Company, the Compensation Committee amended both Messrs. Levin’s and Hernreich’s employment agreements by which Mr. Levin’s annual compensation was increased to $500,000 and Mr. Hernreich’s annual compensation was increased to $375,000. The Company entered into an employment agreement with Mr. Gatsik during fiscal 2003 which provided Mr. Gatsik with an annual base salary of $350,000. All employment agreements contain an opportunity for an annual incentive bonus, which is based on the Company’s financial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Long-Term Component: Stock Options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w:t>
      </w:r>
    </w:p>
    <w:p>
      <w:pPr>
        <w:spacing w:after="0" w:line="105" w:lineRule="exact"/>
        <w:rPr>
          <w:sz w:val="20"/>
          <w:szCs w:val="20"/>
          <w:color w:val="auto"/>
        </w:rPr>
      </w:pPr>
    </w:p>
    <w:p>
      <w:pPr>
        <w:ind w:right="700"/>
        <w:spacing w:after="0" w:line="306" w:lineRule="auto"/>
        <w:rPr>
          <w:sz w:val="20"/>
          <w:szCs w:val="20"/>
          <w:color w:val="auto"/>
        </w:rPr>
      </w:pPr>
      <w:r>
        <w:rPr>
          <w:rFonts w:ascii="Arial" w:cs="Arial" w:eastAsia="Arial" w:hAnsi="Arial"/>
          <w:sz w:val="16"/>
          <w:szCs w:val="16"/>
          <w:color w:val="auto"/>
        </w:rPr>
        <w:t>During fiscal 2003, in connection with the Casual Male acquisition, Messrs. Holtzman, Levin and Hernreich received options to purchase shares of the Company’s Common Stock of 200,000 options, 75,000 options and 75,000 options, respectively. In addition, in November 2002, Mr. Holtzman received additional options to purchase up to 400,000 shares of the Company’s Common Stock, principally as compensation for fiscal 2003.</w:t>
      </w:r>
    </w:p>
    <w:p>
      <w:pPr>
        <w:spacing w:after="0" w:line="9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addition to the foregoing, executive officers receive benefits under certain group health, long-term disability and life insurance plans, which are generally available to the Company’s eligible employees. After one year of service with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Company, the executive officers are eligible to participate in the 401(k) Plan. Benefits under these plans are not tied to corporate performance.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Securities and Exchange Commission requires that this Compensation Committee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COMPENSATION COMMITTEE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Joseph Pennacchio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Jesse Choper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following Performance Graph compares the Company’s cumulative stockholder return with that of a broad market index (Standard &amp; Poor’s Industrials Index) and one published industry index (Standard &amp; Poor’s 500—Composite Retail Index) for each of the most recent five years ended January 31. The cumulative stockholder return for shares of the Company’s Common Stock (“CMRG”) and each of the indices is calculated assuming that $100 was invested on January 31, 1998. The Company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the Company’s Common Stock, the S &amp; P Industrial and Composite Retail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73025</wp:posOffset>
            </wp:positionV>
            <wp:extent cx="3850640" cy="2306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5064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ectPr>
          <w:pgSz w:w="11900" w:h="16838" w:orient="portrait"/>
          <w:cols w:equalWidth="0" w:num="1">
            <w:col w:w="11420"/>
          </w:cols>
          <w:pgMar w:left="240" w:top="459" w:right="2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715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Jan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90805</wp:posOffset>
            </wp:positionV>
            <wp:extent cx="4203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83185</wp:posOffset>
            </wp:positionV>
            <wp:extent cx="29146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Years Ending</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Jan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60325</wp:posOffset>
            </wp:positionV>
            <wp:extent cx="2571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83185</wp:posOffset>
            </wp:positionV>
            <wp:extent cx="29146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83185</wp:posOffset>
            </wp:positionV>
            <wp:extent cx="29146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6">
            <w:col w:w="6840" w:space="720"/>
            <w:col w:w="360" w:space="520"/>
            <w:col w:w="380" w:space="180"/>
            <w:col w:w="760" w:space="320"/>
            <w:col w:w="380" w:space="480"/>
            <w:col w:w="480"/>
          </w:cols>
          <w:pgMar w:left="240" w:top="459" w:right="23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CMRG</w:t>
            </w:r>
          </w:p>
        </w:tc>
        <w:tc>
          <w:tcPr>
            <w:tcW w:w="2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77.78</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S&amp;P INDUSTRIALS</w:t>
            </w:r>
          </w:p>
        </w:tc>
        <w:tc>
          <w:tcPr>
            <w:tcW w:w="2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32.14</w:t>
            </w: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16.12</w:t>
            </w:r>
          </w:p>
        </w:tc>
        <w:tc>
          <w:tcPr>
            <w:tcW w:w="140" w:type="dxa"/>
            <w:vAlign w:val="bottom"/>
          </w:tcPr>
          <w:p>
            <w:pPr>
              <w:spacing w:after="0"/>
              <w:rPr>
                <w:sz w:val="18"/>
                <w:szCs w:val="18"/>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color w:val="auto"/>
              </w:rPr>
              <w:t>(8.48)</w:t>
            </w:r>
          </w:p>
        </w:tc>
        <w:tc>
          <w:tcPr>
            <w:tcW w:w="4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8"/>
                <w:szCs w:val="18"/>
                <w:color w:val="auto"/>
                <w:w w:val="94"/>
              </w:rPr>
              <w:t>(18.56)</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COMPOSITE RETAIL—500</w:t>
            </w:r>
          </w:p>
        </w:tc>
        <w:tc>
          <w:tcPr>
            <w:tcW w:w="2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62.73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4.13</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Indexed Returns</w:t>
            </w:r>
          </w:p>
        </w:tc>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Base Period</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Company/Index</w:t>
            </w:r>
          </w:p>
        </w:tc>
        <w:tc>
          <w:tcPr>
            <w:tcW w:w="21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Jan 98</w:t>
            </w:r>
          </w:p>
        </w:tc>
        <w:tc>
          <w:tcPr>
            <w:tcW w:w="32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Jan 99</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 00</w:t>
            </w:r>
          </w:p>
        </w:tc>
        <w:tc>
          <w:tcPr>
            <w:tcW w:w="1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Jan 01</w:t>
            </w: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Jan 02</w:t>
            </w:r>
          </w:p>
        </w:tc>
        <w:tc>
          <w:tcPr>
            <w:tcW w:w="120" w:type="dxa"/>
            <w:vAlign w:val="bottom"/>
          </w:tcPr>
          <w:p>
            <w:pPr>
              <w:spacing w:after="0"/>
              <w:rPr>
                <w:sz w:val="15"/>
                <w:szCs w:val="15"/>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rPr>
              <w:t>Jan 03</w:t>
            </w:r>
          </w:p>
        </w:tc>
        <w:tc>
          <w:tcPr>
            <w:tcW w:w="0" w:type="dxa"/>
            <w:vAlign w:val="bottom"/>
          </w:tcPr>
          <w:p>
            <w:pPr>
              <w:spacing w:after="0"/>
              <w:rPr>
                <w:sz w:val="1"/>
                <w:szCs w:val="1"/>
                <w:color w:val="auto"/>
              </w:rPr>
            </w:pPr>
          </w:p>
        </w:tc>
      </w:tr>
      <w:tr>
        <w:trPr>
          <w:trHeight w:val="95"/>
        </w:trPr>
        <w:tc>
          <w:tcPr>
            <w:tcW w:w="122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CMRG</w:t>
            </w:r>
          </w:p>
        </w:tc>
        <w:tc>
          <w:tcPr>
            <w:tcW w:w="314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86"/>
              </w:rPr>
              <w:t>100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182.86</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S&amp;P INDUSTRIALS</w:t>
            </w:r>
          </w:p>
        </w:tc>
        <w:tc>
          <w:tcPr>
            <w:tcW w:w="3140" w:type="dxa"/>
            <w:vAlign w:val="bottom"/>
            <w:gridSpan w:val="2"/>
          </w:tcPr>
          <w:p>
            <w:pPr>
              <w:jc w:val="center"/>
              <w:ind w:left="2072"/>
              <w:spacing w:after="0"/>
              <w:rPr>
                <w:sz w:val="20"/>
                <w:szCs w:val="20"/>
                <w:color w:val="auto"/>
              </w:rPr>
            </w:pPr>
            <w:r>
              <w:rPr>
                <w:rFonts w:ascii="Arial" w:cs="Arial" w:eastAsia="Arial" w:hAnsi="Arial"/>
                <w:sz w:val="18"/>
                <w:szCs w:val="18"/>
                <w:color w:val="auto"/>
                <w:w w:val="86"/>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132.14</w:t>
            </w:r>
          </w:p>
        </w:tc>
        <w:tc>
          <w:tcPr>
            <w:tcW w:w="3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153.44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140.43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114.37</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COMPOSITE RETAIL—500</w:t>
            </w:r>
          </w:p>
        </w:tc>
        <w:tc>
          <w:tcPr>
            <w:tcW w:w="314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86"/>
              </w:rPr>
              <w:t>100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165.59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172.43</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140" w:type="dxa"/>
            <w:vAlign w:val="bottom"/>
          </w:tcPr>
          <w:p>
            <w:pPr>
              <w:jc w:val="right"/>
              <w:ind w:right="112"/>
              <w:spacing w:after="0"/>
              <w:rPr>
                <w:sz w:val="20"/>
                <w:szCs w:val="20"/>
                <w:color w:val="auto"/>
              </w:rPr>
            </w:pPr>
            <w:r>
              <w:rPr>
                <w:rFonts w:ascii="Arial" w:cs="Arial" w:eastAsia="Arial" w:hAnsi="Arial"/>
                <w:sz w:val="18"/>
                <w:szCs w:val="18"/>
                <w:color w:val="auto"/>
              </w:rPr>
              <w:t>68</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i w:val="1"/>
          <w:iCs w:val="1"/>
          <w:color w:val="auto"/>
        </w:rPr>
        <w:t>Security Ownership of Certain Beneficial Owners and 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6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following table sets forth certain information with respect to persons known to the Company to be the beneficial owners of more than five percent of the issued and outstanding shares of Common Stock as of April 25, 2003. The Company is informed that, except as indicated, each person has sole voting and investment power with respect to all shares of Common Stock shown as beneficially owned by such person, subject to community property laws where applicable.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7"/>
              </w:rPr>
              <w:t>Number of Shares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5900" w:type="dxa"/>
            <w:vAlign w:val="bottom"/>
          </w:tcPr>
          <w:p>
            <w:pPr>
              <w:spacing w:after="0"/>
              <w:rPr>
                <w:sz w:val="15"/>
                <w:szCs w:val="15"/>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Beneficially Owned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of Class (1)</w:t>
            </w:r>
          </w:p>
        </w:tc>
      </w:tr>
      <w:tr>
        <w:trPr>
          <w:trHeight w:val="95"/>
        </w:trPr>
        <w:tc>
          <w:tcPr>
            <w:tcW w:w="96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9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8"/>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Jewelcor Management, Inc.</w:t>
            </w:r>
          </w:p>
        </w:tc>
        <w:tc>
          <w:tcPr>
            <w:tcW w:w="7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3,960,384(2)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100 N. Wilkes Barre Blvd.</w:t>
            </w:r>
          </w:p>
        </w:tc>
        <w:tc>
          <w:tcPr>
            <w:tcW w:w="5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Wilkes Barre, Pennsylvania 18702</w:t>
            </w:r>
          </w:p>
        </w:tc>
        <w:tc>
          <w:tcPr>
            <w:tcW w:w="5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Baron Capital Group, Inc.</w:t>
            </w:r>
          </w:p>
        </w:tc>
        <w:tc>
          <w:tcPr>
            <w:tcW w:w="7580" w:type="dxa"/>
            <w:vAlign w:val="bottom"/>
            <w:gridSpan w:val="3"/>
          </w:tcPr>
          <w:p>
            <w:pPr>
              <w:jc w:val="right"/>
              <w:ind w:right="340"/>
              <w:spacing w:after="0"/>
              <w:rPr>
                <w:sz w:val="20"/>
                <w:szCs w:val="20"/>
                <w:color w:val="auto"/>
              </w:rPr>
            </w:pPr>
            <w:r>
              <w:rPr>
                <w:rFonts w:ascii="Arial" w:cs="Arial" w:eastAsia="Arial" w:hAnsi="Arial"/>
                <w:sz w:val="18"/>
                <w:szCs w:val="18"/>
                <w:color w:val="auto"/>
              </w:rPr>
              <w:t>3,784,353(3)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10.59%</w:t>
            </w: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767 Fifth Avenue</w:t>
            </w:r>
          </w:p>
        </w:tc>
        <w:tc>
          <w:tcPr>
            <w:tcW w:w="5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New York, New York 10153</w:t>
            </w:r>
          </w:p>
        </w:tc>
        <w:tc>
          <w:tcPr>
            <w:tcW w:w="5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Glenn J. Krevlin</w:t>
            </w:r>
          </w:p>
        </w:tc>
        <w:tc>
          <w:tcPr>
            <w:tcW w:w="7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2,808,100(4)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650 Madison Avenue</w:t>
            </w:r>
          </w:p>
        </w:tc>
        <w:tc>
          <w:tcPr>
            <w:tcW w:w="5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New York 10022</w:t>
            </w:r>
          </w:p>
        </w:tc>
        <w:tc>
          <w:tcPr>
            <w:tcW w:w="5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Wellington Management Group, LLP</w:t>
            </w:r>
          </w:p>
        </w:tc>
        <w:tc>
          <w:tcPr>
            <w:tcW w:w="7580" w:type="dxa"/>
            <w:vAlign w:val="bottom"/>
            <w:gridSpan w:val="3"/>
          </w:tcPr>
          <w:p>
            <w:pPr>
              <w:jc w:val="right"/>
              <w:ind w:right="340"/>
              <w:spacing w:after="0"/>
              <w:rPr>
                <w:sz w:val="20"/>
                <w:szCs w:val="20"/>
                <w:color w:val="auto"/>
              </w:rPr>
            </w:pPr>
            <w:r>
              <w:rPr>
                <w:rFonts w:ascii="Arial" w:cs="Arial" w:eastAsia="Arial" w:hAnsi="Arial"/>
                <w:sz w:val="18"/>
                <w:szCs w:val="18"/>
                <w:color w:val="auto"/>
              </w:rPr>
              <w:t>2,655,000(5)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7.43%</w:t>
            </w: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75 State Street</w:t>
            </w:r>
          </w:p>
        </w:tc>
        <w:tc>
          <w:tcPr>
            <w:tcW w:w="5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Boston, Massachusetts 02109</w:t>
            </w:r>
          </w:p>
        </w:tc>
        <w:tc>
          <w:tcPr>
            <w:tcW w:w="5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Clark Estates, Inc.</w:t>
            </w:r>
          </w:p>
        </w:tc>
        <w:tc>
          <w:tcPr>
            <w:tcW w:w="7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2,346,359(6)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One Rockefeller Plaza, 31st Floor</w:t>
            </w:r>
          </w:p>
        </w:tc>
        <w:tc>
          <w:tcPr>
            <w:tcW w:w="5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New York 10020</w:t>
            </w:r>
          </w:p>
        </w:tc>
        <w:tc>
          <w:tcPr>
            <w:tcW w:w="5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Husic Capital Management</w:t>
            </w:r>
          </w:p>
        </w:tc>
        <w:tc>
          <w:tcPr>
            <w:tcW w:w="7580" w:type="dxa"/>
            <w:vAlign w:val="bottom"/>
            <w:gridSpan w:val="3"/>
          </w:tcPr>
          <w:p>
            <w:pPr>
              <w:jc w:val="right"/>
              <w:ind w:right="340"/>
              <w:spacing w:after="0"/>
              <w:rPr>
                <w:sz w:val="20"/>
                <w:szCs w:val="20"/>
                <w:color w:val="auto"/>
              </w:rPr>
            </w:pPr>
            <w:r>
              <w:rPr>
                <w:rFonts w:ascii="Arial" w:cs="Arial" w:eastAsia="Arial" w:hAnsi="Arial"/>
                <w:sz w:val="18"/>
                <w:szCs w:val="18"/>
                <w:color w:val="auto"/>
              </w:rPr>
              <w:t>2,243,400(7)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6.28%</w:t>
            </w: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555 California Street, Suite 2900</w:t>
            </w:r>
          </w:p>
        </w:tc>
        <w:tc>
          <w:tcPr>
            <w:tcW w:w="5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San Francisco, California 94104</w:t>
            </w:r>
          </w:p>
        </w:tc>
        <w:tc>
          <w:tcPr>
            <w:tcW w:w="5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Oppenheimer Funds, Inc.</w:t>
            </w:r>
          </w:p>
        </w:tc>
        <w:tc>
          <w:tcPr>
            <w:tcW w:w="7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1,810,000(8)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498 Seventh Avenue</w:t>
            </w:r>
          </w:p>
        </w:tc>
        <w:tc>
          <w:tcPr>
            <w:tcW w:w="5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New York 10018</w:t>
            </w:r>
          </w:p>
        </w:tc>
        <w:tc>
          <w:tcPr>
            <w:tcW w:w="5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ind w:left="5620" w:right="4740" w:hanging="5612"/>
        <w:spacing w:after="0" w:line="408" w:lineRule="auto"/>
        <w:tabs>
          <w:tab w:leader="none" w:pos="448" w:val="left"/>
        </w:tabs>
        <w:numPr>
          <w:ilvl w:val="0"/>
          <w:numId w:val="39"/>
        </w:numPr>
        <w:rPr>
          <w:rFonts w:ascii="Arial" w:cs="Arial" w:eastAsia="Arial" w:hAnsi="Arial"/>
          <w:sz w:val="15"/>
          <w:szCs w:val="15"/>
          <w:color w:val="auto"/>
        </w:rPr>
      </w:pPr>
      <w:r>
        <w:rPr>
          <w:rFonts w:ascii="Arial" w:cs="Arial" w:eastAsia="Arial" w:hAnsi="Arial"/>
          <w:sz w:val="15"/>
          <w:szCs w:val="15"/>
          <w:color w:val="auto"/>
        </w:rPr>
        <w:t>As of April 25, 2003, 35,744,921 shares of Common Stock were issued and outstanding. 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hanging="452"/>
        <w:spacing w:after="0" w:line="252"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received a Statement of Changes in Beneficial Ownership on Form 4 dated February 21, 2003, stating that Jewelcor Management Inc. (“JMI”) was the beneficial owner of the number of shares of Common Stock set forth opposite its name in the table. Includes warrants to purchase 147,059 shares of Common Stock exercisable within 60 days. Excludes 309,432 shares, including options to acquire 296,667 shares, owned individually by Seymour Holtzman and 30,000 shares owned by Mr. Holtzman’s grandchildren. Mr. Holtzman is the Chairman, President and Chief Executive Officer and, indirectly with his wife, the primary shareholder of JMI.</w:t>
      </w:r>
    </w:p>
    <w:p>
      <w:pPr>
        <w:ind w:left="460" w:right="32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received a Schedule 13G dated February 25, 2003, stating that Baron Capital Group, Inc. was the beneficial owner of the number of shares of Common Stock set forth opposite its name in the table.</w:t>
      </w:r>
    </w:p>
    <w:p>
      <w:pPr>
        <w:ind w:left="460" w:right="26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received a Schedule 13G/A dated October 28, 2002 stating that Glenn J. Krevlin was the beneficial owner of the number of shares of Common Stock set forth opposite its name in the table.</w:t>
      </w:r>
    </w:p>
    <w:p>
      <w:pPr>
        <w:ind w:left="460" w:right="30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received a Schedule 13G dated February 12, 2003, stating that Wellington Management Group, LLP was the beneficial owner of the number of shares of Common Stock set forth opposite its name in the table.</w:t>
      </w:r>
    </w:p>
    <w:p>
      <w:pPr>
        <w:ind w:left="460" w:right="60" w:hanging="452"/>
        <w:spacing w:after="0" w:line="300"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Company has received a Schedule 13D dated December 9, 2002, stating that The Clark Estates, Inc. was the beneficial owner of the number of shares of Common Stock set forth opposite its name in the table. Includes warrants to purchase 147.059 shares of Common Stock exercisable within 60 days.</w:t>
      </w:r>
    </w:p>
    <w:p>
      <w:pPr>
        <w:ind w:left="460" w:right="14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received a Schedule 13G/A dated January 15, 2003, stating that Husic Capital Management was the beneficial owner of the number of shares of Common Stock set forth opposite its name in the table.</w:t>
      </w:r>
    </w:p>
    <w:p>
      <w:pPr>
        <w:ind w:left="460" w:right="42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received a Schedule 13G dated February 12, 2003 stating that Oppenheimer Funds, Inc. was the beneficial owner of the number of shares of Common Stock set forth opposite its name in the table.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164"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following table sets forth certain information as of April 25, 2003, with respect to the directors of the Company, the Named Executive Officers and the directors and executive officers of the Company as a group. Except as indicated, each person has sole voting and investment power with respect to all shares of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Number of Shares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886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17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Beneficially Owned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of Class (1)</w:t>
            </w:r>
          </w:p>
        </w:tc>
      </w:tr>
      <w:tr>
        <w:trPr>
          <w:trHeight w:val="95"/>
        </w:trPr>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8"/>
        </w:trPr>
        <w:tc>
          <w:tcPr>
            <w:tcW w:w="8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Seymour Holtzman</w:t>
            </w:r>
          </w:p>
        </w:tc>
        <w:tc>
          <w:tcPr>
            <w:tcW w:w="1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4,299,816(2)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24"/>
        </w:trPr>
        <w:tc>
          <w:tcPr>
            <w:tcW w:w="8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Chairman of the Board and Director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8860" w:type="dxa"/>
            <w:vAlign w:val="bottom"/>
            <w:gridSpan w:val="3"/>
          </w:tcPr>
          <w:p>
            <w:pPr>
              <w:ind w:left="20"/>
              <w:spacing w:after="0"/>
              <w:rPr>
                <w:sz w:val="20"/>
                <w:szCs w:val="20"/>
                <w:color w:val="auto"/>
              </w:rPr>
            </w:pPr>
            <w:r>
              <w:rPr>
                <w:rFonts w:ascii="Arial" w:cs="Arial" w:eastAsia="Arial" w:hAnsi="Arial"/>
                <w:sz w:val="18"/>
                <w:szCs w:val="18"/>
                <w:color w:val="auto"/>
              </w:rPr>
              <w:t>David A. Levin</w:t>
            </w: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689,334(3)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8860" w:type="dxa"/>
            <w:vAlign w:val="bottom"/>
            <w:gridSpan w:val="3"/>
          </w:tcPr>
          <w:p>
            <w:pPr>
              <w:ind w:left="180"/>
              <w:spacing w:after="0"/>
              <w:rPr>
                <w:sz w:val="20"/>
                <w:szCs w:val="20"/>
                <w:color w:val="auto"/>
              </w:rPr>
            </w:pPr>
            <w:r>
              <w:rPr>
                <w:rFonts w:ascii="Arial" w:cs="Arial" w:eastAsia="Arial" w:hAnsi="Arial"/>
                <w:sz w:val="18"/>
                <w:szCs w:val="18"/>
                <w:color w:val="auto"/>
              </w:rPr>
              <w:t>Chief Executive Officer, President and Director</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8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Dennis R. Hernreich</w:t>
            </w:r>
          </w:p>
        </w:tc>
        <w:tc>
          <w:tcPr>
            <w:tcW w:w="1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225,533(4)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Financial Officer, Executive Vice President,</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Operating Officer and Treasurer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8860" w:type="dxa"/>
            <w:vAlign w:val="bottom"/>
            <w:gridSpan w:val="3"/>
          </w:tcPr>
          <w:p>
            <w:pPr>
              <w:ind w:left="20"/>
              <w:spacing w:after="0"/>
              <w:rPr>
                <w:sz w:val="20"/>
                <w:szCs w:val="20"/>
                <w:color w:val="auto"/>
              </w:rPr>
            </w:pPr>
            <w:r>
              <w:rPr>
                <w:rFonts w:ascii="Arial" w:cs="Arial" w:eastAsia="Arial" w:hAnsi="Arial"/>
                <w:sz w:val="18"/>
                <w:szCs w:val="18"/>
                <w:color w:val="auto"/>
              </w:rPr>
              <w:t>Stephen Gatsik (5)</w:t>
            </w:r>
          </w:p>
        </w:tc>
        <w:tc>
          <w:tcPr>
            <w:tcW w:w="1120" w:type="dxa"/>
            <w:vAlign w:val="bottom"/>
          </w:tcPr>
          <w:p>
            <w:pPr>
              <w:jc w:val="right"/>
              <w:spacing w:after="0"/>
              <w:rPr>
                <w:sz w:val="20"/>
                <w:szCs w:val="20"/>
                <w:color w:val="auto"/>
              </w:rPr>
            </w:pPr>
            <w:r>
              <w:rPr>
                <w:rFonts w:ascii="Arial" w:cs="Arial" w:eastAsia="Arial" w:hAnsi="Arial"/>
                <w:sz w:val="18"/>
                <w:szCs w:val="18"/>
                <w:color w:val="auto"/>
              </w:rPr>
              <w:t>16,000</w:t>
            </w:r>
          </w:p>
        </w:tc>
        <w:tc>
          <w:tcPr>
            <w:tcW w:w="6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860" w:type="dxa"/>
            <w:vAlign w:val="bottom"/>
            <w:gridSpan w:val="3"/>
          </w:tcPr>
          <w:p>
            <w:pPr>
              <w:ind w:left="180"/>
              <w:spacing w:after="0"/>
              <w:rPr>
                <w:sz w:val="20"/>
                <w:szCs w:val="20"/>
                <w:color w:val="auto"/>
              </w:rPr>
            </w:pPr>
            <w:r>
              <w:rPr>
                <w:rFonts w:ascii="Arial" w:cs="Arial" w:eastAsia="Arial" w:hAnsi="Arial"/>
                <w:sz w:val="18"/>
                <w:szCs w:val="18"/>
                <w:color w:val="auto"/>
              </w:rPr>
              <w:t>President of Casual Male division</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8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Ronald N. Batts</w:t>
            </w: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gridSpan w:val="3"/>
            <w:shd w:val="clear" w:color="auto" w:fill="CCEEFF"/>
          </w:tcPr>
          <w:p>
            <w:pPr>
              <w:ind w:left="180"/>
              <w:spacing w:after="0" w:line="217" w:lineRule="exact"/>
              <w:rPr>
                <w:sz w:val="20"/>
                <w:szCs w:val="20"/>
                <w:color w:val="auto"/>
              </w:rPr>
            </w:pPr>
            <w:r>
              <w:rPr>
                <w:rFonts w:ascii="Arial" w:cs="Arial" w:eastAsia="Arial" w:hAnsi="Arial"/>
                <w:sz w:val="18"/>
                <w:szCs w:val="18"/>
                <w:color w:val="auto"/>
              </w:rPr>
              <w:t>Former President of Levi’s</w:t>
            </w:r>
            <w:r>
              <w:rPr>
                <w:rFonts w:ascii="Arial" w:cs="Arial" w:eastAsia="Arial" w:hAnsi="Arial"/>
                <w:sz w:val="22"/>
                <w:szCs w:val="22"/>
                <w:color w:val="auto"/>
                <w:vertAlign w:val="superscript"/>
              </w:rPr>
              <w:t>®</w:t>
            </w:r>
            <w:r>
              <w:rPr>
                <w:rFonts w:ascii="Arial" w:cs="Arial" w:eastAsia="Arial" w:hAnsi="Arial"/>
                <w:sz w:val="18"/>
                <w:szCs w:val="18"/>
                <w:color w:val="auto"/>
              </w:rPr>
              <w:t>, Dockers</w:t>
            </w:r>
            <w:r>
              <w:rPr>
                <w:rFonts w:ascii="Arial" w:cs="Arial" w:eastAsia="Arial" w:hAnsi="Arial"/>
                <w:sz w:val="22"/>
                <w:szCs w:val="22"/>
                <w:color w:val="auto"/>
                <w:vertAlign w:val="superscript"/>
              </w:rPr>
              <w:t>®</w:t>
            </w:r>
            <w:r>
              <w:rPr>
                <w:rFonts w:ascii="Arial" w:cs="Arial" w:eastAsia="Arial" w:hAnsi="Arial"/>
                <w:sz w:val="18"/>
                <w:szCs w:val="18"/>
                <w:color w:val="auto"/>
              </w:rPr>
              <w:t>, Candies</w:t>
            </w:r>
            <w:r>
              <w:rPr>
                <w:rFonts w:ascii="Arial" w:cs="Arial" w:eastAsia="Arial" w:hAnsi="Arial"/>
                <w:sz w:val="22"/>
                <w:szCs w:val="22"/>
                <w:color w:val="auto"/>
                <w:vertAlign w:val="superscript"/>
              </w:rPr>
              <w:t>®</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860" w:type="dxa"/>
            <w:vAlign w:val="bottom"/>
            <w:gridSpan w:val="3"/>
            <w:shd w:val="clear" w:color="auto" w:fill="CCEEFF"/>
          </w:tcPr>
          <w:p>
            <w:pPr>
              <w:ind w:left="180"/>
              <w:spacing w:after="0" w:line="224" w:lineRule="exact"/>
              <w:rPr>
                <w:sz w:val="20"/>
                <w:szCs w:val="20"/>
                <w:color w:val="auto"/>
              </w:rPr>
            </w:pPr>
            <w:r>
              <w:rPr>
                <w:rFonts w:ascii="Arial" w:cs="Arial" w:eastAsia="Arial" w:hAnsi="Arial"/>
                <w:sz w:val="18"/>
                <w:szCs w:val="18"/>
                <w:color w:val="auto"/>
              </w:rPr>
              <w:t>and EcKo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8860" w:type="dxa"/>
            <w:vAlign w:val="bottom"/>
            <w:gridSpan w:val="3"/>
          </w:tcPr>
          <w:p>
            <w:pPr>
              <w:ind w:left="20"/>
              <w:spacing w:after="0"/>
              <w:rPr>
                <w:sz w:val="20"/>
                <w:szCs w:val="20"/>
                <w:color w:val="auto"/>
              </w:rPr>
            </w:pPr>
            <w:r>
              <w:rPr>
                <w:rFonts w:ascii="Arial" w:cs="Arial" w:eastAsia="Arial" w:hAnsi="Arial"/>
                <w:sz w:val="18"/>
                <w:szCs w:val="18"/>
                <w:color w:val="auto"/>
              </w:rPr>
              <w:t>Jesse Choper,</w:t>
            </w: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91,922(6)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8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8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Stephen M. Duff,</w:t>
            </w:r>
          </w:p>
        </w:tc>
        <w:tc>
          <w:tcPr>
            <w:tcW w:w="1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18,376(7)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8860" w:type="dxa"/>
            <w:vAlign w:val="bottom"/>
            <w:gridSpan w:val="3"/>
          </w:tcPr>
          <w:p>
            <w:pPr>
              <w:ind w:left="20"/>
              <w:spacing w:after="0"/>
              <w:rPr>
                <w:sz w:val="20"/>
                <w:szCs w:val="20"/>
                <w:color w:val="auto"/>
              </w:rPr>
            </w:pPr>
            <w:r>
              <w:rPr>
                <w:rFonts w:ascii="Arial" w:cs="Arial" w:eastAsia="Arial" w:hAnsi="Arial"/>
                <w:sz w:val="18"/>
                <w:szCs w:val="18"/>
                <w:color w:val="auto"/>
              </w:rPr>
              <w:t>Jeremiah P. Murphy, Jr.,</w:t>
            </w: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112,182(8)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8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8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Joseph Pennacchio,</w:t>
            </w:r>
          </w:p>
        </w:tc>
        <w:tc>
          <w:tcPr>
            <w:tcW w:w="1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134,413(8)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4"/>
        </w:trPr>
        <w:tc>
          <w:tcPr>
            <w:tcW w:w="8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8860" w:type="dxa"/>
            <w:vAlign w:val="bottom"/>
            <w:gridSpan w:val="3"/>
          </w:tcPr>
          <w:p>
            <w:pPr>
              <w:ind w:left="20"/>
              <w:spacing w:after="0"/>
              <w:rPr>
                <w:sz w:val="20"/>
                <w:szCs w:val="20"/>
                <w:color w:val="auto"/>
              </w:rPr>
            </w:pPr>
            <w:r>
              <w:rPr>
                <w:rFonts w:ascii="Arial" w:cs="Arial" w:eastAsia="Arial" w:hAnsi="Arial"/>
                <w:sz w:val="18"/>
                <w:szCs w:val="18"/>
                <w:color w:val="auto"/>
              </w:rPr>
              <w:t>George T. Porter, Jr.,</w:t>
            </w: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130,590(9)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8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8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Directors and Executive Officers as a group (10 persons)</w:t>
            </w: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5,718,166(10)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108"/>
        </w:trPr>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8" w:lineRule="exact"/>
        <w:rPr>
          <w:sz w:val="20"/>
          <w:szCs w:val="20"/>
          <w:color w:val="auto"/>
        </w:rPr>
      </w:pPr>
    </w:p>
    <w:p>
      <w:pPr>
        <w:ind w:left="460" w:right="100" w:hanging="452"/>
        <w:spacing w:after="0" w:line="303"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Securities and Exchange Commission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w:t>
      </w:r>
    </w:p>
    <w:p>
      <w:pPr>
        <w:spacing w:after="0" w:line="1" w:lineRule="exact"/>
        <w:rPr>
          <w:rFonts w:ascii="Arial" w:cs="Arial" w:eastAsia="Arial" w:hAnsi="Arial"/>
          <w:sz w:val="15"/>
          <w:szCs w:val="15"/>
          <w:color w:val="auto"/>
        </w:rPr>
      </w:pPr>
    </w:p>
    <w:p>
      <w:pPr>
        <w:ind w:left="460" w:right="300"/>
        <w:spacing w:after="0" w:line="255" w:lineRule="auto"/>
        <w:rPr>
          <w:rFonts w:ascii="Arial" w:cs="Arial" w:eastAsia="Arial" w:hAnsi="Arial"/>
          <w:sz w:val="15"/>
          <w:szCs w:val="15"/>
          <w:color w:val="auto"/>
        </w:rPr>
      </w:pPr>
      <w:r>
        <w:rPr>
          <w:rFonts w:ascii="Arial" w:cs="Arial" w:eastAsia="Arial" w:hAnsi="Arial"/>
          <w:sz w:val="18"/>
          <w:szCs w:val="18"/>
          <w:color w:val="auto"/>
        </w:rPr>
        <w:t>Such shares, however, are not deemed outstanding for the purpose of computing the percentage ownership of any other person. Percentage ownership is based on 35,744,921 shares of Common Stock outstanding as of April 25, 2003, plus securities deemed to be outstanding with respect to individual stockholders pursuant to Rule 13d-3(d)(1) under the Exchange Act.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329" w:lineRule="exact"/>
        <w:rPr>
          <w:sz w:val="20"/>
          <w:szCs w:val="20"/>
          <w:color w:val="auto"/>
        </w:rPr>
      </w:pPr>
    </w:p>
    <w:p>
      <w:pPr>
        <w:ind w:left="460" w:right="60" w:hanging="452"/>
        <w:spacing w:after="0" w:line="252"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4,299,816 shares of Common Stock, which includes 3,960,384 shares beneficially owned by JMI, of which Mr. Holtzman is the Chairman, President and Chief Executive Officer and indirectly, with his wife, the primary shareholder and includes 147,059 shares subject to warrants exercisable within 60 days; 309,432 shares owned individually, which includes 296,667 shares subject to stock options exercisable within 60 days; and 30,000 shares owned by Mr. Holtzman’s grandchildren as to which he disclaims beneficial ownership.</w:t>
      </w: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408,334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148,333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Gatsik’s employment with the Company terminated on May 2,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45,000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45,000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75,000 shares subject to stock options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1,225,393 shares subject to stock options and warrants exercisable within 60 days.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at February 1, 2003 regarding compensation plans under which the Company’s Common Stock is authorized for issuance.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Securities remaining</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6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28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available for future</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to be issued upon 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2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issuance under equity</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28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of compensation plans</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6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2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74"/>
        </w:trPr>
        <w:tc>
          <w:tcPr>
            <w:tcW w:w="67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and rights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1"/>
              <w:spacing w:after="0"/>
              <w:rPr>
                <w:sz w:val="20"/>
                <w:szCs w:val="20"/>
                <w:color w:val="auto"/>
              </w:rPr>
            </w:pPr>
            <w:r>
              <w:rPr>
                <w:rFonts w:ascii="Arial" w:cs="Arial" w:eastAsia="Arial" w:hAnsi="Arial"/>
                <w:sz w:val="14"/>
                <w:szCs w:val="14"/>
                <w:b w:val="1"/>
                <w:bCs w:val="1"/>
                <w:color w:val="auto"/>
                <w:w w:val="88"/>
              </w:rPr>
              <w:t>and rights</w:t>
            </w:r>
          </w:p>
        </w:tc>
        <w:tc>
          <w:tcPr>
            <w:tcW w:w="28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95"/>
        </w:trPr>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1"/>
              </w:rPr>
              <w:t>(a)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(b)</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Equity compensation plan approved by shareholders: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1992 Stock Incentive Plan (the “1992 Plan”)</w:t>
            </w:r>
          </w:p>
        </w:tc>
        <w:tc>
          <w:tcPr>
            <w:tcW w:w="18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1,899,990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Equity compensation plans not approved by shareholders</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Options outside of the 1992 Plan</w:t>
            </w:r>
          </w:p>
        </w:tc>
        <w:tc>
          <w:tcPr>
            <w:tcW w:w="18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1,050,000(1)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540" w:type="dxa"/>
            <w:vAlign w:val="bottom"/>
            <w:gridSpan w:val="2"/>
          </w:tcPr>
          <w:p>
            <w:pPr>
              <w:ind w:left="140"/>
              <w:spacing w:after="0"/>
              <w:rPr>
                <w:sz w:val="20"/>
                <w:szCs w:val="20"/>
                <w:color w:val="auto"/>
              </w:rPr>
            </w:pPr>
            <w:r>
              <w:rPr>
                <w:rFonts w:ascii="Arial" w:cs="Arial" w:eastAsia="Arial" w:hAnsi="Arial"/>
                <w:sz w:val="18"/>
                <w:szCs w:val="18"/>
                <w:color w:val="auto"/>
              </w:rPr>
              <w:t>Warrants</w:t>
            </w:r>
          </w:p>
        </w:tc>
        <w:tc>
          <w:tcPr>
            <w:tcW w:w="1840" w:type="dxa"/>
            <w:vAlign w:val="bottom"/>
            <w:gridSpan w:val="2"/>
          </w:tcPr>
          <w:p>
            <w:pPr>
              <w:ind w:left="800"/>
              <w:spacing w:after="0"/>
              <w:rPr>
                <w:sz w:val="20"/>
                <w:szCs w:val="20"/>
                <w:color w:val="auto"/>
              </w:rPr>
            </w:pPr>
            <w:r>
              <w:rPr>
                <w:rFonts w:ascii="Arial" w:cs="Arial" w:eastAsia="Arial" w:hAnsi="Arial"/>
                <w:sz w:val="18"/>
                <w:szCs w:val="18"/>
                <w:color w:val="auto"/>
                <w:w w:val="99"/>
              </w:rPr>
              <w:t>2,201,471(2)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20" w:hanging="452"/>
        <w:spacing w:after="0" w:line="252"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Board of Directors and the Compensation Committee of the Board of Directors has the reasonable discretion to issue shares outside of the 1992 Plan. Accordingly, at February 1, 2003, there were outstanding options to purchase up to 1,050,000 shares of Common Stock which were issued outside of the Company’s 1992 Plan. These options represent grants to consultants of the Company and also options granted to its executives in excess of the 1992 Plan’s annual maximum of 270,000 shares.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connection with the Casual Male acquisition, the Company issued warrants to purchase up to 3,394,471 shares of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i w:val="1"/>
          <w:iCs w:val="1"/>
          <w:color w:val="auto"/>
        </w:rPr>
        <w:t>Certain Relationships and Related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Jewelcor Management, Inc.</w:t>
      </w:r>
    </w:p>
    <w:p>
      <w:pPr>
        <w:spacing w:after="0" w:line="1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its strategic initiatives and for other related consulting services as may be agreed upon between JMI and the Company. Seymour Holtzman, who became the Company’s Chairman of the Board of Directors on April 11, 2000, is a beneficial holder of approximately 12% of the outstanding Common Stock of the Company (principally held by JMI). He is also the President and Chief Executive Officer, and indirectly, with his wife, the primary shareholder of JMI.</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twelve month consulting period beginning on April 28, 2001, the Company paid to JMI an annual compensation of $240,000. This compensation was paid to JMI on May 25, 2001 through the issuance of 61,856 non-forfeitable and fully vested shares of Common Stock.</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April 29, 2002, the Board of Directors renewed the consulting agreement with JMI for an additional one-year term commencing April 29, 2002 and ending on April 28, 2003. As payment for services rendered under this agreement, the Company issued to JMI 60,659 non-forfeitable and fully vested shares of Common Stock. The fair value of those shares on April 29, 2002, the date of issuance, was $276,000 or $4.55 per share. The agreement also includes a significant disincentive for non-performance, which would require JMI to pay to the Company a penalty equal to 150% of any unearned consulting services.</w:t>
      </w:r>
    </w:p>
    <w:p>
      <w:pPr>
        <w:spacing w:after="0" w:line="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April 28, 2003, the Board of Directors approved the extension of the consulting agreement with JMI for an additional three year term commencing on April 29, 2003 and ending on April 28, 2006. The extension of the consulting agreement will automatically renew each year thereafter on its anniversary date for additional one year terms, unless ninety day prior notice by either party is given otherwise. Under the consulting agreement, the Company will compensate JMI, annually, through the issuance of non-forfeitable and fully vested shares of the Company’s Common Stock with a fair value equal to $276,000 on the date of grant. Accordingly, as payment for services to be rendered under this agreement through April 28, 2004, the Company issued to JMI 70,769 non-forfeitable and fully vested shares of Common Stock. The fair value of those shares as of April 28, 2003 was $276,000 or $3.90 per share.</w:t>
      </w:r>
    </w:p>
    <w:p>
      <w:pPr>
        <w:spacing w:after="0" w:line="10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Mr. Jeffrey Unger, who is currently associated with JMI, was appointed by the Board of Directors on April 30, 2003 as the Company’s Vice President of Investor Relations. After a transition period during which Mr. Unger will wind down his responsibilities with JMI, he will devote his full time to his new position with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Debt Issuance- Jewelcor Management Inc. and Clark Partners I, L.P</w:t>
      </w:r>
    </w:p>
    <w:p>
      <w:pPr>
        <w:spacing w:after="0" w:line="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May 2002, the Company issued $24.5 million of 12% senior subordinated notes through private placements. Approximately $5.8 million of these notes are held by JMI, another $11.3 million are held by Clark Partners I, L.P. Stephen Duff, a director of the Company, is Treasurer of Ninth Floor Corporation, the general partner of Clark Partners I, L.P., and he is also Chief Investment Officer at The Clark Estates, Inc. Together with these notes, the Company also issued detachable warrants to acquire 1,715,000 shares of Common Stock at an exercise price of $0.01 per share and additional warrants to acquire 1,176,471 shares of Common Stock at an exercise price of $8.50 per share. JMI received warrants to purchase 402,500 shares of Common Stock at an exercise price of $0.01 per share and warrants to purchase 147,059 shares of Common Stock at an exercise price of $8.50 per share. Clark Partners I, L.P. received warrants to purchase 787,500 shares of Common Stock at an exercise price of $0.01 per share and warrants to purchase 147,059 shares of Common Stock at an exercise price of $8.50. Both JMI and Clark Partners I, L.P. exercised their $0.01 per share warrants in August 2002.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Arrangements</w:t>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June 2000, the Company extended a loan to David A. Levin, its President and Chief Executive Officer, in the amount of $196,875 in order for Mr. Levin to acquire from the Company 150,000 newly issued shares of the Company’s Common Stock at the closing price of the Common Stock on that day. The Company and Mr. Levin entered into a secured promissory note, whereby Mr. Levin agreed to pay to the Company the principal sum of $196,875 plus interest due and payable on June 26, 2003. The promissory note provided for interest at a rate of 6.53% per annum and is secured by the 150,000 acquired shares of the Company’s Common Stock.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Subsequent to year-end, on April 30, 2003, Mr. Levin paid, through the delivery of stock to the Company, $233,435, which represented the outstanding principal and interest due at through April 30, 2003. Mr. Levin sold to the Company 52,694 shares of the Company’s Common Stock at $4.43 per share, the price on April 30, 2003, to satisfy the amount owed under the secured promissory note. The Company will account for the 52,694 shares purchased from Mr. Levin as treasury stock.</w:t>
      </w:r>
    </w:p>
    <w:p>
      <w:pPr>
        <w:spacing w:after="0" w:line="12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i w:val="1"/>
          <w:iCs w:val="1"/>
          <w:color w:val="auto"/>
        </w:rPr>
        <w:t>Controls and Procedures</w:t>
      </w:r>
    </w:p>
    <w:p>
      <w:pPr>
        <w:spacing w:after="0" w:line="8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Within 90 days prior to the date of this report, the Company carried out an evaluation, under the supervision and with the participation of its management, including its Chief Executive Officer and Chief Financial Officer, of the effectiveness of the design and operation of its disclosure controls and procedures (as such term is defined in rules 13a-14(c) and 15d-14(c) under the Exchange Act). Based on the foregoing, the Chief Executive Officer and Chief Financial Officer of the Company concluded that the Company’s disclosure controls and procedures were effective as of the evaluation date.</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significant changes in the Company’s internal controls or in other factors that could significantly affect the internal controls subsequent to the date the Company completed its evaluation.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 tem 15.</w:t>
      </w:r>
      <w:r>
        <w:rPr>
          <w:sz w:val="20"/>
          <w:szCs w:val="20"/>
          <w:color w:val="auto"/>
        </w:rPr>
        <w:tab/>
      </w:r>
      <w:r>
        <w:rPr>
          <w:rFonts w:ascii="Arial" w:cs="Arial" w:eastAsia="Arial" w:hAnsi="Arial"/>
          <w:sz w:val="15"/>
          <w:szCs w:val="15"/>
          <w:i w:val="1"/>
          <w:iCs w:val="1"/>
          <w:color w:val="auto"/>
        </w:rPr>
        <w:t>Exhibits, Financial Statement Schedules, and Reports on Form 8-K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15(a)(1) Financial Statements</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Financial Statements” on page 28 of this Annual Report.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15(a)(2) Financial Statement Schedules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Schedule II “Valuation and Qualifying Accounts” for the three fiscal years ended February 1, 2003, February 2, 2002, and February 3, 2001 is set forth on page 76 of this Annual Report.</w:t>
      </w:r>
    </w:p>
    <w:p>
      <w:pPr>
        <w:spacing w:after="0" w:line="118"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All other schedules, other than the schedule listed above,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15(a)(3)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77 of this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15(b) Reports on Form 8-K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Years Ended February 1, 2003, February 2, 2002 and February 3, 2001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Balance at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Balance</w:t>
            </w:r>
          </w:p>
        </w:tc>
      </w:tr>
      <w:tr>
        <w:trPr>
          <w:trHeight w:val="149"/>
        </w:trPr>
        <w:tc>
          <w:tcPr>
            <w:tcW w:w="9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Provision</w:t>
            </w:r>
          </w:p>
        </w:tc>
        <w:tc>
          <w:tcPr>
            <w:tcW w:w="16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3"/>
              </w:rPr>
              <w:t>Charges/</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At End</w:t>
            </w:r>
          </w:p>
        </w:tc>
      </w:tr>
      <w:tr>
        <w:trPr>
          <w:trHeight w:val="174"/>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Year</w:t>
            </w:r>
          </w:p>
        </w:tc>
        <w:tc>
          <w:tcPr>
            <w:tcW w:w="12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7"/>
              </w:rPr>
              <w:t>(Benefit)</w:t>
            </w:r>
          </w:p>
        </w:tc>
        <w:tc>
          <w:tcPr>
            <w:tcW w:w="16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Write-offs</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Year</w:t>
            </w:r>
          </w:p>
        </w:tc>
      </w:tr>
      <w:tr>
        <w:trPr>
          <w:trHeight w:val="95"/>
        </w:trPr>
        <w:tc>
          <w:tcPr>
            <w:tcW w:w="92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250"/>
        </w:trPr>
        <w:tc>
          <w:tcPr>
            <w:tcW w:w="9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Restructuring Reserves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Year ended February 3, 2001</w:t>
            </w:r>
          </w:p>
        </w:tc>
        <w:tc>
          <w:tcPr>
            <w:tcW w:w="25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6,696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(182)(1)</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 (5,662)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   852(2)</w:t>
            </w:r>
          </w:p>
        </w:tc>
      </w:tr>
      <w:tr>
        <w:trPr>
          <w:trHeight w:val="216"/>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February 2, 2002</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2"/>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Year ended February 1, 2003</w:t>
            </w: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33,309(3)</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(15,946)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17,363(4)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40" w:hanging="452"/>
        <w:spacing w:after="0" w:line="25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($182,000) recognized in fiscal 2001 represents income recognized as a result of favorable lease negotiations on lease termination payments relating to the fiscal 2000 restructuring program.</w:t>
      </w:r>
    </w:p>
    <w:p>
      <w:pPr>
        <w:ind w:left="460" w:right="28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the reserve balance at year end are the remaining severance and landlord settlement payments to be made in accordance with the fiscal 2000 restructuring program.</w:t>
      </w:r>
    </w:p>
    <w:p>
      <w:pPr>
        <w:ind w:left="460" w:right="14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the restructuring charges for fiscal 2003 of $33.3 million is $16.4 million for the liquidation of inventory, which was included in cost of goods sold for fiscal 2003.</w:t>
      </w:r>
    </w:p>
    <w:p>
      <w:pPr>
        <w:ind w:left="460" w:right="46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the reserve balance at year end is a markdown reserve for inventory of $11.2 million which was included in inventory on the consolidated balance sheet.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ind w:left="920" w:right="380" w:hanging="556"/>
        <w:spacing w:after="0" w:line="268"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Company, as amended (included as Exhibit 3.1 to Amendment No. 3 of the Company’s Registration Statement on Form S-1 (No. 33-13402), and incorporated herein by reference).*</w:t>
      </w:r>
    </w:p>
    <w:p>
      <w:pPr>
        <w:spacing w:after="0" w:line="37" w:lineRule="exact"/>
        <w:rPr>
          <w:sz w:val="20"/>
          <w:szCs w:val="20"/>
          <w:color w:val="auto"/>
        </w:rPr>
      </w:pPr>
    </w:p>
    <w:p>
      <w:pPr>
        <w:ind w:left="920" w:right="460" w:hanging="556"/>
        <w:spacing w:after="0" w:line="268"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to Restated Certificate of Incorporation, as amended,dated June 22, 1993 (included as Exhibit 3.2 to the Company’s Quarterly Report on Form 10-Q dated June 17, 1996, and incorporated herein by reference).*</w:t>
      </w:r>
    </w:p>
    <w:p>
      <w:pPr>
        <w:spacing w:after="0" w:line="37" w:lineRule="exact"/>
        <w:rPr>
          <w:sz w:val="20"/>
          <w:szCs w:val="20"/>
          <w:color w:val="auto"/>
        </w:rPr>
      </w:pPr>
    </w:p>
    <w:p>
      <w:pPr>
        <w:ind w:left="920" w:right="40" w:hanging="556"/>
        <w:spacing w:after="0" w:line="268" w:lineRule="auto"/>
        <w:tabs>
          <w:tab w:leader="none" w:pos="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Amendment to Restated Certificate of Incorporation dated August 8, 2002 (included as Exhibit 3.3 to the Company’s Quarterly Report On Form 10-Q dated September 17, 2002, and incorporated herein by reference).*</w:t>
      </w:r>
    </w:p>
    <w:p>
      <w:pPr>
        <w:spacing w:after="0" w:line="37" w:lineRule="exact"/>
        <w:rPr>
          <w:sz w:val="20"/>
          <w:szCs w:val="20"/>
          <w:color w:val="auto"/>
        </w:rPr>
      </w:pPr>
    </w:p>
    <w:p>
      <w:pPr>
        <w:ind w:left="920" w:right="320" w:hanging="556"/>
        <w:spacing w:after="0" w:line="259" w:lineRule="auto"/>
        <w:tabs>
          <w:tab w:leader="none" w:pos="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Certificate of Designations, Preferences and Rights of a Series of Preferred Stock of the Company establishing Series A Junior Participating Cumulative Preferred Stock dated May 1, 1995 (included as Exhibit 3.2 to the Company’s Annual Report on Form 10-K dated May 1, 1996, and incorporated herein by reference).*</w:t>
      </w:r>
    </w:p>
    <w:p>
      <w:pPr>
        <w:spacing w:after="0" w:line="46" w:lineRule="exact"/>
        <w:rPr>
          <w:sz w:val="20"/>
          <w:szCs w:val="20"/>
          <w:color w:val="auto"/>
        </w:rPr>
      </w:pPr>
    </w:p>
    <w:p>
      <w:pPr>
        <w:ind w:left="920" w:right="380" w:hanging="556"/>
        <w:spacing w:after="0" w:line="259" w:lineRule="auto"/>
        <w:tabs>
          <w:tab w:leader="none" w:pos="9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Certificate of Designations, Preferences and Relative, Participating, Optional and Other Special Rights and Qualifications, Limitations and Restrictions of Series B Convertible Preferred Stock dated May 14, 2002 (included as Exhibit 3.1 to the Company’s Form 8-K filed on May 23, 2002, and incorporated herein by reference).*</w:t>
      </w:r>
    </w:p>
    <w:p>
      <w:pPr>
        <w:spacing w:after="0" w:line="46" w:lineRule="exact"/>
        <w:rPr>
          <w:sz w:val="20"/>
          <w:szCs w:val="20"/>
          <w:color w:val="auto"/>
        </w:rPr>
      </w:pPr>
    </w:p>
    <w:p>
      <w:pPr>
        <w:ind w:left="920" w:right="260" w:hanging="556"/>
        <w:spacing w:after="0" w:line="268" w:lineRule="auto"/>
        <w:tabs>
          <w:tab w:leader="none" w:pos="9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By-Laws of the Company, as amended (included as Exhibit 3.4 to the Company’s Quarterly Report on Form 10-Q dated December 12, 2000, and incorporated herein by reference).*</w:t>
      </w:r>
    </w:p>
    <w:p>
      <w:pPr>
        <w:spacing w:after="0" w:line="37" w:lineRule="exact"/>
        <w:rPr>
          <w:sz w:val="20"/>
          <w:szCs w:val="20"/>
          <w:color w:val="auto"/>
        </w:rPr>
      </w:pPr>
    </w:p>
    <w:p>
      <w:pPr>
        <w:ind w:left="920" w:right="120" w:hanging="644"/>
        <w:spacing w:after="0" w:line="268"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1992 Stock Incentive Plan, as amended (included as Exhibit 10.1 to the Company’s Quarterly Report on Form 10-Q dated September 18, 2001, and incorporated herein by reference).*</w:t>
      </w:r>
    </w:p>
    <w:p>
      <w:pPr>
        <w:spacing w:after="0" w:line="37" w:lineRule="exact"/>
        <w:rPr>
          <w:sz w:val="20"/>
          <w:szCs w:val="20"/>
          <w:color w:val="auto"/>
        </w:rPr>
      </w:pPr>
    </w:p>
    <w:p>
      <w:pPr>
        <w:ind w:left="920" w:hanging="644"/>
        <w:spacing w:after="0" w:line="256"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Third Amended and Restated Loan and Security Agreement dated as of May 14, 2002,by and among Fleet Retail Finance, Inc., as Administrative Agent and Collateral Agent, the Lenders identified therein, the Company, as Borrowers’ Representative,and the Company and Designs Apparel, Inc., as Borrowers (included as Exhibit 10.9 to the Company’s Current Report on Form 8-K/A filed on May 23, 2002, and incorporated herein by reference).*</w:t>
      </w:r>
    </w:p>
    <w:p>
      <w:pPr>
        <w:spacing w:after="0" w:line="49" w:lineRule="exact"/>
        <w:rPr>
          <w:sz w:val="20"/>
          <w:szCs w:val="20"/>
          <w:color w:val="auto"/>
        </w:rPr>
      </w:pPr>
    </w:p>
    <w:p>
      <w:pPr>
        <w:ind w:left="920" w:right="100" w:hanging="644"/>
        <w:spacing w:after="0" w:line="268"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Consulting Agreement dated as of December 15, 1999 between the Company and George T. Porter, Jr. (included as Exhibit 10.22 to the Company’s Annual Report Form 10-K dated April 28, 2000, and incorporated herein by reference).*</w:t>
      </w:r>
    </w:p>
    <w:p>
      <w:pPr>
        <w:spacing w:after="0" w:line="37" w:lineRule="exact"/>
        <w:rPr>
          <w:sz w:val="20"/>
          <w:szCs w:val="20"/>
          <w:color w:val="auto"/>
        </w:rPr>
      </w:pPr>
    </w:p>
    <w:p>
      <w:pPr>
        <w:ind w:left="920" w:right="560" w:hanging="644"/>
        <w:spacing w:after="0" w:line="268"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Consulting Agreement dated as of October 28, 1999 between the Company and Jewelcor Management, Inc. (included as Exhibit 10.20 to the Company’s Annual Report on Form 10-K dated April 28, 2000, and incorporated herein by Reference).*</w:t>
      </w:r>
    </w:p>
    <w:p>
      <w:pPr>
        <w:spacing w:after="0" w:line="37" w:lineRule="exact"/>
        <w:rPr>
          <w:sz w:val="20"/>
          <w:szCs w:val="20"/>
          <w:color w:val="auto"/>
        </w:rPr>
      </w:pPr>
    </w:p>
    <w:p>
      <w:pPr>
        <w:ind w:left="920" w:hanging="644"/>
        <w:spacing w:after="0" w:line="332" w:lineRule="auto"/>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Extension to Consulting Agreement, dated as of April 28, 2001, between the Company and Jewelcor Management, Inc. (included as Exhibit 10.15 to the Company’s Quarterly Report on Form 10-Q dated September 18, 2001, and incorporated herein by reference).*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345" w:lineRule="exact"/>
        <w:rPr>
          <w:sz w:val="20"/>
          <w:szCs w:val="20"/>
          <w:color w:val="auto"/>
        </w:rPr>
      </w:pPr>
    </w:p>
    <w:p>
      <w:pPr>
        <w:ind w:left="1040" w:right="40" w:hanging="644"/>
        <w:spacing w:after="0" w:line="268" w:lineRule="auto"/>
        <w:tabs>
          <w:tab w:leader="none" w:pos="10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Extension to Consulting Agreement, dated as of April 28, 2002, between the Company and Jewelcor Management, Inc. (included as Exhibit 10.30 to the Company’s Quarterly Report on Form 10-Q dated June 18, 2002, and incorporated herein by reference).*</w:t>
      </w:r>
    </w:p>
    <w:p>
      <w:pPr>
        <w:spacing w:after="0" w:line="37"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Extension to Consulting Agreement, dated as of April 29, 2003, between the Company and Jewelcor Management, Inc.</w:t>
      </w:r>
    </w:p>
    <w:p>
      <w:pPr>
        <w:spacing w:after="0" w:line="77" w:lineRule="exact"/>
        <w:rPr>
          <w:sz w:val="20"/>
          <w:szCs w:val="20"/>
          <w:color w:val="auto"/>
        </w:rPr>
      </w:pPr>
    </w:p>
    <w:p>
      <w:pPr>
        <w:ind w:left="1040" w:right="400" w:hanging="644"/>
        <w:spacing w:after="0" w:line="268" w:lineRule="auto"/>
        <w:tabs>
          <w:tab w:leader="none" w:pos="10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Employment Agreement dated as of March 31, 2000 between the Company and David A. Levin (included as Exhibit 10.27 to the Company’s Annual Report on Form 10-K dated April 28, 2000, and incorporated herein by reference).*</w:t>
      </w:r>
    </w:p>
    <w:p>
      <w:pPr>
        <w:spacing w:after="0" w:line="37" w:lineRule="exact"/>
        <w:rPr>
          <w:sz w:val="20"/>
          <w:szCs w:val="20"/>
          <w:color w:val="auto"/>
        </w:rPr>
      </w:pPr>
    </w:p>
    <w:p>
      <w:pPr>
        <w:ind w:left="1040" w:right="260" w:hanging="644"/>
        <w:spacing w:after="0" w:line="268" w:lineRule="auto"/>
        <w:tabs>
          <w:tab w:leader="none" w:pos="10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First Amendment to Employment Agreement dated April 10, 2001 between the Company and David A. Levin (included as Exhibit 10.19 to the Company’s Quarterly Report on Form 10-Q dated June 19, 2001, and incorporated herein by reference).*</w:t>
      </w:r>
    </w:p>
    <w:p>
      <w:pPr>
        <w:spacing w:after="0" w:line="37"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Second Amendment to Employment Agreement dated as of January 10, 2003 between the Company and David A. Levin.</w:t>
      </w:r>
    </w:p>
    <w:p>
      <w:pPr>
        <w:spacing w:after="0" w:line="77" w:lineRule="exact"/>
        <w:rPr>
          <w:sz w:val="20"/>
          <w:szCs w:val="20"/>
          <w:color w:val="auto"/>
        </w:rPr>
      </w:pPr>
    </w:p>
    <w:p>
      <w:pPr>
        <w:ind w:left="1040" w:right="480" w:hanging="725"/>
        <w:spacing w:after="0" w:line="268" w:lineRule="auto"/>
        <w:tabs>
          <w:tab w:leader="none" w:pos="10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Secured Promissory Note dated as of June 26, 2000 between the Company and David A. Levin (included as Exhibit 10.28 to the Company’s Quarterly Report on Form 10-Q dated September 12, 2000, and incorporated herein by reference).*</w:t>
      </w:r>
    </w:p>
    <w:p>
      <w:pPr>
        <w:spacing w:after="0" w:line="37" w:lineRule="exact"/>
        <w:rPr>
          <w:sz w:val="20"/>
          <w:szCs w:val="20"/>
          <w:color w:val="auto"/>
        </w:rPr>
      </w:pPr>
    </w:p>
    <w:p>
      <w:pPr>
        <w:ind w:left="1040" w:right="420" w:hanging="732"/>
        <w:spacing w:after="0" w:line="268" w:lineRule="auto"/>
        <w:tabs>
          <w:tab w:leader="none" w:pos="10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Pledge and Security Agreement dated June 26, 2000 between the Company and David A. Levin (included as Exhibit 10.29 to the Company’s Quarterly Report on Form 10-Q dated September 12, 2000, and incorporated herein by reference).*</w:t>
      </w:r>
    </w:p>
    <w:p>
      <w:pPr>
        <w:spacing w:after="0" w:line="37" w:lineRule="exact"/>
        <w:rPr>
          <w:sz w:val="20"/>
          <w:szCs w:val="20"/>
          <w:color w:val="auto"/>
        </w:rPr>
      </w:pPr>
    </w:p>
    <w:p>
      <w:pPr>
        <w:ind w:left="1040" w:hanging="732"/>
        <w:spacing w:after="0" w:line="268" w:lineRule="auto"/>
        <w:tabs>
          <w:tab w:leader="none" w:pos="10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Employment Agreement dated as of August 14, 2000 between the Company and Dennis R. Hernreich (included as Exhibit 10.30 to the Company’s Quarterly Report on Form 10-Q dated September 12, 2000, and incorporated herein by reference).*</w:t>
      </w:r>
    </w:p>
    <w:p>
      <w:pPr>
        <w:spacing w:after="0" w:line="37" w:lineRule="exact"/>
        <w:rPr>
          <w:sz w:val="20"/>
          <w:szCs w:val="20"/>
          <w:color w:val="auto"/>
        </w:rPr>
      </w:pPr>
    </w:p>
    <w:p>
      <w:pPr>
        <w:ind w:left="1040" w:right="160" w:hanging="732"/>
        <w:spacing w:after="0" w:line="268" w:lineRule="auto"/>
        <w:tabs>
          <w:tab w:leader="none" w:pos="10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First Amendment to Employment Agreement dated April 25, 2001 between the Company and Dennis R. Hernreich (included as Exhibit 10.23 to the Company’s Quarterly Report on Form 10-Q dated June 19, 2001, and incorporated herein by reference).*</w:t>
      </w:r>
    </w:p>
    <w:p>
      <w:pPr>
        <w:spacing w:after="0" w:line="37"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Second Amendment to Employment Agreement dated as of January 10, 2003 between the Company and Dennis R. Hernreich.</w:t>
      </w:r>
    </w:p>
    <w:p>
      <w:pPr>
        <w:spacing w:after="0" w:line="77" w:lineRule="exact"/>
        <w:rPr>
          <w:sz w:val="20"/>
          <w:szCs w:val="20"/>
          <w:color w:val="auto"/>
        </w:rPr>
      </w:pPr>
    </w:p>
    <w:p>
      <w:pPr>
        <w:ind w:left="1040" w:right="260" w:hanging="732"/>
        <w:spacing w:after="0" w:line="268" w:lineRule="auto"/>
        <w:tabs>
          <w:tab w:leader="none" w:pos="10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dated as of October 22, 2001 between the Company and Ronald N. Batts (included as Exhibit 10.25 to the Company’s Quarterly Report on Form 10-Q dated December 14, 2001, and incorporated herein by reference).*</w:t>
      </w:r>
    </w:p>
    <w:p>
      <w:pPr>
        <w:spacing w:after="0" w:line="37"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Agreement and General Release dated as of January 14, 2003 between the Company and Ronald N. Batts.</w:t>
      </w:r>
    </w:p>
    <w:p>
      <w:pPr>
        <w:spacing w:after="0" w:line="77" w:lineRule="exact"/>
        <w:rPr>
          <w:sz w:val="20"/>
          <w:szCs w:val="20"/>
          <w:color w:val="auto"/>
        </w:rPr>
      </w:pPr>
    </w:p>
    <w:p>
      <w:pPr>
        <w:ind w:left="1040" w:right="380" w:hanging="732"/>
        <w:spacing w:after="0" w:line="268" w:lineRule="auto"/>
        <w:tabs>
          <w:tab w:leader="none" w:pos="10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Employment Agreement dated as of August 19, 2002 between the Company and Stephen Gatsik (included as Exhibit 10.13 to the Company’s Quarterly Report on Form 10-Q dated December 17, 2002, and incorporated herein by reference).*</w:t>
      </w:r>
    </w:p>
    <w:p>
      <w:pPr>
        <w:spacing w:after="0" w:line="37" w:lineRule="exact"/>
        <w:rPr>
          <w:sz w:val="20"/>
          <w:szCs w:val="20"/>
          <w:color w:val="auto"/>
        </w:rPr>
      </w:pPr>
    </w:p>
    <w:p>
      <w:pPr>
        <w:ind w:left="1040" w:hanging="732"/>
        <w:spacing w:after="0" w:line="268" w:lineRule="auto"/>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Retail Store License Agreement dated as of January 9, 2002 between the Company and Candie’s, Inc. (included as Exhibit 10.23 to the Company’s Annual Report on Form 10-K dated May 1, 2002, and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345" w:lineRule="exact"/>
        <w:rPr>
          <w:sz w:val="20"/>
          <w:szCs w:val="20"/>
          <w:color w:val="auto"/>
        </w:rPr>
      </w:pPr>
    </w:p>
    <w:p>
      <w:pPr>
        <w:ind w:left="1040" w:right="120" w:hanging="732"/>
        <w:spacing w:after="0" w:line="268"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Retail Store License Agreement Amendment No. 1 dated January 15, 2002 between the Company and Candie’s, Inc. (included as Exhibit 10.24 to the Company’s Annual Report on Form 10-K dated May 1, 2002, and incorporated herein by reference).*</w:t>
      </w:r>
    </w:p>
    <w:p>
      <w:pPr>
        <w:spacing w:after="0" w:line="37" w:lineRule="exact"/>
        <w:rPr>
          <w:sz w:val="20"/>
          <w:szCs w:val="20"/>
          <w:color w:val="auto"/>
        </w:rPr>
      </w:pPr>
    </w:p>
    <w:p>
      <w:pPr>
        <w:ind w:left="1040" w:right="180" w:hanging="732"/>
        <w:spacing w:after="0" w:line="325" w:lineRule="auto"/>
        <w:tabs>
          <w:tab w:leader="none" w:pos="10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Asset Purchase Agreement entered into as of May 2, 2002, by and among the Company and Casual Male Corp. and certain subsidiaries (included as Exhibit 10.1 to the Company’s Current Report on Form 8-K filed on May 23, 2002, and incorporated herein by reference).*</w:t>
      </w:r>
    </w:p>
    <w:p>
      <w:pPr>
        <w:spacing w:after="0" w:line="1" w:lineRule="exact"/>
        <w:rPr>
          <w:sz w:val="20"/>
          <w:szCs w:val="20"/>
          <w:color w:val="auto"/>
        </w:rPr>
      </w:pPr>
    </w:p>
    <w:p>
      <w:pPr>
        <w:ind w:left="1040" w:right="40" w:hanging="732"/>
        <w:spacing w:after="0" w:line="259"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Amended and Restated Note Agreement, dated as of April 26, 2002, and amended and restated as of May 14, 2002, among the Company, certain subsidiaries of the Company and the purchasers identified therein (included as Exhibit 10.2 to the Company’s Current Report on Form 8-K filed on May 23, 2002, and incorporated herein by reference).*</w:t>
      </w:r>
    </w:p>
    <w:p>
      <w:pPr>
        <w:spacing w:after="0" w:line="46" w:lineRule="exact"/>
        <w:rPr>
          <w:sz w:val="20"/>
          <w:szCs w:val="20"/>
          <w:color w:val="auto"/>
        </w:rPr>
      </w:pPr>
    </w:p>
    <w:p>
      <w:pPr>
        <w:ind w:left="1040" w:right="80" w:hanging="732"/>
        <w:spacing w:after="0" w:line="268" w:lineRule="auto"/>
        <w:tabs>
          <w:tab w:leader="none" w:pos="10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12% Senior Subordinated Note due 2007 (included as Exhibit 10.3 to the Company’s Current Report on Form 8-K filed on May 23, 2002, and incorporated herein by reference).*</w:t>
      </w:r>
    </w:p>
    <w:p>
      <w:pPr>
        <w:spacing w:after="0" w:line="37"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Form of 5% Subordinated Note due April 26, 2007 (included as Exhibit 10.4 to the Company’s Current Report on Form 8-K filed on May 23,</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2002, and incorporated herein by reference).*</w:t>
      </w:r>
    </w:p>
    <w:p>
      <w:pPr>
        <w:spacing w:after="0" w:line="70" w:lineRule="exact"/>
        <w:rPr>
          <w:sz w:val="20"/>
          <w:szCs w:val="20"/>
          <w:color w:val="auto"/>
        </w:rPr>
      </w:pPr>
    </w:p>
    <w:p>
      <w:pPr>
        <w:ind w:left="1040" w:hanging="732"/>
        <w:spacing w:after="0" w:line="268" w:lineRule="auto"/>
        <w:tabs>
          <w:tab w:leader="none" w:pos="10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Warrant to Purchase Shares of Common Stock (aggregating 787,500 shares) (included as Exhibit 10.5 to the Company’s Current Report on Form 8-K filed on May 23, 2002, and incorporated herein by reference).*</w:t>
      </w:r>
    </w:p>
    <w:p>
      <w:pPr>
        <w:spacing w:after="0" w:line="37" w:lineRule="exact"/>
        <w:rPr>
          <w:sz w:val="20"/>
          <w:szCs w:val="20"/>
          <w:color w:val="auto"/>
        </w:rPr>
      </w:pPr>
    </w:p>
    <w:p>
      <w:pPr>
        <w:ind w:left="1040" w:right="180" w:hanging="732"/>
        <w:spacing w:after="0" w:line="268" w:lineRule="auto"/>
        <w:tabs>
          <w:tab w:leader="none" w:pos="10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Form of Warrant to Purchase Shares of Common Stock (aggregating 927,500 shares, subject to shareholder approval)(included as Exhibit 10.6 to the Company’s Current Report on Form 8-K filed on May 23, 2002, and incorporated herein by reference).*</w:t>
      </w:r>
    </w:p>
    <w:p>
      <w:pPr>
        <w:spacing w:after="0" w:line="37" w:lineRule="exact"/>
        <w:rPr>
          <w:sz w:val="20"/>
          <w:szCs w:val="20"/>
          <w:color w:val="auto"/>
        </w:rPr>
      </w:pPr>
    </w:p>
    <w:p>
      <w:pPr>
        <w:ind w:left="1040" w:right="60" w:hanging="732"/>
        <w:spacing w:after="0" w:line="325" w:lineRule="auto"/>
        <w:tabs>
          <w:tab w:leader="none" w:pos="10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Form of Warrant to Purchase Shares of Common Stock (aggregating 1,176,471 shares, subject to shareholder approval)(included as Exhibit 10.7 to the Company’s Current Report on Form 8-K filed on May 23, 2002, and incorporated herein by reference).*</w:t>
      </w:r>
    </w:p>
    <w:p>
      <w:pPr>
        <w:spacing w:after="0" w:line="1" w:lineRule="exact"/>
        <w:rPr>
          <w:sz w:val="20"/>
          <w:szCs w:val="20"/>
          <w:color w:val="auto"/>
        </w:rPr>
      </w:pPr>
    </w:p>
    <w:p>
      <w:pPr>
        <w:ind w:left="1040" w:right="420" w:hanging="732"/>
        <w:spacing w:after="0" w:line="325" w:lineRule="auto"/>
        <w:tabs>
          <w:tab w:leader="none" w:pos="10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Registration Rights Agreement entered into as of April 26, 2002, by and between the Company and the persons identified therein (included as Exhibit 10.8 to the Company’s Current Report on Form 8-K filed on May 23, 2002, and incorporated herein by reference).*</w:t>
      </w:r>
    </w:p>
    <w:p>
      <w:pPr>
        <w:spacing w:after="0" w:line="1" w:lineRule="exact"/>
        <w:rPr>
          <w:sz w:val="20"/>
          <w:szCs w:val="20"/>
          <w:color w:val="auto"/>
        </w:rPr>
      </w:pPr>
    </w:p>
    <w:p>
      <w:pPr>
        <w:ind w:left="1040" w:right="260" w:hanging="732"/>
        <w:spacing w:after="0" w:line="268" w:lineRule="auto"/>
        <w:tabs>
          <w:tab w:leader="none" w:pos="10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Sourcing Agreement dated May 1, 2002, between the Company and Kellwood Company (included as Exhibit 10.29 to the Company’s Quarterly Report on Form 10-Q filed on June 18, 2002, and incorporated herein by reference).*</w:t>
      </w:r>
    </w:p>
    <w:p>
      <w:pPr>
        <w:spacing w:after="0" w:line="37" w:lineRule="exact"/>
        <w:rPr>
          <w:sz w:val="20"/>
          <w:szCs w:val="20"/>
          <w:color w:val="auto"/>
        </w:rPr>
      </w:pPr>
    </w:p>
    <w:p>
      <w:pPr>
        <w:ind w:left="1040" w:hanging="732"/>
        <w:spacing w:after="0" w:line="268" w:lineRule="auto"/>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Warrant to Purchase Shares of Common Stock (aggregating 500,000 shares) (included as Exhibit 10.31 to the Company’s Quarterly Report on Form 10-Q filed on September 17, 2002, and incorporated herein by reference).*</w:t>
      </w:r>
    </w:p>
    <w:p>
      <w:pPr>
        <w:spacing w:after="0" w:line="37" w:lineRule="exact"/>
        <w:rPr>
          <w:sz w:val="20"/>
          <w:szCs w:val="20"/>
          <w:color w:val="auto"/>
        </w:rPr>
      </w:pPr>
    </w:p>
    <w:p>
      <w:pPr>
        <w:ind w:left="1040" w:right="220" w:hanging="644"/>
        <w:spacing w:after="0" w:line="268" w:lineRule="auto"/>
        <w:tabs>
          <w:tab w:leader="none" w:pos="10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Letter of Preferability from Ernst &amp; Young dated June 13, 2001 (included as Exhibit 18.1 to the Company’s Form 10-Q dated June 19, 2001, and incorporated herein by reference).*</w:t>
      </w:r>
    </w:p>
    <w:p>
      <w:pPr>
        <w:spacing w:after="0" w:line="37"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the Registrant.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345"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77"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Certification of CEO pursuant to 18 U.S.C. Section 1350, as adopted pursuant to Section 906 of the Sarbanes-Oxley Act of 2002.</w:t>
      </w:r>
    </w:p>
    <w:p>
      <w:pPr>
        <w:spacing w:after="0" w:line="77"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Certification of CFO pursuant to 18 U.S.C. Section 1350, as adopted pursuant to Section 906 of the Sarbanes-Oxley Act of 2002.</w:t>
      </w:r>
    </w:p>
    <w:p>
      <w:pPr>
        <w:spacing w:after="0" w:line="77" w:lineRule="exact"/>
        <w:rPr>
          <w:sz w:val="20"/>
          <w:szCs w:val="20"/>
          <w:color w:val="auto"/>
        </w:rPr>
      </w:pPr>
    </w:p>
    <w:p>
      <w:pPr>
        <w:ind w:left="920" w:hanging="644"/>
        <w:spacing w:after="0" w:line="306" w:lineRule="auto"/>
        <w:tabs>
          <w:tab w:leader="none" w:pos="9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Certain cautionary statements of the Company to be taken into account in conjunction with consideration and review of the Company’s publicly-disseminated documents (including oral statements made by others on behalf of the Company) that include forward looking information (included as Exhibit 99.3 to the Company’s CurrentReport on Form 8-K filed on September 17, 2002,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0007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w:t>
      </w:r>
    </w:p>
    <w:p>
      <w:pPr>
        <w:spacing w:after="0" w:line="158" w:lineRule="exact"/>
        <w:rPr>
          <w:sz w:val="20"/>
          <w:szCs w:val="20"/>
          <w:color w:val="auto"/>
        </w:rPr>
      </w:pPr>
    </w:p>
    <w:p>
      <w:pPr>
        <w:ind w:left="460" w:right="60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Material has been omitted from this exhibit pursuant to a request for confidential treatment. The omitted material has been filed separately with the Securities and Exchange Commission.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5, 2003</w:t>
      </w:r>
    </w:p>
    <w:p>
      <w:pPr>
        <w:spacing w:after="0" w:line="219"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31813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Company in the capacities indicated, on May 5, 2003.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Signatures</w:t>
            </w:r>
          </w:p>
        </w:tc>
        <w:tc>
          <w:tcPr>
            <w:tcW w:w="19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740" w:type="dxa"/>
            <w:vAlign w:val="bottom"/>
          </w:tcPr>
          <w:p>
            <w:pPr>
              <w:spacing w:after="0"/>
              <w:rPr>
                <w:sz w:val="20"/>
                <w:szCs w:val="20"/>
                <w:color w:val="auto"/>
              </w:rPr>
            </w:pPr>
            <w:r>
              <w:rPr>
                <w:rFonts w:ascii="Arial" w:cs="Arial" w:eastAsia="Arial" w:hAnsi="Arial"/>
                <w:sz w:val="18"/>
                <w:szCs w:val="18"/>
                <w:color w:val="auto"/>
              </w:rPr>
              <w:t>/s/ David A. Levin</w:t>
            </w:r>
          </w:p>
        </w:tc>
        <w:tc>
          <w:tcPr>
            <w:tcW w:w="1980" w:type="dxa"/>
            <w:vAlign w:val="bottom"/>
          </w:tcPr>
          <w:p>
            <w:pPr>
              <w:spacing w:after="0"/>
              <w:rPr>
                <w:sz w:val="24"/>
                <w:szCs w:val="24"/>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16"/>
        </w:trPr>
        <w:tc>
          <w:tcPr>
            <w:tcW w:w="37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3920" w:type="dxa"/>
            <w:vAlign w:val="bottom"/>
            <w:vMerge w:val="restart"/>
          </w:tcPr>
          <w:p>
            <w:pPr>
              <w:ind w:left="4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3740" w:type="dxa"/>
            <w:vAlign w:val="bottom"/>
            <w:vMerge w:val="restart"/>
          </w:tcPr>
          <w:p>
            <w:pPr>
              <w:spacing w:after="0"/>
              <w:rPr>
                <w:sz w:val="20"/>
                <w:szCs w:val="20"/>
                <w:color w:val="auto"/>
              </w:rPr>
            </w:pPr>
            <w:r>
              <w:rPr>
                <w:rFonts w:ascii="Arial" w:cs="Arial" w:eastAsia="Arial" w:hAnsi="Arial"/>
                <w:sz w:val="18"/>
                <w:szCs w:val="18"/>
                <w:color w:val="auto"/>
              </w:rPr>
              <w:t>David A. Levin</w:t>
            </w:r>
          </w:p>
        </w:tc>
        <w:tc>
          <w:tcPr>
            <w:tcW w:w="198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4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740" w:type="dxa"/>
            <w:vAlign w:val="bottom"/>
          </w:tcPr>
          <w:p>
            <w:pPr>
              <w:spacing w:after="0"/>
              <w:rPr>
                <w:sz w:val="20"/>
                <w:szCs w:val="20"/>
                <w:color w:val="auto"/>
              </w:rPr>
            </w:pPr>
            <w:r>
              <w:rPr>
                <w:rFonts w:ascii="Arial" w:cs="Arial" w:eastAsia="Arial" w:hAnsi="Arial"/>
                <w:sz w:val="18"/>
                <w:szCs w:val="18"/>
                <w:color w:val="auto"/>
              </w:rPr>
              <w:t>/s/ Dennis R. Hernreich</w:t>
            </w:r>
          </w:p>
        </w:tc>
        <w:tc>
          <w:tcPr>
            <w:tcW w:w="1980" w:type="dxa"/>
            <w:vAlign w:val="bottom"/>
          </w:tcPr>
          <w:p>
            <w:pPr>
              <w:spacing w:after="0"/>
              <w:rPr>
                <w:sz w:val="24"/>
                <w:szCs w:val="24"/>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w w:val="89"/>
              </w:rPr>
              <w:t>Executive Vice President, Chief Operating Officer,</w:t>
            </w:r>
          </w:p>
        </w:tc>
        <w:tc>
          <w:tcPr>
            <w:tcW w:w="0" w:type="dxa"/>
            <w:vAlign w:val="bottom"/>
          </w:tcPr>
          <w:p>
            <w:pPr>
              <w:spacing w:after="0"/>
              <w:rPr>
                <w:sz w:val="1"/>
                <w:szCs w:val="1"/>
                <w:color w:val="auto"/>
              </w:rPr>
            </w:pPr>
          </w:p>
        </w:tc>
      </w:tr>
      <w:tr>
        <w:trPr>
          <w:trHeight w:val="116"/>
        </w:trPr>
        <w:tc>
          <w:tcPr>
            <w:tcW w:w="37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3920" w:type="dxa"/>
            <w:vAlign w:val="bottom"/>
            <w:vMerge w:val="restart"/>
          </w:tcPr>
          <w:p>
            <w:pPr>
              <w:ind w:left="44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80"/>
        </w:trPr>
        <w:tc>
          <w:tcPr>
            <w:tcW w:w="37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740" w:type="dxa"/>
            <w:vAlign w:val="bottom"/>
          </w:tcPr>
          <w:p>
            <w:pPr>
              <w:spacing w:after="0"/>
              <w:rPr>
                <w:sz w:val="20"/>
                <w:szCs w:val="20"/>
                <w:color w:val="auto"/>
              </w:rPr>
            </w:pPr>
            <w:r>
              <w:rPr>
                <w:rFonts w:ascii="Arial" w:cs="Arial" w:eastAsia="Arial" w:hAnsi="Arial"/>
                <w:sz w:val="18"/>
                <w:szCs w:val="18"/>
                <w:color w:val="auto"/>
              </w:rPr>
              <w:t>Dennis R. Hernreich</w:t>
            </w:r>
          </w:p>
        </w:tc>
        <w:tc>
          <w:tcPr>
            <w:tcW w:w="1980" w:type="dxa"/>
            <w:vAlign w:val="bottom"/>
          </w:tcPr>
          <w:p>
            <w:pPr>
              <w:spacing w:after="0"/>
              <w:rPr>
                <w:sz w:val="20"/>
                <w:szCs w:val="20"/>
                <w:color w:val="auto"/>
              </w:rPr>
            </w:pPr>
          </w:p>
        </w:tc>
        <w:tc>
          <w:tcPr>
            <w:tcW w:w="3920" w:type="dxa"/>
            <w:vAlign w:val="bottom"/>
          </w:tcPr>
          <w:p>
            <w:pPr>
              <w:ind w:left="44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/s/ Seymour Holtzman</w:t>
            </w:r>
          </w:p>
        </w:tc>
        <w:tc>
          <w:tcPr>
            <w:tcW w:w="1980" w:type="dxa"/>
            <w:vAlign w:val="bottom"/>
          </w:tcPr>
          <w:p>
            <w:pPr>
              <w:spacing w:after="0"/>
              <w:rPr>
                <w:sz w:val="24"/>
                <w:szCs w:val="24"/>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110"/>
        </w:trPr>
        <w:tc>
          <w:tcPr>
            <w:tcW w:w="374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40" w:type="dxa"/>
            <w:vAlign w:val="bottom"/>
          </w:tcPr>
          <w:p>
            <w:pPr>
              <w:spacing w:after="0"/>
              <w:rPr>
                <w:sz w:val="20"/>
                <w:szCs w:val="20"/>
                <w:color w:val="auto"/>
              </w:rPr>
            </w:pPr>
            <w:r>
              <w:rPr>
                <w:rFonts w:ascii="Arial" w:cs="Arial" w:eastAsia="Arial" w:hAnsi="Arial"/>
                <w:sz w:val="18"/>
                <w:szCs w:val="18"/>
                <w:color w:val="auto"/>
              </w:rPr>
              <w:t>Seymour Holtzman</w:t>
            </w:r>
          </w:p>
        </w:tc>
        <w:tc>
          <w:tcPr>
            <w:tcW w:w="1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/s/ Stephen M. Duff</w:t>
            </w:r>
          </w:p>
        </w:tc>
        <w:tc>
          <w:tcPr>
            <w:tcW w:w="1980" w:type="dxa"/>
            <w:vAlign w:val="bottom"/>
          </w:tcPr>
          <w:p>
            <w:pPr>
              <w:spacing w:after="0"/>
              <w:rPr>
                <w:sz w:val="24"/>
                <w:szCs w:val="24"/>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74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40" w:type="dxa"/>
            <w:vAlign w:val="bottom"/>
          </w:tcPr>
          <w:p>
            <w:pPr>
              <w:spacing w:after="0"/>
              <w:rPr>
                <w:sz w:val="20"/>
                <w:szCs w:val="20"/>
                <w:color w:val="auto"/>
              </w:rPr>
            </w:pPr>
            <w:r>
              <w:rPr>
                <w:rFonts w:ascii="Arial" w:cs="Arial" w:eastAsia="Arial" w:hAnsi="Arial"/>
                <w:sz w:val="18"/>
                <w:szCs w:val="18"/>
                <w:color w:val="auto"/>
              </w:rPr>
              <w:t>Stephen M. Duff</w:t>
            </w:r>
          </w:p>
        </w:tc>
        <w:tc>
          <w:tcPr>
            <w:tcW w:w="1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/s/ George T. Porter, Jr.</w:t>
            </w:r>
          </w:p>
        </w:tc>
        <w:tc>
          <w:tcPr>
            <w:tcW w:w="1980" w:type="dxa"/>
            <w:vAlign w:val="bottom"/>
          </w:tcPr>
          <w:p>
            <w:pPr>
              <w:spacing w:after="0"/>
              <w:rPr>
                <w:sz w:val="24"/>
                <w:szCs w:val="24"/>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74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40" w:type="dxa"/>
            <w:vAlign w:val="bottom"/>
          </w:tcPr>
          <w:p>
            <w:pPr>
              <w:spacing w:after="0"/>
              <w:rPr>
                <w:sz w:val="20"/>
                <w:szCs w:val="20"/>
                <w:color w:val="auto"/>
              </w:rPr>
            </w:pPr>
            <w:r>
              <w:rPr>
                <w:rFonts w:ascii="Arial" w:cs="Arial" w:eastAsia="Arial" w:hAnsi="Arial"/>
                <w:sz w:val="18"/>
                <w:szCs w:val="18"/>
                <w:color w:val="auto"/>
              </w:rPr>
              <w:t>George T. Porter, Jr.</w:t>
            </w:r>
          </w:p>
        </w:tc>
        <w:tc>
          <w:tcPr>
            <w:tcW w:w="1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/s/ Joseph Pennacchio</w:t>
            </w:r>
          </w:p>
        </w:tc>
        <w:tc>
          <w:tcPr>
            <w:tcW w:w="1980" w:type="dxa"/>
            <w:vAlign w:val="bottom"/>
          </w:tcPr>
          <w:p>
            <w:pPr>
              <w:spacing w:after="0"/>
              <w:rPr>
                <w:sz w:val="24"/>
                <w:szCs w:val="24"/>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74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40" w:type="dxa"/>
            <w:vAlign w:val="bottom"/>
          </w:tcPr>
          <w:p>
            <w:pPr>
              <w:spacing w:after="0"/>
              <w:rPr>
                <w:sz w:val="20"/>
                <w:szCs w:val="20"/>
                <w:color w:val="auto"/>
              </w:rPr>
            </w:pPr>
            <w:r>
              <w:rPr>
                <w:rFonts w:ascii="Arial" w:cs="Arial" w:eastAsia="Arial" w:hAnsi="Arial"/>
                <w:sz w:val="18"/>
                <w:szCs w:val="18"/>
                <w:color w:val="auto"/>
              </w:rPr>
              <w:t>Joseph Pennacchio</w:t>
            </w:r>
          </w:p>
        </w:tc>
        <w:tc>
          <w:tcPr>
            <w:tcW w:w="1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/s/ Jeremiah P. Murphy, Jr.</w:t>
            </w:r>
          </w:p>
        </w:tc>
        <w:tc>
          <w:tcPr>
            <w:tcW w:w="1980" w:type="dxa"/>
            <w:vAlign w:val="bottom"/>
          </w:tcPr>
          <w:p>
            <w:pPr>
              <w:spacing w:after="0"/>
              <w:rPr>
                <w:sz w:val="24"/>
                <w:szCs w:val="24"/>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74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40" w:type="dxa"/>
            <w:vAlign w:val="bottom"/>
          </w:tcPr>
          <w:p>
            <w:pPr>
              <w:spacing w:after="0"/>
              <w:rPr>
                <w:sz w:val="20"/>
                <w:szCs w:val="20"/>
                <w:color w:val="auto"/>
              </w:rPr>
            </w:pPr>
            <w:r>
              <w:rPr>
                <w:rFonts w:ascii="Arial" w:cs="Arial" w:eastAsia="Arial" w:hAnsi="Arial"/>
                <w:sz w:val="18"/>
                <w:szCs w:val="18"/>
                <w:color w:val="auto"/>
              </w:rPr>
              <w:t>Jeremiah P. Murphy, Jr.</w:t>
            </w:r>
          </w:p>
        </w:tc>
        <w:tc>
          <w:tcPr>
            <w:tcW w:w="1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/s/ Jesse H. Choper</w:t>
            </w:r>
          </w:p>
        </w:tc>
        <w:tc>
          <w:tcPr>
            <w:tcW w:w="1980" w:type="dxa"/>
            <w:vAlign w:val="bottom"/>
          </w:tcPr>
          <w:p>
            <w:pPr>
              <w:spacing w:after="0"/>
              <w:rPr>
                <w:sz w:val="24"/>
                <w:szCs w:val="24"/>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74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40" w:type="dxa"/>
            <w:vAlign w:val="bottom"/>
          </w:tcPr>
          <w:p>
            <w:pPr>
              <w:spacing w:after="0"/>
              <w:rPr>
                <w:sz w:val="20"/>
                <w:szCs w:val="20"/>
                <w:color w:val="auto"/>
              </w:rPr>
            </w:pPr>
            <w:r>
              <w:rPr>
                <w:rFonts w:ascii="Arial" w:cs="Arial" w:eastAsia="Arial" w:hAnsi="Arial"/>
                <w:sz w:val="18"/>
                <w:szCs w:val="18"/>
                <w:color w:val="auto"/>
              </w:rPr>
              <w:t>Jesse H. Choper</w:t>
            </w:r>
          </w:p>
        </w:tc>
        <w:tc>
          <w:tcPr>
            <w:tcW w:w="1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740" w:type="dxa"/>
            <w:vAlign w:val="bottom"/>
          </w:tcPr>
          <w:p>
            <w:pPr>
              <w:spacing w:after="0"/>
              <w:rPr>
                <w:sz w:val="24"/>
                <w:szCs w:val="24"/>
                <w:color w:val="auto"/>
              </w:rPr>
            </w:pPr>
          </w:p>
        </w:tc>
        <w:tc>
          <w:tcPr>
            <w:tcW w:w="5900" w:type="dxa"/>
            <w:vAlign w:val="bottom"/>
            <w:gridSpan w:val="2"/>
          </w:tcPr>
          <w:p>
            <w:pPr>
              <w:jc w:val="right"/>
              <w:ind w:right="375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Rule 13a-14 or 15d-14 of the Securities Exchange Act of 1934, 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58"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157" w:lineRule="exact"/>
        <w:rPr>
          <w:rFonts w:ascii="Arial" w:cs="Arial" w:eastAsia="Arial" w:hAnsi="Arial"/>
          <w:sz w:val="18"/>
          <w:szCs w:val="18"/>
          <w:color w:val="auto"/>
        </w:rPr>
      </w:pPr>
    </w:p>
    <w:p>
      <w:pPr>
        <w:jc w:val="both"/>
        <w:ind w:left="460" w:right="24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1" w:lineRule="exact"/>
        <w:rPr>
          <w:rFonts w:ascii="Arial" w:cs="Arial" w:eastAsia="Arial" w:hAnsi="Arial"/>
          <w:sz w:val="16"/>
          <w:szCs w:val="16"/>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Rules 13a-</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14 and 15d-14 under the Securities Exchange Act of 1934, as amended) for the registrant and have:</w:t>
      </w:r>
    </w:p>
    <w:p>
      <w:pPr>
        <w:spacing w:after="0" w:line="151" w:lineRule="exact"/>
        <w:rPr>
          <w:rFonts w:ascii="Arial" w:cs="Arial" w:eastAsia="Arial" w:hAnsi="Arial"/>
          <w:sz w:val="16"/>
          <w:szCs w:val="16"/>
          <w:color w:val="auto"/>
        </w:rPr>
      </w:pPr>
    </w:p>
    <w:p>
      <w:pPr>
        <w:ind w:left="900" w:right="640" w:hanging="446"/>
        <w:spacing w:after="0" w:line="33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71" w:lineRule="exact"/>
        <w:rPr>
          <w:rFonts w:ascii="Arial" w:cs="Arial" w:eastAsia="Arial" w:hAnsi="Arial"/>
          <w:sz w:val="16"/>
          <w:szCs w:val="16"/>
          <w:color w:val="auto"/>
        </w:rPr>
      </w:pPr>
    </w:p>
    <w:p>
      <w:pPr>
        <w:ind w:left="900" w:right="36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18" w:lineRule="exact"/>
        <w:rPr>
          <w:rFonts w:ascii="Arial" w:cs="Arial" w:eastAsia="Arial" w:hAnsi="Arial"/>
          <w:sz w:val="18"/>
          <w:szCs w:val="18"/>
          <w:color w:val="auto"/>
        </w:rPr>
      </w:pPr>
    </w:p>
    <w:p>
      <w:pPr>
        <w:ind w:left="900" w:right="30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118" w:lineRule="exact"/>
        <w:rPr>
          <w:rFonts w:ascii="Arial" w:cs="Arial" w:eastAsia="Arial" w:hAnsi="Arial"/>
          <w:sz w:val="18"/>
          <w:szCs w:val="18"/>
          <w:color w:val="auto"/>
        </w:rPr>
      </w:pPr>
    </w:p>
    <w:p>
      <w:pPr>
        <w:ind w:left="900" w:right="440" w:hanging="446"/>
        <w:spacing w:after="0" w:line="33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900" w:hanging="446"/>
        <w:spacing w:after="0"/>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180"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May 5, 2003</w:t>
      </w:r>
    </w:p>
    <w:p>
      <w:pPr>
        <w:spacing w:after="0" w:line="200" w:lineRule="exact"/>
        <w:rPr>
          <w:sz w:val="20"/>
          <w:szCs w:val="20"/>
          <w:color w:val="auto"/>
        </w:rPr>
      </w:pPr>
    </w:p>
    <w:p>
      <w:pPr>
        <w:spacing w:after="0" w:line="3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158"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157" w:lineRule="exact"/>
        <w:rPr>
          <w:rFonts w:ascii="Arial" w:cs="Arial" w:eastAsia="Arial" w:hAnsi="Arial"/>
          <w:sz w:val="18"/>
          <w:szCs w:val="18"/>
          <w:color w:val="auto"/>
        </w:rPr>
      </w:pPr>
    </w:p>
    <w:p>
      <w:pPr>
        <w:jc w:val="both"/>
        <w:ind w:left="460" w:right="24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1"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Rules 13a-</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14 and 15d-14 under the Securities Exchange Act of 1934, as amended) for the registrant and have:</w:t>
      </w:r>
    </w:p>
    <w:p>
      <w:pPr>
        <w:spacing w:after="0" w:line="151" w:lineRule="exact"/>
        <w:rPr>
          <w:rFonts w:ascii="Arial" w:cs="Arial" w:eastAsia="Arial" w:hAnsi="Arial"/>
          <w:sz w:val="16"/>
          <w:szCs w:val="16"/>
          <w:color w:val="auto"/>
        </w:rPr>
      </w:pPr>
    </w:p>
    <w:p>
      <w:pPr>
        <w:ind w:left="900" w:right="640" w:hanging="446"/>
        <w:spacing w:after="0" w:line="33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71" w:lineRule="exact"/>
        <w:rPr>
          <w:rFonts w:ascii="Arial" w:cs="Arial" w:eastAsia="Arial" w:hAnsi="Arial"/>
          <w:sz w:val="16"/>
          <w:szCs w:val="16"/>
          <w:color w:val="auto"/>
        </w:rPr>
      </w:pPr>
    </w:p>
    <w:p>
      <w:pPr>
        <w:ind w:left="900" w:right="36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18" w:lineRule="exact"/>
        <w:rPr>
          <w:rFonts w:ascii="Arial" w:cs="Arial" w:eastAsia="Arial" w:hAnsi="Arial"/>
          <w:sz w:val="18"/>
          <w:szCs w:val="18"/>
          <w:color w:val="auto"/>
        </w:rPr>
      </w:pPr>
    </w:p>
    <w:p>
      <w:pPr>
        <w:ind w:left="900" w:right="30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118" w:lineRule="exact"/>
        <w:rPr>
          <w:rFonts w:ascii="Arial" w:cs="Arial" w:eastAsia="Arial" w:hAnsi="Arial"/>
          <w:sz w:val="18"/>
          <w:szCs w:val="18"/>
          <w:color w:val="auto"/>
        </w:rPr>
      </w:pPr>
    </w:p>
    <w:p>
      <w:pPr>
        <w:ind w:left="900" w:right="440" w:hanging="446"/>
        <w:spacing w:after="0" w:line="33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900" w:hanging="446"/>
        <w:spacing w:after="0"/>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180"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May 5, 2003</w:t>
      </w:r>
    </w:p>
    <w:p>
      <w:pPr>
        <w:spacing w:after="0" w:line="200" w:lineRule="exact"/>
        <w:rPr>
          <w:sz w:val="20"/>
          <w:szCs w:val="20"/>
          <w:color w:val="auto"/>
        </w:rPr>
      </w:pPr>
    </w:p>
    <w:p>
      <w:pPr>
        <w:spacing w:after="0" w:line="3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OTHER SHAREHOLDER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Seymour Holtzman, Chairman of the Board of Directors of CMRG,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of Jewelcor Management, Inc.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Jesse Choper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Law Professor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University of California Law School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Stephen Duff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Investment Officer of The Clark Estates, Inc.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Jeremiah P. Murphy,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of Harvard Coop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Joseph Pennacchio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of Aurafin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George T. Porter, Jr.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David A. Levin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Chief Financial Officer, Treasurer and Secretary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Joseph H. Cornely,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of Store Development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Richard Della Bernarda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of Marketing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Arlene Feldman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General Counsel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William Hirsh</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General Merchandise Manager, Levi’s</w:t>
      </w:r>
      <w:r>
        <w:rPr>
          <w:rFonts w:ascii="Arial" w:cs="Arial" w:eastAsia="Arial" w:hAnsi="Arial"/>
          <w:sz w:val="19"/>
          <w:szCs w:val="19"/>
          <w:color w:val="auto"/>
          <w:vertAlign w:val="superscript"/>
        </w:rPr>
        <w:t>®</w:t>
      </w:r>
      <w:r>
        <w:rPr>
          <w:rFonts w:ascii="Arial" w:cs="Arial" w:eastAsia="Arial" w:hAnsi="Arial"/>
          <w:sz w:val="15"/>
          <w:szCs w:val="15"/>
          <w:color w:val="auto"/>
        </w:rPr>
        <w:t>, 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EcKo Unltd.</w:t>
      </w:r>
      <w:r>
        <w:rPr>
          <w:rFonts w:ascii="Arial" w:cs="Arial" w:eastAsia="Arial" w:hAnsi="Arial"/>
          <w:sz w:val="19"/>
          <w:szCs w:val="19"/>
          <w:color w:val="auto"/>
          <w:vertAlign w:val="superscript"/>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John R. McKinney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Information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Susan J. Murray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Human Resources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Joel Schreibman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Catalog and E-commerce</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219"/>
          </w:cols>
          <w:pgMar w:left="240" w:top="459"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Steven Schwartz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Director of Merchandising, Planning and Allocation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Paul J. Trzynka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Director of Stores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Margaret Glander Ward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Jeffrey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 828-9300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Requests for financial information should be directed to the Investor Relations Department at the Company’s headquarters. Casual Male Retail Group, Inc., 555 Turnpike Street, Canton, Massachusetts 02021 (781) 828-9300 or at investor.relations@cmal.com. You may also visit our website at </w:t>
      </w:r>
      <w:r>
        <w:rPr>
          <w:rFonts w:ascii="Arial" w:cs="Arial" w:eastAsia="Arial" w:hAnsi="Arial"/>
          <w:sz w:val="16"/>
          <w:szCs w:val="16"/>
          <w:u w:val="single" w:color="auto"/>
          <w:color w:val="auto"/>
        </w:rPr>
        <w:t>www.cmrginc.com</w:t>
      </w:r>
      <w:r>
        <w:rPr>
          <w:rFonts w:ascii="Arial" w:cs="Arial" w:eastAsia="Arial" w:hAnsi="Arial"/>
          <w:sz w:val="16"/>
          <w:szCs w:val="16"/>
          <w:color w:val="auto"/>
        </w:rPr>
        <w:t xml:space="preserve"> and click on information request</w:t>
      </w:r>
      <w:r>
        <w:rPr>
          <w:rFonts w:ascii="Arial" w:cs="Arial" w:eastAsia="Arial" w:hAnsi="Arial"/>
          <w:sz w:val="16"/>
          <w:szCs w:val="16"/>
          <w:b w:val="1"/>
          <w:bCs w:val="1"/>
          <w:color w:val="auto"/>
        </w:rPr>
        <w:t>. A copy of the Company’s Annual Report on Form 10-K for the fiscal year ended February 1, 2003, filed with the Securities and</w:t>
      </w:r>
      <w:r>
        <w:rPr>
          <w:rFonts w:ascii="Arial" w:cs="Arial" w:eastAsia="Arial" w:hAnsi="Arial"/>
          <w:sz w:val="16"/>
          <w:szCs w:val="16"/>
          <w:color w:val="auto"/>
        </w:rPr>
        <w:t xml:space="preserve"> </w:t>
      </w:r>
      <w:r>
        <w:rPr>
          <w:rFonts w:ascii="Arial" w:cs="Arial" w:eastAsia="Arial" w:hAnsi="Arial"/>
          <w:sz w:val="16"/>
          <w:szCs w:val="16"/>
          <w:b w:val="1"/>
          <w:bCs w:val="1"/>
          <w:color w:val="auto"/>
        </w:rPr>
        <w:t>Exchange Commission, may be obtained without charge upon request to the Investor Relations Department.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2003 Annual Meeting of Stockholders of Casual Male Retail Group, Inc. is expected to be held on or about August 7, 2003.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Inquiries regarding stock transfer requirements, address changes and lost stock certificates should be directed to: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American Stock Transfer &amp; Trust Company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Plaza Level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Toll Free 877-777-0800 x6820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www.amstock.com</w:t>
      </w:r>
      <w:r>
        <w:rPr>
          <w:rFonts w:ascii="Arial" w:cs="Arial" w:eastAsia="Arial" w:hAnsi="Arial"/>
          <w:sz w:val="18"/>
          <w:szCs w:val="18"/>
          <w:color w:val="auto"/>
        </w:rPr>
        <w:t xml:space="preserve"> Info@amstock.com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02116-5072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“Levi’s</w:t>
      </w:r>
      <w:r>
        <w:rPr>
          <w:rFonts w:ascii="Arial" w:cs="Arial" w:eastAsia="Arial" w:hAnsi="Arial"/>
          <w:sz w:val="22"/>
          <w:szCs w:val="22"/>
          <w:color w:val="auto"/>
          <w:vertAlign w:val="superscript"/>
        </w:rPr>
        <w:t>®</w:t>
      </w:r>
      <w:r>
        <w:rPr>
          <w:rFonts w:ascii="Arial" w:cs="Arial" w:eastAsia="Arial" w:hAnsi="Arial"/>
          <w:sz w:val="18"/>
          <w:szCs w:val="18"/>
          <w:color w:val="auto"/>
        </w:rPr>
        <w:t>” and “Slates</w:t>
      </w:r>
      <w:r>
        <w:rPr>
          <w:rFonts w:ascii="Arial" w:cs="Arial" w:eastAsia="Arial" w:hAnsi="Arial"/>
          <w:sz w:val="22"/>
          <w:szCs w:val="22"/>
          <w:color w:val="auto"/>
          <w:vertAlign w:val="superscript"/>
        </w:rPr>
        <w:t>®</w:t>
      </w:r>
      <w:r>
        <w:rPr>
          <w:rFonts w:ascii="Arial" w:cs="Arial" w:eastAsia="Arial" w:hAnsi="Arial"/>
          <w:sz w:val="18"/>
          <w:szCs w:val="18"/>
          <w:color w:val="auto"/>
        </w:rPr>
        <w:t>” are registered trademarks of Levi Strauss &amp; Co. “Candie’s</w:t>
      </w:r>
      <w:r>
        <w:rPr>
          <w:rFonts w:ascii="Arial" w:cs="Arial" w:eastAsia="Arial" w:hAnsi="Arial"/>
          <w:sz w:val="22"/>
          <w:szCs w:val="22"/>
          <w:color w:val="auto"/>
          <w:vertAlign w:val="superscript"/>
        </w:rPr>
        <w:t>®</w:t>
      </w:r>
      <w:r>
        <w:rPr>
          <w:rFonts w:ascii="Arial" w:cs="Arial" w:eastAsia="Arial" w:hAnsi="Arial"/>
          <w:sz w:val="18"/>
          <w:szCs w:val="18"/>
          <w:color w:val="auto"/>
        </w:rPr>
        <w:t>” is a registered trademark of Candie’s, Inc. “EcKo</w:t>
      </w:r>
      <w:r>
        <w:rPr>
          <w:rFonts w:ascii="Arial" w:cs="Arial" w:eastAsia="Arial" w:hAnsi="Arial"/>
          <w:sz w:val="22"/>
          <w:szCs w:val="22"/>
          <w:color w:val="auto"/>
          <w:vertAlign w:val="superscript"/>
        </w:rPr>
        <w:t>®</w:t>
      </w:r>
      <w:r>
        <w:rPr>
          <w:rFonts w:ascii="Arial" w:cs="Arial" w:eastAsia="Arial" w:hAnsi="Arial"/>
          <w:sz w:val="18"/>
          <w:szCs w:val="18"/>
          <w:color w:val="auto"/>
        </w:rPr>
        <w:t>” and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are registered trademarks of EcKo Complex, LLC.</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29, 2003</w:t>
      </w:r>
    </w:p>
    <w:p>
      <w:pPr>
        <w:spacing w:after="0" w:line="16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WHEREAS, Casual Male Retail Group, Inc., (formerly Designs, Inc., the “Corporation”) and Jewelcor Management, Inc. (the “Independent Contractor”) entered into a certain Consulting Agreement dated as of April 29, 2000, as amended by Letter Agreement dated April 28, 2001 and by Letter Agreement dated as of April 28, 2002 (hereinafter referred to as the “Agreement”); and</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WHEREAS, Corporation and Independent Contractor wish to amend, modify and/or restate certain terms, provisions, conditions and covenants of the Agreement.</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NOW THEREFORE, in consideration of the foregoing, and for and in consideration of the mutual promises and covenants set forth in this Agreement, and for other good and valuable consideration, the receipt and sufficiency of which are hereby expressly acknowledged, the Corporation and the Independent Contractor hereby agree to amend the Agreement as follows:</w:t>
      </w:r>
    </w:p>
    <w:p>
      <w:pPr>
        <w:spacing w:after="0" w:line="127" w:lineRule="exact"/>
        <w:rPr>
          <w:sz w:val="20"/>
          <w:szCs w:val="20"/>
          <w:color w:val="auto"/>
        </w:rPr>
      </w:pPr>
    </w:p>
    <w:p>
      <w:pPr>
        <w:ind w:left="460" w:right="100" w:hanging="452"/>
        <w:spacing w:after="0" w:line="256"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of the Agreement shall be extended for an additional period of three (3) years commencing on April 29, 2003 (the “Commencement Date”) and ending on April 28, 2006 (the “Expiration Date”). This Agreement shall automatically be extended for an additional one (1) year term on each anniversary date of the Agreement unless either party shall give the other at least ninety (90) days written notice prior to such anniversary date of their intention to terminate this Agreement.</w:t>
      </w:r>
    </w:p>
    <w:p>
      <w:pPr>
        <w:spacing w:after="0" w:line="129"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Subject to the provisions of Section 4 of the Agreement, the consideration to be furnished to the Independent Contractor by the Corporation for the Services rendered by the Independent Contractor under the Agreement shall consist of (a) annual compensation of $276,000, payable in non-forfeitable, fully paid and non-assessable shares of Common Stock of the Corporation, the number of which shares of Common Stock shall be valued as of, and determined by, the last closing price immediately preceding the Commencement Date, and on each anniversary date thereafter, during the term of the Agreement. (The number of shares of Common Stock of the Corporation equal to $276,000 on April 28, 2003, the date immediately preceding the Commencement Date, is 70,769 at $3.90 per share), and (b) the reimbursement of actual and direct out-of-pocket expenses incurred by the Independent Contractor in the rendering of Services under the Agreement.</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ectPr>
          <w:pgSz w:w="11900" w:h="16838" w:orient="portrait"/>
          <w:cols w:equalWidth="0" w:num="1">
            <w:col w:w="11420"/>
          </w:cols>
          <w:pgMar w:left="240" w:top="274" w:right="239" w:bottom="1440" w:gutter="0" w:footer="0" w:header="0"/>
        </w:sectPr>
      </w:pPr>
    </w:p>
    <w:bookmarkStart w:id="87" w:name="page88"/>
    <w:bookmarkEnd w:id="87"/>
    <w:p>
      <w:pPr>
        <w:ind w:right="4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Amendment to Consulting Agreement as a sealed instrument, in any number of counterpart copies, each of which shall be deemed an original for all purposes, as of the day and year first written above.</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CASUAL MALE RETAIL GROUP, INC.</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36830</wp:posOffset>
            </wp:positionV>
            <wp:extent cx="247015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5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Name:Dennis R. Herenreich</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Title: Executive Vice President, Chief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Operating Officer, Chief Financial Officer,</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Treasurer and Secretary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36830</wp:posOffset>
            </wp:positionV>
            <wp:extent cx="24701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5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Name:Arlene C. Feldman</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Title: Assistant Secretary</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INDEPENDENT CONTRACTOR: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JEWELCOR MANAGEMENT, INC.</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36830</wp:posOffset>
            </wp:positionV>
            <wp:extent cx="24701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5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Name:Seymour Holtzman</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040"/>
          </w:cols>
          <w:pgMar w:left="240" w:top="428" w:right="61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JANUARY 10, 2003</w:t>
      </w:r>
    </w:p>
    <w:p>
      <w:pPr>
        <w:spacing w:after="0" w:line="151"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WHEREAS, Casual Male Retail Group, Inc., (formerly Designs, Inc., “CMRG”) and David A. Levin (“Executive”) entered into a certain Employment Agreement dated as of March 31, 2000, as amended by Letter Agreement dated April 10, 2001 (hereinafter referred to as the “Agreement”); and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and Executive wish to amend, modify and/or restate certain terms, provisions, conditions, and covenants of the Agreement.</w:t>
      </w:r>
    </w:p>
    <w:p>
      <w:pPr>
        <w:spacing w:after="0" w:line="18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46" w:lineRule="exact"/>
        <w:rPr>
          <w:sz w:val="20"/>
          <w:szCs w:val="20"/>
          <w:color w:val="auto"/>
        </w:rPr>
      </w:pPr>
    </w:p>
    <w:p>
      <w:pPr>
        <w:ind w:left="920" w:right="2540" w:hanging="466"/>
        <w:spacing w:after="0" w:line="328" w:lineRule="auto"/>
        <w:tabs>
          <w:tab w:leader="none" w:pos="907"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Section 2 of the Agreement is hereby deleted in its entirety and the following is hereby substituted in lieu thereof: “2. </w:t>
      </w:r>
      <w:r>
        <w:rPr>
          <w:rFonts w:ascii="Arial" w:cs="Arial" w:eastAsia="Arial" w:hAnsi="Arial"/>
          <w:sz w:val="18"/>
          <w:szCs w:val="18"/>
          <w:u w:val="single" w:color="auto"/>
          <w:color w:val="auto"/>
        </w:rPr>
        <w:t>TERM</w:t>
      </w:r>
    </w:p>
    <w:p>
      <w:pPr>
        <w:spacing w:after="0" w:line="1"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The initial term of employment under this Agreement shall begin on April 10, 2000 (“Employment Date”) and shall continue for a period of three (3) years from that date subject to prior termination in accordance with the terms hereof. This Agreement shall automatically be extended for an additional one (1) year term on each anniversary date of the Employment Date unless either party shall give the other at least ninety (90) days written notice prior to such anniversary date that it will not renew this Agreement.”</w:t>
      </w:r>
    </w:p>
    <w:p>
      <w:pPr>
        <w:spacing w:after="0" w:line="49" w:lineRule="exact"/>
        <w:rPr>
          <w:sz w:val="20"/>
          <w:szCs w:val="20"/>
          <w:color w:val="auto"/>
        </w:rPr>
      </w:pPr>
    </w:p>
    <w:p>
      <w:pPr>
        <w:ind w:left="900" w:right="2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herein specifically modified and amended, all of the terms, provisions, conditions, and covenants of the Agreement shall continue in full force and effect and shall be deemed unchanged except to the extent modified and amended herein.</w:t>
      </w:r>
    </w:p>
    <w:p>
      <w:pPr>
        <w:spacing w:after="0" w:line="118"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IN WITNESS WHEREOF, the parties hereto have executed this Second Amendment to Employment Agreement as a sealed instrument, in any number of counterpart copies, each of which shall be deemed an original for all purposes, as of the day and year first written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 MALE RETAIL GROUP, INC.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spacing w:after="0"/>
              <w:rPr>
                <w:sz w:val="20"/>
                <w:szCs w:val="20"/>
                <w:color w:val="auto"/>
              </w:rPr>
            </w:pPr>
            <w:r>
              <w:rPr>
                <w:rFonts w:ascii="Arial" w:cs="Arial" w:eastAsia="Arial" w:hAnsi="Arial"/>
                <w:sz w:val="18"/>
                <w:szCs w:val="18"/>
                <w:color w:val="auto"/>
              </w:rPr>
              <w:t>/s/ Dennis R. Hernreich</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January 30, 2003</w:t>
            </w:r>
          </w:p>
        </w:tc>
      </w:tr>
      <w:tr>
        <w:trPr>
          <w:trHeight w:val="110"/>
        </w:trPr>
        <w:tc>
          <w:tcPr>
            <w:tcW w:w="580" w:type="dxa"/>
            <w:vAlign w:val="bottom"/>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Dennis R. Hernreich</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Date</w:t>
            </w:r>
          </w:p>
        </w:tc>
      </w:tr>
      <w:tr>
        <w:trPr>
          <w:trHeight w:val="216"/>
        </w:trPr>
        <w:tc>
          <w:tcPr>
            <w:tcW w:w="5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10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Operating Officer and</w:t>
            </w:r>
          </w:p>
        </w:tc>
        <w:tc>
          <w:tcPr>
            <w:tcW w:w="110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58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spacing w:after="0"/>
              <w:rPr>
                <w:sz w:val="20"/>
                <w:szCs w:val="20"/>
                <w:color w:val="auto"/>
              </w:rPr>
            </w:pPr>
            <w:r>
              <w:rPr>
                <w:rFonts w:ascii="Arial" w:cs="Arial" w:eastAsia="Arial" w:hAnsi="Arial"/>
                <w:sz w:val="18"/>
                <w:szCs w:val="18"/>
                <w:color w:val="auto"/>
              </w:rPr>
              <w:t>/s/ Arlence C. Feldman</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January 24, 2003</w:t>
            </w:r>
          </w:p>
        </w:tc>
      </w:tr>
      <w:tr>
        <w:trPr>
          <w:trHeight w:val="110"/>
        </w:trPr>
        <w:tc>
          <w:tcPr>
            <w:tcW w:w="580" w:type="dxa"/>
            <w:vAlign w:val="bottom"/>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Arlene C. Feldman</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Date</w:t>
            </w:r>
          </w:p>
        </w:tc>
      </w:tr>
      <w:tr>
        <w:trPr>
          <w:trHeight w:val="222"/>
        </w:trPr>
        <w:tc>
          <w:tcPr>
            <w:tcW w:w="58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Assistant Secretary</w:t>
            </w:r>
          </w:p>
        </w:tc>
        <w:tc>
          <w:tcPr>
            <w:tcW w:w="11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11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 David A. Levin</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January 30, 2003</w:t>
            </w:r>
          </w:p>
        </w:tc>
      </w:tr>
      <w:tr>
        <w:trPr>
          <w:trHeight w:val="110"/>
        </w:trPr>
        <w:tc>
          <w:tcPr>
            <w:tcW w:w="580" w:type="dxa"/>
            <w:vAlign w:val="bottom"/>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r>
      <w:tr>
        <w:trPr>
          <w:trHeight w:val="316"/>
        </w:trPr>
        <w:tc>
          <w:tcPr>
            <w:tcW w:w="58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David A. Levin</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27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JANUARY 10, 2003</w:t>
      </w:r>
    </w:p>
    <w:p>
      <w:pPr>
        <w:spacing w:after="0" w:line="151"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WHEREAS, Casual Male Retail Group, Inc., (formerly Designs, Inc., “CMRG”) and Dennis R. Hernreich (“Executive”) entered into a certain Employment Agreement dated as of August 14, 2000, as amended by Letter Agreement dated April 25, 2001 (hereinafter referred to as the “Agreement”); and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and Executive wish to amend, modify and/or restate certain terms, provisions, conditions, and covenants of the Agreement.</w:t>
      </w:r>
    </w:p>
    <w:p>
      <w:pPr>
        <w:spacing w:after="0" w:line="18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127" w:lineRule="exact"/>
        <w:rPr>
          <w:sz w:val="20"/>
          <w:szCs w:val="20"/>
          <w:color w:val="auto"/>
        </w:rPr>
      </w:pPr>
    </w:p>
    <w:p>
      <w:pPr>
        <w:ind w:left="920" w:right="2540" w:hanging="466"/>
        <w:spacing w:after="0" w:line="328" w:lineRule="auto"/>
        <w:tabs>
          <w:tab w:leader="none" w:pos="9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Section 2 of the Agreement is hereby deleted in its entirety and the following is hereby substituted in lieu thereof: “2. </w:t>
      </w:r>
      <w:r>
        <w:rPr>
          <w:rFonts w:ascii="Arial" w:cs="Arial" w:eastAsia="Arial" w:hAnsi="Arial"/>
          <w:sz w:val="18"/>
          <w:szCs w:val="18"/>
          <w:u w:val="single" w:color="auto"/>
          <w:color w:val="auto"/>
        </w:rPr>
        <w:t>TERM</w:t>
      </w:r>
    </w:p>
    <w:p>
      <w:pPr>
        <w:spacing w:after="0" w:line="1" w:lineRule="exact"/>
        <w:rPr>
          <w:sz w:val="20"/>
          <w:szCs w:val="20"/>
          <w:color w:val="auto"/>
        </w:rPr>
      </w:pPr>
    </w:p>
    <w:p>
      <w:pPr>
        <w:ind w:left="920" w:right="200"/>
        <w:spacing w:after="0" w:line="298" w:lineRule="auto"/>
        <w:rPr>
          <w:sz w:val="20"/>
          <w:szCs w:val="20"/>
          <w:color w:val="auto"/>
        </w:rPr>
      </w:pPr>
      <w:r>
        <w:rPr>
          <w:rFonts w:ascii="Arial" w:cs="Arial" w:eastAsia="Arial" w:hAnsi="Arial"/>
          <w:sz w:val="16"/>
          <w:szCs w:val="16"/>
          <w:color w:val="auto"/>
        </w:rPr>
        <w:t>The initial term of employment under this Agreement shall begin on September 4, 2000 (“Employment Date”) and shall continue for a period of three (3) years from that date subject to prior termination in accordance with the terms hereof. This Agreement shall automatically be extended for an additional one (1) year term on each anniversary date of the Employment Date unless either party shall give the other at least ninety (90) days written notice prior to such anniversary date that it will not renew this Agreement.”</w:t>
      </w:r>
    </w:p>
    <w:p>
      <w:pPr>
        <w:spacing w:after="0" w:line="99" w:lineRule="exact"/>
        <w:rPr>
          <w:sz w:val="20"/>
          <w:szCs w:val="20"/>
          <w:color w:val="auto"/>
        </w:rPr>
      </w:pPr>
    </w:p>
    <w:p>
      <w:pPr>
        <w:ind w:left="920" w:right="2340" w:hanging="466"/>
        <w:spacing w:after="0" w:line="328" w:lineRule="auto"/>
        <w:tabs>
          <w:tab w:leader="none" w:pos="9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Section 3(a) of the Agreement is hereby deleted in its entirety and the following is hereby substituted in lieu thereof: “3. </w:t>
      </w:r>
      <w:r>
        <w:rPr>
          <w:rFonts w:ascii="Arial" w:cs="Arial" w:eastAsia="Arial" w:hAnsi="Arial"/>
          <w:sz w:val="18"/>
          <w:szCs w:val="18"/>
          <w:u w:val="single" w:color="auto"/>
          <w:color w:val="auto"/>
        </w:rPr>
        <w:t>COMPENSATION</w:t>
      </w:r>
    </w:p>
    <w:p>
      <w:pPr>
        <w:spacing w:after="0" w:line="1"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54"/>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installments in accordance with Company practice, an annual base salary of $375,000, effective as of September 1, 2002.”</w:t>
      </w:r>
    </w:p>
    <w:p>
      <w:pPr>
        <w:spacing w:after="0" w:line="45"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as herein specifically modified and amended, all of the terms, provisions, conditions, and covenants of the Agreement shall continue in full force and effect and shall be deemed unchanged except to the extend modified and amended herein.</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WITNESS WHEREOF, the parties hereto have executed this Second Amendment to Employment Agreement as a sealed instrument, in any number of counterpart copies, each of which shall be deemed an original for all purposes, as of the day and year first written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 MALE RETAIL GROUP, INC. (Company)</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spacing w:after="0"/>
              <w:rPr>
                <w:sz w:val="20"/>
                <w:szCs w:val="20"/>
                <w:color w:val="auto"/>
              </w:rPr>
            </w:pPr>
            <w:r>
              <w:rPr>
                <w:rFonts w:ascii="Arial" w:cs="Arial" w:eastAsia="Arial" w:hAnsi="Arial"/>
                <w:sz w:val="18"/>
                <w:szCs w:val="18"/>
                <w:color w:val="auto"/>
              </w:rPr>
              <w:t>/s/ David A. Levin</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January 29, 2003</w:t>
            </w:r>
          </w:p>
        </w:tc>
      </w:tr>
      <w:tr>
        <w:trPr>
          <w:trHeight w:val="110"/>
        </w:trPr>
        <w:tc>
          <w:tcPr>
            <w:tcW w:w="580" w:type="dxa"/>
            <w:vAlign w:val="bottom"/>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David A. Levin</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Date</w:t>
            </w:r>
          </w:p>
        </w:tc>
      </w:tr>
      <w:tr>
        <w:trPr>
          <w:trHeight w:val="216"/>
        </w:trPr>
        <w:tc>
          <w:tcPr>
            <w:tcW w:w="5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w:t>
            </w:r>
          </w:p>
        </w:tc>
        <w:tc>
          <w:tcPr>
            <w:tcW w:w="110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58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spacing w:after="0"/>
              <w:rPr>
                <w:sz w:val="20"/>
                <w:szCs w:val="20"/>
                <w:color w:val="auto"/>
              </w:rPr>
            </w:pPr>
            <w:r>
              <w:rPr>
                <w:rFonts w:ascii="Arial" w:cs="Arial" w:eastAsia="Arial" w:hAnsi="Arial"/>
                <w:sz w:val="18"/>
                <w:szCs w:val="18"/>
                <w:color w:val="auto"/>
              </w:rPr>
              <w:t>/s/ Arlene C. Feldman</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January 27, 2003</w:t>
            </w:r>
          </w:p>
        </w:tc>
      </w:tr>
      <w:tr>
        <w:trPr>
          <w:trHeight w:val="110"/>
        </w:trPr>
        <w:tc>
          <w:tcPr>
            <w:tcW w:w="580" w:type="dxa"/>
            <w:vAlign w:val="bottom"/>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Arlene C. Feldman</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Date</w:t>
            </w:r>
          </w:p>
        </w:tc>
      </w:tr>
      <w:tr>
        <w:trPr>
          <w:trHeight w:val="222"/>
        </w:trPr>
        <w:tc>
          <w:tcPr>
            <w:tcW w:w="58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Assistant Secretary</w:t>
            </w:r>
          </w:p>
        </w:tc>
        <w:tc>
          <w:tcPr>
            <w:tcW w:w="11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11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 Dennis R. Hernreich</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January 27, 2003</w:t>
            </w:r>
          </w:p>
        </w:tc>
      </w:tr>
      <w:tr>
        <w:trPr>
          <w:trHeight w:val="110"/>
        </w:trPr>
        <w:tc>
          <w:tcPr>
            <w:tcW w:w="580" w:type="dxa"/>
            <w:vAlign w:val="bottom"/>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r>
      <w:tr>
        <w:trPr>
          <w:trHeight w:val="316"/>
        </w:trPr>
        <w:tc>
          <w:tcPr>
            <w:tcW w:w="58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Dennis R. Hernreich</w:t>
            </w:r>
          </w:p>
        </w:tc>
        <w:tc>
          <w:tcPr>
            <w:tcW w:w="5860" w:type="dxa"/>
            <w:vAlign w:val="bottom"/>
            <w:gridSpan w:val="2"/>
          </w:tcPr>
          <w:p>
            <w:pPr>
              <w:ind w:left="110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27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u w:val="single" w:color="auto"/>
          <w:color w:val="auto"/>
        </w:rPr>
        <w:t>Exhibit 10.17</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u w:val="single" w:color="auto"/>
          <w:color w:val="auto"/>
        </w:rPr>
        <w:t>AGREEMENT AND GENERAL RELEASE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Agreement between Casual Male Retail Group, Inc., (formerly Designs, Inc.) a Delaware corporation with an office at 555 Turnpike Street, Canton, MA</w:t>
      </w:r>
    </w:p>
    <w:p>
      <w:pPr>
        <w:spacing w:after="0" w:line="38"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02021 (“Employer”) and Ronald N. Batts, an individual having an address at 6475 Tulip Lane, Dallas, Texas 75230, his heirs, executors, administrators, successors, and assigns (collectively referred to throughout this Agreement as “Employee”).</w:t>
      </w:r>
    </w:p>
    <w:p>
      <w:pPr>
        <w:spacing w:after="0" w:line="11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Employer and Employee entered into an Employment Agreement dated October 22, 2001, as amended by First Amendment to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May 19, 2002 (the “Employment Agreement”);</w:t>
      </w:r>
    </w:p>
    <w:p>
      <w:pPr>
        <w:spacing w:after="0" w:line="10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due to Employer’s restructuring, Employee’s position was eliminated, and as a result thereof, Employer and Employee came to a further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was appropriate to terminate the employment relationship; and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Employer and Employee desire to set forth the terms pursuant to which they are terminating the employment relationship;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as follows:</w:t>
      </w:r>
    </w:p>
    <w:p>
      <w:pPr>
        <w:spacing w:after="0" w:line="158" w:lineRule="exact"/>
        <w:rPr>
          <w:sz w:val="20"/>
          <w:szCs w:val="20"/>
          <w:color w:val="auto"/>
        </w:rPr>
      </w:pPr>
    </w:p>
    <w:p>
      <w:pPr>
        <w:ind w:right="80" w:firstLine="464"/>
        <w:spacing w:after="0" w:line="293" w:lineRule="auto"/>
        <w:tabs>
          <w:tab w:leader="none" w:pos="764"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Last Day of Employment; Agreement to Consult</w:t>
      </w:r>
      <w:r>
        <w:rPr>
          <w:rFonts w:ascii="Arial" w:cs="Arial" w:eastAsia="Arial" w:hAnsi="Arial"/>
          <w:sz w:val="16"/>
          <w:szCs w:val="16"/>
          <w:color w:val="auto"/>
        </w:rPr>
        <w:t>. Employee’s last day of employment with Employer was October 25, 2002. All wages and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ceased as of that date, except as set forth below. Employee has accrued unused vacation in the amount of 85.5 hours for which he was paid on December 5, 2002, less lawful deductions. Employee agrees, for the period commencing on October 25, 2002 and continuing through February 15, 2003 (the “Consulting Period”), to be available by telephone to consult and advise Employer with regard to matters formerly in his area of responsibility under the Employment Agreement. During the Consulting Period, it is understood that Employee shall provide such services, if and when requested, from his home in Dallas, Texas, during regular business hours, for up to fifteen (15) hours per week.</w:t>
      </w:r>
    </w:p>
    <w:p>
      <w:pPr>
        <w:spacing w:after="0" w:line="103" w:lineRule="exact"/>
        <w:rPr>
          <w:rFonts w:ascii="Arial" w:cs="Arial" w:eastAsia="Arial" w:hAnsi="Arial"/>
          <w:sz w:val="16"/>
          <w:szCs w:val="16"/>
          <w:color w:val="auto"/>
        </w:rPr>
      </w:pPr>
    </w:p>
    <w:p>
      <w:pPr>
        <w:ind w:right="480" w:firstLine="464"/>
        <w:spacing w:after="0" w:line="259" w:lineRule="auto"/>
        <w:tabs>
          <w:tab w:leader="none" w:pos="7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Employee is eligible to receive reimbursement for certain business and travel expenses incurred on or prior to October 25, 2002. Any request for reimbursement must be made in writing by January 8, 2003, with appropriate documentation submitted to Susan Murray. During the Consulting Period, Employee shall not accrue vacation or sick pay and</w:t>
      </w:r>
    </w:p>
    <w:p>
      <w:pPr>
        <w:sectPr>
          <w:pgSz w:w="11900" w:h="16838" w:orient="portrait"/>
          <w:cols w:equalWidth="0" w:num="1">
            <w:col w:w="11420"/>
          </w:cols>
          <w:pgMar w:left="240" w:top="274" w:right="239" w:bottom="1440" w:gutter="0" w:footer="0" w:header="0"/>
        </w:sectPr>
      </w:pPr>
    </w:p>
    <w:bookmarkStart w:id="91" w:name="page92"/>
    <w:bookmarkEnd w:id="91"/>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eligible for expense reimbursement, additional stock option awards, automobile allowance or any other compensation or benefits except as set forth herein.</w:t>
      </w:r>
    </w:p>
    <w:p>
      <w:pPr>
        <w:spacing w:after="0" w:line="112" w:lineRule="exact"/>
        <w:rPr>
          <w:sz w:val="20"/>
          <w:szCs w:val="20"/>
          <w:color w:val="auto"/>
        </w:rPr>
      </w:pPr>
    </w:p>
    <w:p>
      <w:pPr>
        <w:ind w:right="20" w:firstLine="464"/>
        <w:spacing w:after="0" w:line="275" w:lineRule="auto"/>
        <w:tabs>
          <w:tab w:leader="none" w:pos="764"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Consideration</w:t>
      </w:r>
      <w:r>
        <w:rPr>
          <w:rFonts w:ascii="Arial" w:cs="Arial" w:eastAsia="Arial" w:hAnsi="Arial"/>
          <w:sz w:val="18"/>
          <w:szCs w:val="18"/>
          <w:color w:val="auto"/>
        </w:rPr>
        <w:t>. In consideration for signing this Agreement and General Release and compliance with the promises made herein, Employer agrees,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Employee does not revoke the Agreement in accordance with Paragraph 5 herein:</w:t>
      </w:r>
    </w:p>
    <w:p>
      <w:pPr>
        <w:spacing w:after="0" w:line="31" w:lineRule="exact"/>
        <w:rPr>
          <w:rFonts w:ascii="Arial" w:cs="Arial" w:eastAsia="Arial" w:hAnsi="Arial"/>
          <w:sz w:val="18"/>
          <w:szCs w:val="18"/>
          <w:color w:val="auto"/>
        </w:rPr>
      </w:pPr>
    </w:p>
    <w:p>
      <w:pPr>
        <w:ind w:left="460" w:right="80" w:firstLine="443"/>
        <w:spacing w:after="0" w:line="291" w:lineRule="auto"/>
        <w:tabs>
          <w:tab w:leader="none" w:pos="1196" w:val="left"/>
        </w:tabs>
        <w:numPr>
          <w:ilvl w:val="1"/>
          <w:numId w:val="56"/>
        </w:numPr>
        <w:rPr>
          <w:rFonts w:ascii="Arial" w:cs="Arial" w:eastAsia="Arial" w:hAnsi="Arial"/>
          <w:sz w:val="16"/>
          <w:szCs w:val="16"/>
          <w:color w:val="auto"/>
        </w:rPr>
      </w:pPr>
      <w:r>
        <w:rPr>
          <w:rFonts w:ascii="Arial" w:cs="Arial" w:eastAsia="Arial" w:hAnsi="Arial"/>
          <w:sz w:val="16"/>
          <w:szCs w:val="16"/>
          <w:color w:val="auto"/>
        </w:rPr>
        <w:t>to pay to Employee his base salary of $5,288.46 per week plus an amount equal to $2,083.33 per month, for a period of eight (8) months (the “Term”), less lawful deductions and less the Employee’s contribution to continued medical and dental coverage, payable in bi-weekly installments. Payment of this sum, minus any salary continuation/bonus payment after October 25, 2002, while Employee is considering this Agreement and General Release and which are included in the eight months of salary continuation, will begin on the next regularly scheduled payroll date which is ten (10) days after the expiration of the revocation period. Employee may elect, by giving Employer written notice no later than February 18, 2003, to receive the above amount in a single lump sum, in which event Employer shall pay such amount to Employee within ten (10) business days after receipt of such notice.</w:t>
      </w:r>
    </w:p>
    <w:p>
      <w:pPr>
        <w:spacing w:after="0" w:line="25" w:lineRule="exact"/>
        <w:rPr>
          <w:rFonts w:ascii="Arial" w:cs="Arial" w:eastAsia="Arial" w:hAnsi="Arial"/>
          <w:sz w:val="16"/>
          <w:szCs w:val="16"/>
          <w:color w:val="auto"/>
        </w:rPr>
      </w:pPr>
    </w:p>
    <w:p>
      <w:pPr>
        <w:ind w:left="460" w:right="160" w:firstLine="443"/>
        <w:spacing w:after="0" w:line="298" w:lineRule="auto"/>
        <w:tabs>
          <w:tab w:leader="none" w:pos="1205" w:val="left"/>
        </w:tabs>
        <w:numPr>
          <w:ilvl w:val="1"/>
          <w:numId w:val="56"/>
        </w:numPr>
        <w:rPr>
          <w:rFonts w:ascii="Arial" w:cs="Arial" w:eastAsia="Arial" w:hAnsi="Arial"/>
          <w:sz w:val="16"/>
          <w:szCs w:val="16"/>
          <w:color w:val="auto"/>
        </w:rPr>
      </w:pPr>
      <w:r>
        <w:rPr>
          <w:rFonts w:ascii="Arial" w:cs="Arial" w:eastAsia="Arial" w:hAnsi="Arial"/>
          <w:sz w:val="16"/>
          <w:szCs w:val="16"/>
          <w:color w:val="auto"/>
        </w:rPr>
        <w:t>to continue medical and dental coverage under the Employer Plan during the Term, with Employee continuing to contribute to the cost of coverage to the same extent as prior to October 25, 2002; provided, however, that Employee’s participation shall cease on the date be becomes eligible to participate in another group medical plan through a subsequent employer and Employee is obligated to notify the Employer immediately on becoming so eligible to participate. Thereafter, Employee shall be entitled to elect COBRA coverage for the remainder of the COBRA period, at his own expense.</w:t>
      </w:r>
    </w:p>
    <w:p>
      <w:pPr>
        <w:spacing w:after="0" w:line="93" w:lineRule="exact"/>
        <w:rPr>
          <w:rFonts w:ascii="Arial" w:cs="Arial" w:eastAsia="Arial" w:hAnsi="Arial"/>
          <w:sz w:val="16"/>
          <w:szCs w:val="16"/>
          <w:color w:val="auto"/>
        </w:rPr>
      </w:pPr>
    </w:p>
    <w:p>
      <w:pPr>
        <w:jc w:val="both"/>
        <w:ind w:firstLine="464"/>
        <w:spacing w:after="0" w:line="258" w:lineRule="auto"/>
        <w:tabs>
          <w:tab w:leader="none" w:pos="764"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Consideration Absent Execution of this Agreement; Settlement</w:t>
      </w:r>
      <w:r>
        <w:rPr>
          <w:rFonts w:ascii="Arial" w:cs="Arial" w:eastAsia="Arial" w:hAnsi="Arial"/>
          <w:sz w:val="18"/>
          <w:szCs w:val="18"/>
          <w:color w:val="auto"/>
        </w:rPr>
        <w:t>. Employee understands and agrees that he would not receive the monies and/or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specified in paragraph “3” above, except for his execution of this Agreement and General Release and the fulfillment of the promises contained herein. It is further understood and agreed that the monies and/or benefits specified in “paragraph 3” above, are given in settlement of and in lieu of any amounts which would otherwise be due to Employee under the Employment Agreement.</w:t>
      </w:r>
    </w:p>
    <w:p>
      <w:pPr>
        <w:spacing w:after="0" w:line="122" w:lineRule="exact"/>
        <w:rPr>
          <w:rFonts w:ascii="Arial" w:cs="Arial" w:eastAsia="Arial" w:hAnsi="Arial"/>
          <w:sz w:val="18"/>
          <w:szCs w:val="18"/>
          <w:color w:val="auto"/>
        </w:rPr>
      </w:pPr>
    </w:p>
    <w:p>
      <w:pPr>
        <w:ind w:right="140" w:firstLine="464"/>
        <w:spacing w:after="0" w:line="255" w:lineRule="auto"/>
        <w:tabs>
          <w:tab w:leader="none" w:pos="764"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Revocation</w:t>
      </w:r>
      <w:r>
        <w:rPr>
          <w:rFonts w:ascii="Arial" w:cs="Arial" w:eastAsia="Arial" w:hAnsi="Arial"/>
          <w:sz w:val="18"/>
          <w:szCs w:val="18"/>
          <w:color w:val="auto"/>
        </w:rPr>
        <w:t>. Employee may revoke this Agreement and General Release for a period of seven (7) calendar days following the day you execute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General Release. Any revocation within this period must be submitted, in writing, to Susan Murray at the address set forth above and state, “I hereby revoke my acceptance of our Agreement and General Release.” The revocation must be personally delivered to Susan Murray or her designee, or mailed to Susan Murray at the address set forth above and postmarked within seven (7) calendar days of execution of this Agreement and General Release. This Agreement and General Release shall not become effective or enforceable until the revocation period has expired and Employer receives the letter set forth as Exhibit A hereto.</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92" w:name="page93"/>
    <w:bookmarkEnd w:id="9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last day of the revocation period is a Saturday, Sunday, or legal holiday in Massachusetts, then the revocation period shall not expire until the next following day which is not a Saturday, Sunday, or legal holiday.</w:t>
      </w:r>
    </w:p>
    <w:p>
      <w:pPr>
        <w:spacing w:after="0" w:line="112" w:lineRule="exact"/>
        <w:rPr>
          <w:sz w:val="20"/>
          <w:szCs w:val="20"/>
          <w:color w:val="auto"/>
        </w:rPr>
      </w:pPr>
    </w:p>
    <w:p>
      <w:pPr>
        <w:ind w:left="780" w:hanging="31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Release of Claims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color w:val="auto"/>
        </w:rPr>
      </w:pPr>
    </w:p>
    <w:p>
      <w:pPr>
        <w:ind w:left="460" w:right="140" w:firstLine="443"/>
        <w:spacing w:after="0" w:line="286" w:lineRule="auto"/>
        <w:tabs>
          <w:tab w:leader="none" w:pos="1196" w:val="left"/>
        </w:tabs>
        <w:numPr>
          <w:ilvl w:val="1"/>
          <w:numId w:val="57"/>
        </w:numPr>
        <w:rPr>
          <w:rFonts w:ascii="Arial" w:cs="Arial" w:eastAsia="Arial" w:hAnsi="Arial"/>
          <w:sz w:val="16"/>
          <w:szCs w:val="16"/>
          <w:color w:val="auto"/>
        </w:rPr>
      </w:pPr>
      <w:r>
        <w:rPr>
          <w:rFonts w:ascii="Arial" w:cs="Arial" w:eastAsia="Arial" w:hAnsi="Arial"/>
          <w:sz w:val="16"/>
          <w:szCs w:val="16"/>
          <w:color w:val="auto"/>
        </w:rPr>
        <w:t>Employee hereby irrevocably and unconditionally knowingly and voluntarily releases and forever discharges Employer, its parent corporation, affiliates, subsidiaries, divisions, successors and assigns and the current and former employees, officers, directors and agents thereof, of and from any and all claims, known and unknown, Employee has or may have against Employer as of the date of execution of this Agreement and General Release, including, but not limited to, any alleged violation of: Title VII of the Civil Rights Act of 1964, as amended; the Civil Rights Act of 1991; Sections 1981 through 1988 of Title 42 of the United States Code, as amended; the Employee Retirement Income Security Act of 1974, as amended; the Immigration Reform and Control Act, as amended; the Americans with Disabilities Act of 1990, as amended; the Age Discrimination in Employment Act of 1967, as amended; the Massachusetts Law Against Discrimination, G.L. c. 151B, the Massachusetts Privacy Statute, G.L. c. 214, § 1B, the Massachusetts Wage Payment Statute, G.L. c. 149, § 148 etseq., the Massachusetts Sexual Harassment Statute, G.L. c. 214 § 1C, the Massachusetts Consumer Protection Act, G.L. c. 93A, the Massachusetts Civil Rights Act, G.L. c. 12, § 11, and the Massachusetts Equal Rights Act, G.L. c. 93, or any other federal, state or local human rights, civil rights, wage-hour, pension or labor laws, rules and/or regulations, public policy, any claim for breach of contract, contract or tort laws, or any claim arising under common law, such as claims for malicious prosecution, misrepresentation, defamation, false imprisonment, libel, slander, invasion of privacy, negligence, infliction of emotional distress, or otherwise.</w:t>
      </w:r>
    </w:p>
    <w:p>
      <w:pPr>
        <w:spacing w:after="0" w:line="29" w:lineRule="exact"/>
        <w:rPr>
          <w:rFonts w:ascii="Arial" w:cs="Arial" w:eastAsia="Arial" w:hAnsi="Arial"/>
          <w:sz w:val="16"/>
          <w:szCs w:val="16"/>
          <w:color w:val="auto"/>
        </w:rPr>
      </w:pPr>
    </w:p>
    <w:p>
      <w:pPr>
        <w:ind w:left="460" w:right="20" w:firstLine="443"/>
        <w:spacing w:after="0" w:line="288" w:lineRule="auto"/>
        <w:tabs>
          <w:tab w:leader="none" w:pos="1205"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Employer hereby irrevocably and unconditionally knowingly and voluntarily releases and forever discharges Employee, his heirs, successors and assigns, of and from any and all claims that Employer has or may have against Employee as of the date of execution of this Agreement and General Release,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claims arising from the willful misconduct of Employee (“Reserved Claims”)(but Employer releases Employee from any claims relating to the disclosure of information to Employer’s directors, officers or employees); provided, however, that (i) any Reserved Claims must be asserted prior to the end of the Term (or such shorter limitations period provided by applicable law), (ii) Employer represents and warrants that, as of the date of execution of this Agreement by Employer, Employer is not aware of any facts which would give rise to any Reserved Claims, and (iii) notwithstanding the provisions of Section 6(a), if Employer asserts any Reserved Claims against Employee, then Employee may assert in defense of such Reserved Claims any claims he may have against Employer (but in no event shall Employee recover any amount with regard to claims otherwise waived under Section 6(a) in excess of the sum of any judgment rendered in favor of Employer).</w:t>
      </w:r>
    </w:p>
    <w:p>
      <w:pPr>
        <w:spacing w:after="0" w:line="100" w:lineRule="exact"/>
        <w:rPr>
          <w:rFonts w:ascii="Arial" w:cs="Arial" w:eastAsia="Arial" w:hAnsi="Arial"/>
          <w:sz w:val="16"/>
          <w:szCs w:val="16"/>
          <w:color w:val="auto"/>
        </w:rPr>
      </w:pPr>
    </w:p>
    <w:p>
      <w:pPr>
        <w:ind w:right="400" w:firstLine="464"/>
        <w:spacing w:after="0" w:line="275" w:lineRule="auto"/>
        <w:tabs>
          <w:tab w:leader="none" w:pos="764"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Reference Letter</w:t>
      </w:r>
      <w:r>
        <w:rPr>
          <w:rFonts w:ascii="Arial" w:cs="Arial" w:eastAsia="Arial" w:hAnsi="Arial"/>
          <w:sz w:val="18"/>
          <w:szCs w:val="18"/>
          <w:color w:val="auto"/>
        </w:rPr>
        <w:t>. Employee agrees not to disclose any information regarding the existence or substance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Release, except to his spouse, tax advisor, and an attorney with whom Employee chooses to consult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3" w:name="page94"/>
    <w:bookmarkEnd w:id="93"/>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regarding his consideration of this Agreement and General Release; provided, however, that nothing herein is intended to or shall preclude Employee from cooperating with any local, state or federal government in an investigation. Employer agrees not to disclose any information regarding the existence or substance of this Agreement and General Release, except for such officers, employees, attorneys and accountants as may have a need to know, and as may be required in any filing under the Securities Exchange Act of 1934, as amended, or any other law. Employer agrees that it will direct those directors, officers and employees who Employer makes privy to the terms of this Agreement and General Release, that it shall not disparage Employee or his performance under the Employment Agreement. Employer further agrees that any request for a written reference regarding Employee that is directed to Employer’s Vice President of Human Resources will be responded to solely by a written reference letter in the form attached hereto as Exhibit B.</w:t>
      </w:r>
    </w:p>
    <w:p>
      <w:pPr>
        <w:spacing w:after="0" w:line="99" w:lineRule="exact"/>
        <w:rPr>
          <w:sz w:val="20"/>
          <w:szCs w:val="20"/>
          <w:color w:val="auto"/>
        </w:rPr>
      </w:pPr>
    </w:p>
    <w:p>
      <w:pPr>
        <w:ind w:firstLine="464"/>
        <w:spacing w:after="0" w:line="293" w:lineRule="auto"/>
        <w:tabs>
          <w:tab w:leader="none" w:pos="764" w:val="left"/>
        </w:tabs>
        <w:numPr>
          <w:ilvl w:val="0"/>
          <w:numId w:val="58"/>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 and Interpretation</w:t>
      </w:r>
      <w:r>
        <w:rPr>
          <w:rFonts w:ascii="Arial" w:cs="Arial" w:eastAsia="Arial" w:hAnsi="Arial"/>
          <w:sz w:val="16"/>
          <w:szCs w:val="16"/>
          <w:color w:val="auto"/>
        </w:rPr>
        <w:t>. This Agreement and General Release shall be governed and conformed in accordance with the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Commonwealth of Massachusetts. In the event the Employee breaches any provision of this Agreement and General Release, Employee and Employer affirm that either may institute an action to specifically enforce any term or terms of this Agreement and General Release and that any such action shall be instituted in a court in the Commonwealth of Massachusetts. Should any provision of this Agreement and General Release be declared illegal or unenforceable by any court of competent jurisdiction and cannot be modified to be enforceable, excluding the general release language, such provision shall immediately become null and void, leaving the remainder of this Agreement and General Release in full force and effect.</w:t>
      </w:r>
    </w:p>
    <w:p>
      <w:pPr>
        <w:spacing w:after="0" w:line="97" w:lineRule="exact"/>
        <w:rPr>
          <w:rFonts w:ascii="Arial" w:cs="Arial" w:eastAsia="Arial" w:hAnsi="Arial"/>
          <w:sz w:val="16"/>
          <w:szCs w:val="16"/>
          <w:color w:val="auto"/>
        </w:rPr>
      </w:pPr>
    </w:p>
    <w:p>
      <w:pPr>
        <w:ind w:right="300" w:firstLine="464"/>
        <w:spacing w:after="0" w:line="339" w:lineRule="auto"/>
        <w:tabs>
          <w:tab w:leader="none" w:pos="764" w:val="left"/>
        </w:tabs>
        <w:numPr>
          <w:ilvl w:val="0"/>
          <w:numId w:val="58"/>
        </w:numPr>
        <w:rPr>
          <w:rFonts w:ascii="Arial" w:cs="Arial" w:eastAsia="Arial" w:hAnsi="Arial"/>
          <w:sz w:val="16"/>
          <w:szCs w:val="16"/>
          <w:color w:val="auto"/>
        </w:rPr>
      </w:pPr>
      <w:r>
        <w:rPr>
          <w:rFonts w:ascii="Arial" w:cs="Arial" w:eastAsia="Arial" w:hAnsi="Arial"/>
          <w:sz w:val="16"/>
          <w:szCs w:val="16"/>
          <w:b w:val="1"/>
          <w:bCs w:val="1"/>
          <w:u w:val="single" w:color="auto"/>
          <w:color w:val="auto"/>
        </w:rPr>
        <w:t>Nonadmission of Wrongdoing</w:t>
      </w:r>
      <w:r>
        <w:rPr>
          <w:rFonts w:ascii="Arial" w:cs="Arial" w:eastAsia="Arial" w:hAnsi="Arial"/>
          <w:sz w:val="16"/>
          <w:szCs w:val="16"/>
          <w:color w:val="auto"/>
        </w:rPr>
        <w:t>. The parties agree that neither this Agreement and General Release nor the furnishing of the consideration for this</w:t>
      </w:r>
      <w:r>
        <w:rPr>
          <w:rFonts w:ascii="Arial" w:cs="Arial" w:eastAsia="Arial" w:hAnsi="Arial"/>
          <w:sz w:val="16"/>
          <w:szCs w:val="16"/>
          <w:b w:val="1"/>
          <w:bCs w:val="1"/>
          <w:color w:val="auto"/>
        </w:rPr>
        <w:t xml:space="preserve"> </w:t>
      </w:r>
      <w:r>
        <w:rPr>
          <w:rFonts w:ascii="Arial" w:cs="Arial" w:eastAsia="Arial" w:hAnsi="Arial"/>
          <w:sz w:val="16"/>
          <w:szCs w:val="16"/>
          <w:color w:val="auto"/>
        </w:rPr>
        <w:t>Release shall be deemed or construed at anytime for any purpose as an admission by either party of any liability or unlawful conduct of any kind.</w:t>
      </w:r>
    </w:p>
    <w:p>
      <w:pPr>
        <w:spacing w:after="0" w:line="60" w:lineRule="exact"/>
        <w:rPr>
          <w:rFonts w:ascii="Arial" w:cs="Arial" w:eastAsia="Arial" w:hAnsi="Arial"/>
          <w:sz w:val="16"/>
          <w:szCs w:val="16"/>
          <w:color w:val="auto"/>
        </w:rPr>
      </w:pPr>
    </w:p>
    <w:p>
      <w:pPr>
        <w:ind w:right="300" w:firstLine="464"/>
        <w:spacing w:after="0" w:line="275" w:lineRule="auto"/>
        <w:tabs>
          <w:tab w:leader="none" w:pos="852"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and General Release may not be modified, altered or changed except upon express written consent of both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wherein specific reference is made to this Agreement and General Release.</w:t>
      </w:r>
    </w:p>
    <w:p>
      <w:pPr>
        <w:spacing w:after="0" w:line="106" w:lineRule="exact"/>
        <w:rPr>
          <w:rFonts w:ascii="Arial" w:cs="Arial" w:eastAsia="Arial" w:hAnsi="Arial"/>
          <w:sz w:val="18"/>
          <w:szCs w:val="18"/>
          <w:color w:val="auto"/>
        </w:rPr>
      </w:pPr>
    </w:p>
    <w:p>
      <w:pPr>
        <w:ind w:firstLine="464"/>
        <w:spacing w:after="0" w:line="258" w:lineRule="auto"/>
        <w:tabs>
          <w:tab w:leader="none" w:pos="845"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If any dispute arises between the parties with respect to this Agreement and General Release, the Employment Agreement,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Employee’s employment with the Company, including without limitation the assertion of any claims reserved to the parties under Section 6.b. hereof, the parties agree to submit the dispute to arbitration in accordance with the Commercial Arbitration Rules of the American Arbitration Association, and both parties agree to be bound by the arbitration award.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94" w:name="page95"/>
    <w:bookmarkEnd w:id="94"/>
    <w:p>
      <w:pPr>
        <w:jc w:val="both"/>
        <w:ind w:left="-60" w:right="100" w:firstLine="464"/>
        <w:spacing w:after="0" w:line="256" w:lineRule="auto"/>
        <w:tabs>
          <w:tab w:leader="none" w:pos="792"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Agreement</w:t>
      </w:r>
      <w:r>
        <w:rPr>
          <w:rFonts w:ascii="Arial" w:cs="Arial" w:eastAsia="Arial" w:hAnsi="Arial"/>
          <w:sz w:val="18"/>
          <w:szCs w:val="18"/>
          <w:color w:val="auto"/>
        </w:rPr>
        <w:t>. This Agreement and General Release sets forth the entire agreement between the parties hereto, and fully supersedes any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or understandings between the parties, including the Employment Agreement, except that sections 10, 11, 12 and 13 of the Employment Agreement shall be incorporated herein by reference and remain in full force and effect. Employee acknowledges that he has not relied on any representations, promises, or agreements of any kind made to him in connection with his decision to accept this Agreement and General Release, except for those set forth in this Agreement and General Release.</w:t>
      </w:r>
    </w:p>
    <w:p>
      <w:pPr>
        <w:spacing w:after="0" w:line="131" w:lineRule="exact"/>
        <w:rPr>
          <w:rFonts w:ascii="Arial" w:cs="Arial" w:eastAsia="Arial" w:hAnsi="Arial"/>
          <w:sz w:val="18"/>
          <w:szCs w:val="18"/>
          <w:color w:val="auto"/>
        </w:rPr>
      </w:pPr>
    </w:p>
    <w:p>
      <w:pPr>
        <w:ind w:left="-60" w:firstLine="464"/>
        <w:spacing w:after="0" w:line="306" w:lineRule="auto"/>
        <w:tabs>
          <w:tab w:leader="none" w:pos="792" w:val="left"/>
        </w:tabs>
        <w:numPr>
          <w:ilvl w:val="0"/>
          <w:numId w:val="59"/>
        </w:numPr>
        <w:rPr>
          <w:rFonts w:ascii="Arial" w:cs="Arial" w:eastAsia="Arial" w:hAnsi="Arial"/>
          <w:sz w:val="16"/>
          <w:szCs w:val="16"/>
          <w:color w:val="auto"/>
        </w:rPr>
      </w:pPr>
      <w:r>
        <w:rPr>
          <w:rFonts w:ascii="Arial" w:cs="Arial" w:eastAsia="Arial" w:hAnsi="Arial"/>
          <w:sz w:val="16"/>
          <w:szCs w:val="16"/>
          <w:color w:val="auto"/>
        </w:rPr>
        <w:t>Employee has been advised that he has up to twenty-one (21) calendar days to review this agreement and general release and is has been advised in writing to consult with an attorney prior to execution of this agreement and general release. Employee agrees that any modifications, material or otherwise, made to this Agreement and general release do not restart or affect in any manner the original twenty-one (21) calendar day consideration period.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WITNESS WHEREOF, the parties hereto knowingly and voluntarily executed this Agreement and General Release as of the date set forth below: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300" w:top="422"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880" w:type="dxa"/>
            <w:vAlign w:val="bottom"/>
            <w:gridSpan w:val="3"/>
          </w:tcPr>
          <w:p>
            <w:pPr>
              <w:ind w:left="720"/>
              <w:spacing w:after="0"/>
              <w:rPr>
                <w:sz w:val="20"/>
                <w:szCs w:val="20"/>
                <w:color w:val="auto"/>
              </w:rPr>
            </w:pPr>
            <w:r>
              <w:rPr>
                <w:rFonts w:ascii="Arial" w:cs="Arial" w:eastAsia="Arial" w:hAnsi="Arial"/>
                <w:sz w:val="18"/>
                <w:szCs w:val="18"/>
                <w:b w:val="1"/>
                <w:bCs w:val="1"/>
                <w:color w:val="auto"/>
              </w:rPr>
              <w:t>CASUAL MALE RETAIL GROUP, INC.</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N. B</w:t>
            </w:r>
            <w:r>
              <w:rPr>
                <w:rFonts w:ascii="Arial" w:cs="Arial" w:eastAsia="Arial" w:hAnsi="Arial"/>
                <w:sz w:val="14"/>
                <w:szCs w:val="14"/>
                <w:color w:val="auto"/>
              </w:rPr>
              <w:t>ATTS</w:t>
            </w:r>
          </w:p>
        </w:tc>
        <w:tc>
          <w:tcPr>
            <w:tcW w:w="1280" w:type="dxa"/>
            <w:vAlign w:val="bottom"/>
          </w:tcPr>
          <w:p>
            <w:pPr>
              <w:ind w:left="72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r>
      <w:tr>
        <w:trPr>
          <w:trHeight w:val="110"/>
        </w:trPr>
        <w:tc>
          <w:tcPr>
            <w:tcW w:w="720" w:type="dxa"/>
            <w:vAlign w:val="bottom"/>
          </w:tcPr>
          <w:p>
            <w:pPr>
              <w:spacing w:after="0"/>
              <w:rPr>
                <w:sz w:val="9"/>
                <w:szCs w:val="9"/>
                <w:color w:val="auto"/>
              </w:rPr>
            </w:pPr>
          </w:p>
        </w:tc>
        <w:tc>
          <w:tcPr>
            <w:tcW w:w="4820" w:type="dxa"/>
            <w:vAlign w:val="bottom"/>
            <w:tcBorders>
              <w:bottom w:val="single" w:sz="8" w:color="auto"/>
            </w:tcBorders>
          </w:tcPr>
          <w:p>
            <w:pPr>
              <w:spacing w:after="0"/>
              <w:rPr>
                <w:sz w:val="9"/>
                <w:szCs w:val="9"/>
                <w:color w:val="auto"/>
              </w:rPr>
            </w:pPr>
          </w:p>
        </w:tc>
        <w:tc>
          <w:tcPr>
            <w:tcW w:w="1460" w:type="dxa"/>
            <w:vAlign w:val="bottom"/>
            <w:gridSpan w:val="2"/>
          </w:tcPr>
          <w:p>
            <w:pPr>
              <w:spacing w:after="0"/>
              <w:rPr>
                <w:sz w:val="9"/>
                <w:szCs w:val="9"/>
                <w:color w:val="auto"/>
              </w:rPr>
            </w:pPr>
          </w:p>
        </w:tc>
        <w:tc>
          <w:tcPr>
            <w:tcW w:w="4420" w:type="dxa"/>
            <w:vAlign w:val="bottom"/>
            <w:tcBorders>
              <w:bottom w:val="single" w:sz="8" w:color="auto"/>
            </w:tcBorders>
          </w:tcPr>
          <w:p>
            <w:pPr>
              <w:spacing w:after="0"/>
              <w:rPr>
                <w:sz w:val="9"/>
                <w:szCs w:val="9"/>
                <w:color w:val="auto"/>
              </w:rPr>
            </w:pPr>
          </w:p>
        </w:tc>
      </w:tr>
      <w:tr>
        <w:trPr>
          <w:trHeight w:val="309"/>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Ronald N. Batts</w:t>
            </w:r>
          </w:p>
        </w:tc>
        <w:tc>
          <w:tcPr>
            <w:tcW w:w="5880" w:type="dxa"/>
            <w:vAlign w:val="bottom"/>
            <w:gridSpan w:val="3"/>
          </w:tcPr>
          <w:p>
            <w:pPr>
              <w:ind w:left="720"/>
              <w:spacing w:after="0"/>
              <w:rPr>
                <w:sz w:val="20"/>
                <w:szCs w:val="20"/>
                <w:color w:val="auto"/>
              </w:rPr>
            </w:pPr>
            <w:r>
              <w:rPr>
                <w:rFonts w:ascii="Arial" w:cs="Arial" w:eastAsia="Arial" w:hAnsi="Arial"/>
                <w:sz w:val="18"/>
                <w:szCs w:val="18"/>
                <w:color w:val="auto"/>
              </w:rPr>
              <w:t>David A. Levin</w:t>
            </w:r>
          </w:p>
        </w:tc>
      </w:tr>
      <w:tr>
        <w:trPr>
          <w:trHeight w:val="222"/>
        </w:trPr>
        <w:tc>
          <w:tcPr>
            <w:tcW w:w="7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880" w:type="dxa"/>
            <w:vAlign w:val="bottom"/>
            <w:gridSpan w:val="3"/>
          </w:tcPr>
          <w:p>
            <w:pPr>
              <w:ind w:left="720"/>
              <w:spacing w:after="0"/>
              <w:rPr>
                <w:sz w:val="20"/>
                <w:szCs w:val="20"/>
                <w:color w:val="auto"/>
              </w:rPr>
            </w:pPr>
            <w:r>
              <w:rPr>
                <w:rFonts w:ascii="Arial" w:cs="Arial" w:eastAsia="Arial" w:hAnsi="Arial"/>
                <w:sz w:val="18"/>
                <w:szCs w:val="18"/>
                <w:color w:val="auto"/>
              </w:rPr>
              <w:t>President and Chief Executive Officer</w:t>
            </w:r>
          </w:p>
        </w:tc>
      </w:tr>
      <w:tr>
        <w:trPr>
          <w:trHeight w:val="394"/>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Borders>
              <w:bottom w:val="single" w:sz="8" w:color="auto"/>
            </w:tcBorders>
          </w:tcPr>
          <w:p>
            <w:pPr>
              <w:spacing w:after="0"/>
              <w:rPr>
                <w:sz w:val="24"/>
                <w:szCs w:val="24"/>
                <w:color w:val="auto"/>
              </w:rPr>
            </w:pPr>
          </w:p>
        </w:tc>
        <w:tc>
          <w:tcPr>
            <w:tcW w:w="1280" w:type="dxa"/>
            <w:vAlign w:val="bottom"/>
          </w:tcPr>
          <w:p>
            <w:pPr>
              <w:ind w:left="720"/>
              <w:spacing w:after="0"/>
              <w:rPr>
                <w:sz w:val="20"/>
                <w:szCs w:val="20"/>
                <w:color w:val="auto"/>
              </w:rPr>
            </w:pPr>
            <w:r>
              <w:rPr>
                <w:rFonts w:ascii="Arial" w:cs="Arial" w:eastAsia="Arial" w:hAnsi="Arial"/>
                <w:sz w:val="18"/>
                <w:szCs w:val="18"/>
                <w:color w:val="auto"/>
              </w:rPr>
              <w:t>Date:</w:t>
            </w:r>
          </w:p>
        </w:tc>
        <w:tc>
          <w:tcPr>
            <w:tcW w:w="180" w:type="dxa"/>
            <w:vAlign w:val="bottom"/>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r>
        <w:trPr>
          <w:trHeight w:val="464"/>
        </w:trPr>
        <w:tc>
          <w:tcPr>
            <w:tcW w:w="7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4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2"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96" w:name="page97"/>
    <w:bookmarkEnd w:id="96"/>
    <w:p>
      <w:pPr>
        <w:jc w:val="right"/>
        <w:spacing w:after="0"/>
        <w:rPr>
          <w:sz w:val="20"/>
          <w:szCs w:val="20"/>
          <w:color w:val="auto"/>
        </w:rPr>
      </w:pPr>
      <w:r>
        <w:rPr>
          <w:rFonts w:ascii="Arial" w:cs="Arial" w:eastAsia="Arial" w:hAnsi="Arial"/>
          <w:sz w:val="18"/>
          <w:szCs w:val="18"/>
          <w:color w:val="auto"/>
        </w:rPr>
        <w:t>Exhibit 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440" w:type="dxa"/>
            <w:vAlign w:val="bottom"/>
            <w:gridSpan w:val="2"/>
          </w:tcPr>
          <w:p>
            <w:pPr>
              <w:ind w:left="280"/>
              <w:spacing w:after="0"/>
              <w:rPr>
                <w:sz w:val="20"/>
                <w:szCs w:val="20"/>
                <w:color w:val="auto"/>
              </w:rPr>
            </w:pPr>
            <w:r>
              <w:rPr>
                <w:rFonts w:ascii="Arial" w:cs="Arial" w:eastAsia="Arial" w:hAnsi="Arial"/>
                <w:sz w:val="18"/>
                <w:szCs w:val="18"/>
                <w:color w:val="auto"/>
              </w:rPr>
              <w:t>SUBSIDIARIES OF CASUAL MALE RETAIL GROUP, INC.</w:t>
            </w:r>
          </w:p>
        </w:tc>
      </w:tr>
      <w:tr>
        <w:trPr>
          <w:trHeight w:val="222"/>
        </w:trPr>
        <w:tc>
          <w:tcPr>
            <w:tcW w:w="8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440" w:type="dxa"/>
            <w:vAlign w:val="bottom"/>
            <w:gridSpan w:val="2"/>
          </w:tcPr>
          <w:p>
            <w:pPr>
              <w:ind w:left="1040"/>
              <w:spacing w:after="0"/>
              <w:rPr>
                <w:sz w:val="20"/>
                <w:szCs w:val="20"/>
                <w:color w:val="auto"/>
              </w:rPr>
            </w:pPr>
            <w:r>
              <w:rPr>
                <w:rFonts w:ascii="Arial" w:cs="Arial" w:eastAsia="Arial" w:hAnsi="Arial"/>
                <w:sz w:val="18"/>
                <w:szCs w:val="18"/>
                <w:color w:val="auto"/>
              </w:rPr>
              <w:t>Wholly-owned unless otherwise indicated</w:t>
            </w:r>
          </w:p>
        </w:tc>
      </w:tr>
      <w:tr>
        <w:trPr>
          <w:trHeight w:val="31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6440" w:type="dxa"/>
            <w:vAlign w:val="bottom"/>
            <w:gridSpan w:val="2"/>
          </w:tcPr>
          <w:p>
            <w:pPr>
              <w:ind w:left="4700"/>
              <w:spacing w:after="0"/>
              <w:rPr>
                <w:sz w:val="20"/>
                <w:szCs w:val="20"/>
                <w:color w:val="auto"/>
              </w:rPr>
            </w:pPr>
            <w:r>
              <w:rPr>
                <w:rFonts w:ascii="Arial" w:cs="Arial" w:eastAsia="Arial" w:hAnsi="Arial"/>
                <w:sz w:val="14"/>
                <w:szCs w:val="14"/>
                <w:b w:val="1"/>
                <w:bCs w:val="1"/>
                <w:color w:val="auto"/>
              </w:rPr>
              <w:t>State of Incorporation:</w:t>
            </w:r>
          </w:p>
        </w:tc>
      </w:tr>
      <w:tr>
        <w:trPr>
          <w:trHeight w:val="95"/>
        </w:trPr>
        <w:tc>
          <w:tcPr>
            <w:tcW w:w="88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r>
      <w:tr>
        <w:trPr>
          <w:trHeight w:val="525"/>
        </w:trPr>
        <w:tc>
          <w:tcPr>
            <w:tcW w:w="3200" w:type="dxa"/>
            <w:vAlign w:val="bottom"/>
            <w:gridSpan w:val="2"/>
          </w:tcPr>
          <w:p>
            <w:pPr>
              <w:spacing w:after="0"/>
              <w:rPr>
                <w:sz w:val="20"/>
                <w:szCs w:val="20"/>
                <w:color w:val="auto"/>
              </w:rPr>
            </w:pPr>
            <w:r>
              <w:rPr>
                <w:rFonts w:ascii="Arial" w:cs="Arial" w:eastAsia="Arial" w:hAnsi="Arial"/>
                <w:sz w:val="18"/>
                <w:szCs w:val="18"/>
                <w:color w:val="auto"/>
              </w:rPr>
              <w:t>Designs Securities Corporation</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Massachusetts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Designs JV Corp.</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Designs Acquisition Corp. (inactive)</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Designs CM Acquisition Corp. (inactive)</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Designs Outlet, Inc.</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Designs Apparel, Inc.</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Capture, LLC (a)</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Virginia</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DesiCand, Inc.</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CBDNH, Inc. (b)</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New Hampshire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Designs CMAL Store Inc.</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Designs CMAL Retail Store Inc.</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Designs CMAL TBD Inc.</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Designs Canton Holdings, Inc.</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Designs Canton Property Corp. (c)</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DesiKo, Inc.</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DesiKo, LLC (d)</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LP Innovations, Inc.</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Nevada</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Securex LLC (e)</w:t>
            </w:r>
          </w:p>
        </w:tc>
        <w:tc>
          <w:tcPr>
            <w:tcW w:w="6440" w:type="dxa"/>
            <w:vAlign w:val="bottom"/>
            <w:gridSpan w:val="2"/>
          </w:tcPr>
          <w:p>
            <w:pPr>
              <w:ind w:left="470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owned by Designs Apparel, Inc. (a wholly-owned subsidiary of Casual Male Retail Group, Inc.)</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owned by DesiCand, Inc. (a wholly-owned subsidiary of Casual Male Retail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owned by Designs Canton Holdings, Inc. (a wholly-owned subsidiary of Casual Male Retail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50.5% owned by DesiKo, Inc. (a wholly-owned subsidiary of Casual Male Retail Group, Inc.) and 49.5% owned by EcKo Complex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owed by LP Innovations, Inc. (a wholly-owned subsidiary of Casual Male Retail Group, Inc.)</w:t>
      </w:r>
    </w:p>
    <w:p>
      <w:pPr>
        <w:sectPr>
          <w:pgSz w:w="11900" w:h="16838" w:orient="portrait"/>
          <w:cols w:equalWidth="0" w:num="1">
            <w:col w:w="11420"/>
          </w:cols>
          <w:pgMar w:left="240" w:top="2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Auditors</w:t>
      </w:r>
    </w:p>
    <w:p>
      <w:pPr>
        <w:spacing w:after="0" w:line="15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Statements (Form S-3 No. 333-90742 and Form S-8 Nos. 33-22957, 33-32690, 33-32687 and 33-52892) of Casual Male Retail Group, Inc. (formerly Designs, Inc.) of our report dated March 26, 2003, with respect to the consolidated financial statements and schedule of Casual Male Retail Group, Inc. included in this Annual Report (Form 10-K) for the year ended February 1, 2003.</w:t>
      </w:r>
    </w:p>
    <w:p>
      <w:pPr>
        <w:spacing w:after="0" w:line="242" w:lineRule="exact"/>
        <w:rPr>
          <w:sz w:val="20"/>
          <w:szCs w:val="20"/>
          <w:color w:val="auto"/>
        </w:rPr>
      </w:pPr>
    </w:p>
    <w:p>
      <w:pPr>
        <w:ind w:left="9640"/>
        <w:spacing w:after="0"/>
        <w:rPr>
          <w:sz w:val="20"/>
          <w:szCs w:val="20"/>
          <w:color w:val="auto"/>
        </w:rPr>
      </w:pPr>
      <w:r>
        <w:rPr>
          <w:rFonts w:ascii="Arial" w:cs="Arial" w:eastAsia="Arial" w:hAnsi="Arial"/>
          <w:sz w:val="16"/>
          <w:szCs w:val="16"/>
          <w:color w:val="auto"/>
        </w:rPr>
        <w:t>ERNST &amp; YOUNG LLP</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5, 2003</w:t>
      </w:r>
    </w:p>
    <w:p>
      <w:pPr>
        <w:sectPr>
          <w:pgSz w:w="11900" w:h="16838" w:orient="portrait"/>
          <w:cols w:equalWidth="0" w:num="1">
            <w:col w:w="11420"/>
          </w:cols>
          <w:pgMar w:left="240" w:top="27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 connection with the Annual Report of Casual Male Retail Group, Inc. (the “Company”) on Form 10-K for the year ended February 1, 2003 as filed with the Securities and Exchange Commission on the date hereof (the “Report”), I, David A. Levin, Chief Executive Officer of the Company, certify to the best of my knowledge, pursuant to 18 U.S.C. §1350, as adopted pursuant to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2003</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0033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certification accompanies the Report pursuant to §906 of the Sarbanes-Oxley Act of 2002 and shall not, except to the extent required by the Sarbanes-Oxley Act of 2002, be deemed filed by the Company for purposes of §18 of the Securities Exchange Act of 1934, as amended.</w:t>
      </w:r>
    </w:p>
    <w:p>
      <w:pPr>
        <w:sectPr>
          <w:pgSz w:w="11900" w:h="16838" w:orient="portrait"/>
          <w:cols w:equalWidth="0" w:num="1">
            <w:col w:w="11420"/>
          </w:cols>
          <w:pgMar w:left="240" w:top="27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Casual Male Retail Group, Inc. (the “Company”) on Form 10-K for the year ended February 1, 2003 as filed with the Securities and Exchange Commission on the date hereof (the “Report”), I, Dennis R. Hernreich, Chief Financial Officer of the Company, certify to the best of my knowledge, pursuant to 18 U.S.C. §1350, as adopted pursuant to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2003</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29476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certification accompanies the Report pursuant to §906 of the Sarbanes-Oxley Act of 2002 and shall not, except to the extent required by the Sarbanes-Oxley Act of 2002, be deemed filed by the Company for purposes of §18 of the Securities Exchange Act of 1934, as amended.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amp;"/>
      <w:numFmt w:val="bullet"/>
      <w:start w:val="1"/>
    </w:lvl>
  </w:abstractNum>
  <w:abstractNum w:abstractNumId="1">
    <w:nsid w:val="6CEAF087"/>
    <w:multiLevelType w:val="hybridMultilevel"/>
    <w:lvl w:ilvl="0">
      <w:lvlJc w:val="left"/>
      <w:lvlText w:val="%1."/>
      <w:numFmt w:val="decimal"/>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2"/>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amp;"/>
      <w:numFmt w:val="bullet"/>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decimal"/>
      <w:start w:val="1"/>
    </w:lvl>
  </w:abstractNum>
  <w:abstractNum w:abstractNumId="10">
    <w:nsid w:val="3804823E"/>
    <w:multiLevelType w:val="hybridMultilevel"/>
    <w:lvl w:ilvl="0">
      <w:lvlJc w:val="left"/>
      <w:lvlText w:val="&amp;"/>
      <w:numFmt w:val="bullet"/>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upperLetter"/>
      <w:start w:val="1"/>
    </w:lvl>
  </w:abstractNum>
  <w:abstractNum w:abstractNumId="13">
    <w:nsid w:val="5C482A97"/>
    <w:multiLevelType w:val="hybridMultilevel"/>
    <w:lvl w:ilvl="0">
      <w:lvlJc w:val="left"/>
      <w:lvlText w:val="%1."/>
      <w:numFmt w:val="upperLetter"/>
      <w:start w:val="3"/>
    </w:lvl>
  </w:abstractNum>
  <w:abstractNum w:abstractNumId="14">
    <w:nsid w:val="2463B9EA"/>
    <w:multiLevelType w:val="hybridMultilevel"/>
    <w:lvl w:ilvl="0">
      <w:lvlJc w:val="left"/>
      <w:lvlText w:val="%1."/>
      <w:numFmt w:val="upperLetter"/>
      <w:start w:val="4"/>
    </w:lvl>
  </w:abstractNum>
  <w:abstractNum w:abstractNumId="15">
    <w:nsid w:val="5E884ADC"/>
    <w:multiLevelType w:val="hybridMultilevel"/>
    <w:lvl w:ilvl="0">
      <w:lvlJc w:val="left"/>
      <w:lvlText w:val="%1."/>
      <w:numFmt w:val="upperLetter"/>
      <w:start w:val="5"/>
    </w:lvl>
  </w:abstractNum>
  <w:abstractNum w:abstractNumId="16">
    <w:nsid w:val="51EAD36B"/>
    <w:multiLevelType w:val="hybridMultilevel"/>
    <w:lvl w:ilvl="0">
      <w:lvlJc w:val="left"/>
      <w:lvlText w:val="%1."/>
      <w:numFmt w:val="upperLetter"/>
      <w:start w:val="6"/>
    </w:lvl>
  </w:abstractNum>
  <w:abstractNum w:abstractNumId="17">
    <w:nsid w:val="2D517796"/>
    <w:multiLevelType w:val="hybridMultilevel"/>
    <w:lvl w:ilvl="0">
      <w:lvlJc w:val="left"/>
      <w:lvlText w:val="%1."/>
      <w:numFmt w:val="upperLetter"/>
      <w:start w:val="7"/>
    </w:lvl>
  </w:abstractNum>
  <w:abstractNum w:abstractNumId="18">
    <w:nsid w:val="580BD78F"/>
    <w:multiLevelType w:val="hybridMultilevel"/>
    <w:lvl w:ilvl="0">
      <w:lvlJc w:val="left"/>
      <w:lvlText w:val="%1."/>
      <w:numFmt w:val="upperLetter"/>
      <w:start w:val="8"/>
    </w:lvl>
  </w:abstractNum>
  <w:abstractNum w:abstractNumId="19">
    <w:nsid w:val="153EA438"/>
    <w:multiLevelType w:val="hybridMultilevel"/>
    <w:lvl w:ilvl="0">
      <w:lvlJc w:val="left"/>
      <w:lvlText w:val="%1."/>
      <w:numFmt w:val="upperLetter"/>
      <w:start w:val="9"/>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upperLetter"/>
      <w:start w:val="10"/>
    </w:lvl>
  </w:abstractNum>
  <w:abstractNum w:abstractNumId="26">
    <w:nsid w:val="2CD89A32"/>
    <w:multiLevelType w:val="hybridMultilevel"/>
    <w:lvl w:ilvl="0">
      <w:lvlJc w:val="left"/>
      <w:lvlText w:val="%1."/>
      <w:numFmt w:val="upperLetter"/>
      <w:start w:val="1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upperLetter"/>
      <w:start w:val="12"/>
    </w:lvl>
  </w:abstractNum>
  <w:abstractNum w:abstractNumId="29">
    <w:nsid w:val="4B588F54"/>
    <w:multiLevelType w:val="hybridMultilevel"/>
    <w:lvl w:ilvl="0">
      <w:lvlJc w:val="left"/>
      <w:lvlText w:val="%1."/>
      <w:numFmt w:val="upperLetter"/>
      <w:start w:val="13"/>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2"/>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1"/>
    </w:lvl>
    <w:lvl w:ilvl="1">
      <w:lvlJc w:val="left"/>
      <w:lvlText w:val="(%2)"/>
      <w:numFmt w:val="lowerRoman"/>
      <w:start w:val="1"/>
    </w:lvl>
  </w:abstractNum>
  <w:abstractNum w:abstractNumId="34">
    <w:nsid w:val="32FFF902"/>
    <w:multiLevelType w:val="hybridMultilevel"/>
    <w:lvl w:ilvl="0">
      <w:lvlJc w:val="left"/>
      <w:lvlText w:val="(%1)"/>
      <w:numFmt w:val="decimal"/>
      <w:start w:val="4"/>
    </w:lvl>
    <w:lvl w:ilvl="1">
      <w:lvlJc w:val="left"/>
      <w:lvlText w:val="(%2)"/>
      <w:numFmt w:val="lowerRoman"/>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2"/>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2"/>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decimal"/>
      <w:start w:val="1"/>
    </w:lvl>
    <w:lvl w:ilvl="1">
      <w:lvlJc w:val="left"/>
      <w:lvlText w:val="%2."/>
      <w:numFmt w:val="lowerLetter"/>
      <w:start w:val="1"/>
    </w:lvl>
  </w:abstractNum>
  <w:abstractNum w:abstractNumId="48">
    <w:nsid w:val="649BB77C"/>
    <w:multiLevelType w:val="hybridMultilevel"/>
    <w:lvl w:ilvl="0">
      <w:lvlJc w:val="left"/>
      <w:lvlText w:val="%1."/>
      <w:numFmt w:val="decimal"/>
      <w:start w:val="1"/>
    </w:lvl>
    <w:lvl w:ilvl="1">
      <w:lvlJc w:val="left"/>
      <w:lvlText w:val="%2."/>
      <w:numFmt w:val="lowerLetter"/>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2"/>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2"/>
    </w:lvl>
    <w:lvl w:ilvl="1">
      <w:lvlJc w:val="left"/>
      <w:lvlText w:val="(%2)"/>
      <w:numFmt w:val="lowerLetter"/>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3"/>
    </w:lvl>
    <w:lvl w:ilvl="1">
      <w:lvlJc w:val="left"/>
      <w:lvlText w:val="%2."/>
      <w:numFmt w:val="lowerLetter"/>
      <w:start w:val="1"/>
    </w:lvl>
  </w:abstractNum>
  <w:abstractNum w:abstractNumId="56">
    <w:nsid w:val="15B5AF5C"/>
    <w:multiLevelType w:val="hybridMultilevel"/>
    <w:lvl w:ilvl="0">
      <w:lvlJc w:val="left"/>
      <w:lvlText w:val="%1."/>
      <w:numFmt w:val="decimal"/>
      <w:start w:val="6"/>
    </w:lvl>
    <w:lvl w:ilvl="1">
      <w:lvlJc w:val="left"/>
      <w:lvlText w:val="%2."/>
      <w:numFmt w:val="lowerLetter"/>
      <w:start w:val="1"/>
    </w:lvl>
  </w:abstractNum>
  <w:abstractNum w:abstractNumId="57">
    <w:nsid w:val="741226BB"/>
    <w:multiLevelType w:val="hybridMultilevel"/>
    <w:lvl w:ilvl="0">
      <w:lvlJc w:val="left"/>
      <w:lvlText w:val="%1."/>
      <w:numFmt w:val="decimal"/>
      <w:start w:val="8"/>
    </w:lvl>
  </w:abstractNum>
  <w:abstractNum w:abstractNumId="58">
    <w:nsid w:val="D34B6A8"/>
    <w:multiLevelType w:val="hybridMultilevel"/>
    <w:lvl w:ilvl="0">
      <w:lvlJc w:val="left"/>
      <w:lvlText w:val="%1."/>
      <w:numFmt w:val="decimal"/>
      <w:start w:val="12"/>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2019-12-20T01:18:15Z</dcterms:created>
  <dcterms:modified xsi:type="dcterms:W3CDTF">2019-12-20T01:18:15Z</dcterms:modified>
</cp:coreProperties>
</file>