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173990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609600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ind w:right="4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140" w:firstLine="856"/>
        <w:spacing w:after="0" w:line="277" w:lineRule="auto"/>
        <w:rPr>
          <w:sz w:val="20"/>
          <w:szCs w:val="20"/>
          <w:color w:val="auto"/>
        </w:rPr>
      </w:pPr>
      <w:r>
        <w:rPr>
          <w:rFonts w:ascii="Arial" w:cs="Arial" w:eastAsia="Arial" w:hAnsi="Arial"/>
          <w:sz w:val="19"/>
          <w:szCs w:val="19"/>
          <w:color w:val="auto"/>
        </w:rPr>
        <w:t>On March 22, 2018, Destination Group XL,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its Chief Executive Officer, Mr. David A. Levin, entered into a “Transition Agreement” (the “</w:t>
      </w:r>
      <w:r>
        <w:rPr>
          <w:rFonts w:ascii="Arial" w:cs="Arial" w:eastAsia="Arial" w:hAnsi="Arial"/>
          <w:sz w:val="19"/>
          <w:szCs w:val="19"/>
          <w:b w:val="1"/>
          <w:bCs w:val="1"/>
          <w:i w:val="1"/>
          <w:iCs w:val="1"/>
          <w:color w:val="auto"/>
        </w:rPr>
        <w:t>Transition Agreement</w:t>
      </w:r>
      <w:r>
        <w:rPr>
          <w:rFonts w:ascii="Arial" w:cs="Arial" w:eastAsia="Arial" w:hAnsi="Arial"/>
          <w:sz w:val="19"/>
          <w:szCs w:val="19"/>
          <w:color w:val="auto"/>
        </w:rPr>
        <w:t>”) dated of as March 20, 2018 addressing Mr. Levin’s future retirement and related successor issues. The Transition Agreement modifies and supplements certain terms of Mr. Levin’s existing employment agreement with the Company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which currently provides for an employment term for Mr. Levin running through December 31, 2019. The foregoing description of the Transition Agreement is only a summary of, and is qualified in its entirety by reference to, the full text of the Transition Agreement, a copy of which is filed as Exhibit 10.1 to this Current Report on Form 8-K and is incorporated into this Item 5.02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Under the terms of the Transition Agreement Mr. Levin will continue to serve as Chief Executive Officer until the earlier of</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December 31, 2018 or the date that the Company employs a full-time successor Chief Executive Officer (the “</w:t>
      </w:r>
      <w:r>
        <w:rPr>
          <w:rFonts w:ascii="Arial" w:cs="Arial" w:eastAsia="Arial" w:hAnsi="Arial"/>
          <w:sz w:val="21"/>
          <w:szCs w:val="21"/>
          <w:b w:val="1"/>
          <w:bCs w:val="1"/>
          <w:i w:val="1"/>
          <w:iCs w:val="1"/>
          <w:color w:val="auto"/>
        </w:rPr>
        <w:t>Transition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Date</w:t>
      </w:r>
      <w:r>
        <w:rPr>
          <w:rFonts w:ascii="Arial" w:cs="Arial" w:eastAsia="Arial" w:hAnsi="Arial"/>
          <w:sz w:val="19"/>
          <w:szCs w:val="19"/>
          <w:color w:val="auto"/>
        </w:rPr>
        <w:t>”). As of the Transition Date, Mr. Levin will resign and retire as President and Chief Executive Officer and as a Director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 After the Transition Date and through December 31, 2019, Mr. Levin shall remain employed by the Company to perform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reasonable transition duties or other consulting activities or projects, unless his employment is terminated as provided for 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Employment Agreement. If the Company employs a new Chief Executive Officer prior to December 31, 2018, Mr. Levin may elect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terminate his employment for “good reason” within ten days and will receive the payments provided for under the Employment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Agreement as a result of such separation. Apart from this time period, Mr. Levin has no other opportunity to terminate his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employment for “good reason.”</w:t>
      </w:r>
    </w:p>
    <w:p>
      <w:pPr>
        <w:spacing w:after="0" w:line="188" w:lineRule="exact"/>
        <w:rPr>
          <w:sz w:val="20"/>
          <w:szCs w:val="20"/>
          <w:color w:val="auto"/>
        </w:rPr>
      </w:pPr>
    </w:p>
    <w:p>
      <w:pPr>
        <w:ind w:right="100" w:firstLine="856"/>
        <w:spacing w:after="0" w:line="245" w:lineRule="auto"/>
        <w:rPr>
          <w:sz w:val="20"/>
          <w:szCs w:val="20"/>
          <w:color w:val="auto"/>
        </w:rPr>
      </w:pPr>
      <w:r>
        <w:rPr>
          <w:rFonts w:ascii="Arial" w:cs="Arial" w:eastAsia="Arial" w:hAnsi="Arial"/>
          <w:sz w:val="21"/>
          <w:szCs w:val="21"/>
          <w:color w:val="auto"/>
        </w:rPr>
        <w:t>If Mr. Levin remains employed after the Transition Date, he will perform transition duties and projects as requested through December 31, 2019 and continue to receive all compensation otherwise due him under the Employment Agreement. With respect to his ongoing employment through December 31, 2019, payments associated with Mr. Levin’s incentive awards for the fiscal year ending February 2, 2019 will be based on actual performance results and payments associated with his incentive awards for the fiscal year ending February 1, 2020 will be paid at target (regardless of actual performance). If there is a change in control of the Company while Mr. Levin remains employed, payments that would have otherwise been due him through December 31, 2019 shall be paid to him in a lump sum (with a limited gross up). So long as Mr. Levin remains employed through December 31, 2019 the vesting of his outstanding long term incentive awards will be treated based on the retirement provisions of the applicable plans.</w:t>
      </w:r>
    </w:p>
    <w:p>
      <w:pPr>
        <w:spacing w:after="0" w:line="185" w:lineRule="exact"/>
        <w:rPr>
          <w:sz w:val="20"/>
          <w:szCs w:val="20"/>
          <w:color w:val="auto"/>
        </w:rPr>
      </w:pPr>
    </w:p>
    <w:p>
      <w:pPr>
        <w:ind w:right="80" w:firstLine="856"/>
        <w:spacing w:after="0" w:line="234" w:lineRule="auto"/>
        <w:rPr>
          <w:sz w:val="20"/>
          <w:szCs w:val="20"/>
          <w:color w:val="auto"/>
        </w:rPr>
      </w:pPr>
      <w:r>
        <w:rPr>
          <w:rFonts w:ascii="Arial" w:cs="Arial" w:eastAsia="Arial" w:hAnsi="Arial"/>
          <w:sz w:val="22"/>
          <w:szCs w:val="22"/>
          <w:color w:val="auto"/>
        </w:rPr>
        <w:t>Except as otherwise modified by the Transition Agreement, Mr. Levin remains subject to the provisions of the Employment Agreement, including various restrictive covenants. The applicable restricted periods associated with those covenants commence on the earlier of December 31, 2018 or when his employment is terminated. Except as addressed in the Transition Agreement, the provisions of the Employment Agreement relating to any termination as a result of disability, death, resignation or with or without cause remain in effect. All payment obligations of the Company remain subject to Mr. Levin executing a general release within thirty days of the execution of the Transition Agreement and again within thirty days of his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ind w:right="760" w:firstLine="856"/>
        <w:spacing w:after="0" w:line="251" w:lineRule="auto"/>
        <w:rPr>
          <w:sz w:val="20"/>
          <w:szCs w:val="20"/>
          <w:color w:val="auto"/>
        </w:rPr>
      </w:pPr>
      <w:r>
        <w:rPr>
          <w:rFonts w:ascii="Arial" w:cs="Arial" w:eastAsia="Arial" w:hAnsi="Arial"/>
          <w:sz w:val="22"/>
          <w:szCs w:val="22"/>
          <w:color w:val="auto"/>
        </w:rPr>
        <w:t>On March 23, 2018, the Company issued a press release, attached hereto as Exhibit 99.1, announcing Mr. Levin’s retirement.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22"/>
          <w:szCs w:val="22"/>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560" w:type="dxa"/>
            <w:vAlign w:val="bottom"/>
            <w:gridSpan w:val="3"/>
          </w:tcPr>
          <w:p>
            <w:pPr>
              <w:spacing w:after="0"/>
              <w:rPr>
                <w:sz w:val="21"/>
                <w:szCs w:val="21"/>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680" w:type="dxa"/>
            <w:vAlign w:val="bottom"/>
          </w:tcPr>
          <w:p>
            <w:pPr>
              <w:spacing w:after="0"/>
              <w:rPr>
                <w:sz w:val="24"/>
                <w:szCs w:val="24"/>
                <w:color w:val="auto"/>
              </w:rPr>
            </w:pPr>
          </w:p>
        </w:tc>
        <w:tc>
          <w:tcPr>
            <w:tcW w:w="9740" w:type="dxa"/>
            <w:vAlign w:val="bottom"/>
            <w:gridSpan w:val="5"/>
          </w:tcPr>
          <w:p>
            <w:pPr>
              <w:spacing w:after="0"/>
              <w:rPr>
                <w:rFonts w:ascii="Arial" w:cs="Arial" w:eastAsia="Arial" w:hAnsi="Arial"/>
                <w:sz w:val="22"/>
                <w:szCs w:val="22"/>
                <w:color w:val="0000EE"/>
              </w:rPr>
            </w:pPr>
            <w:hyperlink w:anchor="page6">
              <w:r>
                <w:rPr>
                  <w:rFonts w:ascii="Arial" w:cs="Arial" w:eastAsia="Arial" w:hAnsi="Arial"/>
                  <w:sz w:val="22"/>
                  <w:szCs w:val="22"/>
                  <w:color w:val="0000EE"/>
                </w:rPr>
                <w:t>Transition Agreement dated as of March 20, 2018 between the Company and David A. Levin</w:t>
              </w:r>
            </w:hyperlink>
            <w:r>
              <w:rPr>
                <w:rFonts w:ascii="Arial" w:cs="Arial" w:eastAsia="Arial" w:hAnsi="Arial"/>
                <w:sz w:val="22"/>
                <w:szCs w:val="22"/>
                <w:color w:val="000000"/>
              </w:rPr>
              <w:t>.</w:t>
            </w:r>
          </w:p>
        </w:tc>
      </w:tr>
      <w:tr>
        <w:trPr>
          <w:trHeight w:val="466"/>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680" w:type="dxa"/>
            <w:vAlign w:val="bottom"/>
          </w:tcPr>
          <w:p>
            <w:pPr>
              <w:spacing w:after="0"/>
              <w:rPr>
                <w:sz w:val="24"/>
                <w:szCs w:val="24"/>
                <w:color w:val="auto"/>
              </w:rPr>
            </w:pPr>
          </w:p>
        </w:tc>
        <w:tc>
          <w:tcPr>
            <w:tcW w:w="8080" w:type="dxa"/>
            <w:vAlign w:val="bottom"/>
            <w:tcBorders>
              <w:top w:val="single" w:sz="8" w:color="0000EE"/>
            </w:tcBorders>
            <w:gridSpan w:val="4"/>
          </w:tcPr>
          <w:p>
            <w:pPr>
              <w:spacing w:after="0"/>
              <w:rPr>
                <w:rFonts w:ascii="Arial" w:cs="Arial" w:eastAsia="Arial" w:hAnsi="Arial"/>
                <w:sz w:val="22"/>
                <w:szCs w:val="22"/>
                <w:color w:val="0000EE"/>
              </w:rPr>
            </w:pPr>
            <w:hyperlink w:anchor="page16">
              <w:r>
                <w:rPr>
                  <w:rFonts w:ascii="Arial" w:cs="Arial" w:eastAsia="Arial" w:hAnsi="Arial"/>
                  <w:sz w:val="22"/>
                  <w:szCs w:val="22"/>
                  <w:color w:val="0000EE"/>
                </w:rPr>
                <w:t>Press release dated March 23, 2018.</w:t>
              </w:r>
            </w:hyperlink>
          </w:p>
        </w:tc>
        <w:tc>
          <w:tcPr>
            <w:tcW w:w="1660" w:type="dxa"/>
            <w:vAlign w:val="bottom"/>
          </w:tcPr>
          <w:p>
            <w:pPr>
              <w:spacing w:after="0"/>
              <w:rPr>
                <w:sz w:val="24"/>
                <w:szCs w:val="24"/>
                <w:color w:val="auto"/>
              </w:rPr>
            </w:pPr>
          </w:p>
        </w:tc>
      </w:tr>
      <w:tr>
        <w:trPr>
          <w:trHeight w:val="1486"/>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top w:val="single" w:sz="8" w:color="0000EE"/>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940" w:type="dxa"/>
            <w:vAlign w:val="bottom"/>
            <w:tcBorders>
              <w:top w:val="single" w:sz="8" w:color="0000EE"/>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March 23, 2018</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1081405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334"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Arial" w:cs="Arial" w:eastAsia="Arial" w:hAnsi="Arial"/>
                <w:sz w:val="22"/>
                <w:szCs w:val="22"/>
                <w:color w:val="auto"/>
              </w:rPr>
              <w:t>Exhibit List</w:t>
            </w:r>
          </w:p>
        </w:tc>
      </w:tr>
      <w:tr>
        <w:trPr>
          <w:trHeight w:val="466"/>
        </w:trPr>
        <w:tc>
          <w:tcPr>
            <w:tcW w:w="172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3480" w:type="dxa"/>
            <w:vAlign w:val="bottom"/>
            <w:gridSpan w:val="3"/>
          </w:tcPr>
          <w:p>
            <w:pPr>
              <w:spacing w:after="0"/>
              <w:rPr>
                <w:sz w:val="20"/>
                <w:szCs w:val="20"/>
                <w:color w:val="auto"/>
              </w:rPr>
            </w:pPr>
            <w:r>
              <w:rPr>
                <w:rFonts w:ascii="Arial" w:cs="Arial" w:eastAsia="Arial" w:hAnsi="Arial"/>
                <w:sz w:val="22"/>
                <w:szCs w:val="22"/>
                <w:color w:val="auto"/>
              </w:rPr>
              <w:t>Description</w:t>
            </w:r>
          </w:p>
        </w:tc>
        <w:tc>
          <w:tcPr>
            <w:tcW w:w="1020" w:type="dxa"/>
            <w:vAlign w:val="bottom"/>
            <w:tcBorders>
              <w:top w:val="single" w:sz="8" w:color="auto"/>
            </w:tcBorders>
            <w:gridSpan w:val="2"/>
          </w:tcPr>
          <w:p>
            <w:pPr>
              <w:spacing w:after="0"/>
              <w:rPr>
                <w:sz w:val="24"/>
                <w:szCs w:val="24"/>
                <w:color w:val="auto"/>
              </w:rPr>
            </w:pPr>
          </w:p>
        </w:tc>
        <w:tc>
          <w:tcPr>
            <w:tcW w:w="4480" w:type="dxa"/>
            <w:vAlign w:val="bottom"/>
          </w:tcPr>
          <w:p>
            <w:pPr>
              <w:spacing w:after="0"/>
              <w:rPr>
                <w:sz w:val="24"/>
                <w:szCs w:val="24"/>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22"/>
                <w:szCs w:val="22"/>
                <w:color w:val="auto"/>
              </w:rPr>
              <w:t>10.1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120" w:type="dxa"/>
            <w:vAlign w:val="bottom"/>
            <w:tcBorders>
              <w:bottom w:val="single" w:sz="8" w:color="0000EE"/>
            </w:tcBorders>
            <w:gridSpan w:val="5"/>
          </w:tcPr>
          <w:p>
            <w:pPr>
              <w:spacing w:after="0"/>
              <w:rPr>
                <w:rFonts w:ascii="Arial" w:cs="Arial" w:eastAsia="Arial" w:hAnsi="Arial"/>
                <w:sz w:val="22"/>
                <w:szCs w:val="22"/>
                <w:color w:val="0000EE"/>
                <w:w w:val="89"/>
              </w:rPr>
            </w:pPr>
            <w:hyperlink w:anchor="page6">
              <w:r>
                <w:rPr>
                  <w:rFonts w:ascii="Arial" w:cs="Arial" w:eastAsia="Arial" w:hAnsi="Arial"/>
                  <w:sz w:val="22"/>
                  <w:szCs w:val="22"/>
                  <w:color w:val="0000EE"/>
                  <w:w w:val="89"/>
                </w:rPr>
                <w:t>Transition Agreement dated as of March 20, 2018 between the Company and David A. Levin.</w:t>
              </w:r>
            </w:hyperlink>
          </w:p>
        </w:tc>
      </w:tr>
      <w:tr>
        <w:trPr>
          <w:trHeight w:val="466"/>
        </w:trPr>
        <w:tc>
          <w:tcPr>
            <w:tcW w:w="960" w:type="dxa"/>
            <w:vAlign w:val="bottom"/>
          </w:tcPr>
          <w:p>
            <w:pPr>
              <w:spacing w:after="0"/>
              <w:rPr>
                <w:sz w:val="20"/>
                <w:szCs w:val="20"/>
                <w:color w:val="auto"/>
              </w:rPr>
            </w:pPr>
            <w:r>
              <w:rPr>
                <w:rFonts w:ascii="Arial" w:cs="Arial" w:eastAsia="Arial" w:hAnsi="Arial"/>
                <w:sz w:val="22"/>
                <w:szCs w:val="22"/>
                <w:color w:val="auto"/>
              </w:rPr>
              <w:t>99.1</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120" w:type="dxa"/>
            <w:vAlign w:val="bottom"/>
            <w:gridSpan w:val="5"/>
          </w:tcPr>
          <w:p>
            <w:pPr>
              <w:spacing w:after="0"/>
              <w:rPr>
                <w:rFonts w:ascii="Arial" w:cs="Arial" w:eastAsia="Arial" w:hAnsi="Arial"/>
                <w:sz w:val="22"/>
                <w:szCs w:val="22"/>
                <w:color w:val="0000EE"/>
              </w:rPr>
            </w:pPr>
            <w:hyperlink w:anchor="page16">
              <w:r>
                <w:rPr>
                  <w:rFonts w:ascii="Arial" w:cs="Arial" w:eastAsia="Arial" w:hAnsi="Arial"/>
                  <w:sz w:val="22"/>
                  <w:szCs w:val="22"/>
                  <w:color w:val="0000EE"/>
                </w:rPr>
                <w:t>Press release dated March 23, 2018</w:t>
              </w:r>
            </w:hyperlink>
            <w:r>
              <w:rPr>
                <w:rFonts w:ascii="Arial" w:cs="Arial" w:eastAsia="Arial" w:hAnsi="Arial"/>
                <w:sz w:val="22"/>
                <w:szCs w:val="22"/>
                <w:color w:val="000000"/>
              </w:rPr>
              <w:t>.</w:t>
            </w:r>
          </w:p>
        </w:tc>
      </w:tr>
      <w:tr>
        <w:trPr>
          <w:trHeight w:val="20"/>
        </w:trPr>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ectPr>
          <w:pgSz w:w="11900" w:h="16838" w:orient="portrait"/>
          <w:cols w:equalWidth="0" w:num="1">
            <w:col w:w="10700"/>
          </w:cols>
          <w:pgMar w:left="240" w:top="548" w:right="9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 10.1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 AGREEMENT</w:t>
      </w:r>
    </w:p>
    <w:p>
      <w:pPr>
        <w:spacing w:after="0" w:line="212"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This Transition Agreement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as of this 20th day of March, 2018 (the “</w:t>
      </w:r>
      <w:r>
        <w:rPr>
          <w:rFonts w:ascii="Arial" w:cs="Arial" w:eastAsia="Arial" w:hAnsi="Arial"/>
          <w:sz w:val="22"/>
          <w:szCs w:val="22"/>
          <w:b w:val="1"/>
          <w:bCs w:val="1"/>
          <w:i w:val="1"/>
          <w:iCs w:val="1"/>
          <w:color w:val="auto"/>
        </w:rPr>
        <w:t>Execution Date</w:t>
      </w:r>
      <w:r>
        <w:rPr>
          <w:rFonts w:ascii="Arial" w:cs="Arial" w:eastAsia="Arial" w:hAnsi="Arial"/>
          <w:sz w:val="22"/>
          <w:szCs w:val="22"/>
          <w:color w:val="auto"/>
        </w:rPr>
        <w:t>”) by and between Destination XL Group, Inc., a Delaware corporation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David A. Levin, an individual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The terms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or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 shall be used to refer to the Company and/or Executive. Capitalized terms not defined herein shall have the meaning ascribed in the Employment Agreement (defined below).</w:t>
      </w:r>
    </w:p>
    <w:p>
      <w:pPr>
        <w:spacing w:after="0" w:line="185"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Company and Executive are parties to that certain revised and restated employment agreement dated as of November 5, 2009 (the “</w:t>
      </w:r>
      <w:r>
        <w:rPr>
          <w:rFonts w:ascii="Arial" w:cs="Arial" w:eastAsia="Arial" w:hAnsi="Arial"/>
          <w:sz w:val="22"/>
          <w:szCs w:val="22"/>
          <w:b w:val="1"/>
          <w:bCs w:val="1"/>
          <w:i w:val="1"/>
          <w:iCs w:val="1"/>
          <w:color w:val="auto"/>
        </w:rPr>
        <w:t>Employment Agreement</w:t>
      </w:r>
      <w:r>
        <w:rPr>
          <w:rFonts w:ascii="Arial" w:cs="Arial" w:eastAsia="Arial" w:hAnsi="Arial"/>
          <w:sz w:val="22"/>
          <w:szCs w:val="22"/>
          <w:color w:val="auto"/>
        </w:rPr>
        <w:t>”) pursuant to which Executive serves as Chief Executive Officer and President (“</w:t>
      </w:r>
      <w:r>
        <w:rPr>
          <w:rFonts w:ascii="Arial" w:cs="Arial" w:eastAsia="Arial" w:hAnsi="Arial"/>
          <w:sz w:val="22"/>
          <w:szCs w:val="22"/>
          <w:b w:val="1"/>
          <w:bCs w:val="1"/>
          <w:i w:val="1"/>
          <w:iCs w:val="1"/>
          <w:color w:val="auto"/>
        </w:rPr>
        <w:t>CEO</w:t>
      </w:r>
      <w:r>
        <w:rPr>
          <w:rFonts w:ascii="Arial" w:cs="Arial" w:eastAsia="Arial" w:hAnsi="Arial"/>
          <w:sz w:val="22"/>
          <w:szCs w:val="22"/>
          <w:color w:val="auto"/>
        </w:rPr>
        <w:t>”) of the Company;</w:t>
      </w:r>
    </w:p>
    <w:p>
      <w:pPr>
        <w:spacing w:after="0" w:line="18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WHEREAS, the Company and Executive have agreed to implement a transition plan to allow for the future retirement of the Executive and orderly succession of his responsibilities as CEO (the “</w:t>
      </w:r>
      <w:r>
        <w:rPr>
          <w:rFonts w:ascii="Arial" w:cs="Arial" w:eastAsia="Arial" w:hAnsi="Arial"/>
          <w:sz w:val="22"/>
          <w:szCs w:val="22"/>
          <w:b w:val="1"/>
          <w:bCs w:val="1"/>
          <w:i w:val="1"/>
          <w:iCs w:val="1"/>
          <w:color w:val="auto"/>
        </w:rPr>
        <w:t>Transition</w:t>
      </w:r>
      <w:r>
        <w:rPr>
          <w:rFonts w:ascii="Arial" w:cs="Arial" w:eastAsia="Arial" w:hAnsi="Arial"/>
          <w:sz w:val="22"/>
          <w:szCs w:val="22"/>
          <w:color w:val="auto"/>
        </w:rPr>
        <w:t>”); and</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NOW, THEREFORE, for and in consideration of the promises and the consideration more fully set forth herein, the receipt and sufficiency of which is hereby acknowledged, and intending to be legally bound hereby, the Company and Executive mutually agree as follows:</w:t>
      </w:r>
    </w:p>
    <w:p>
      <w:pPr>
        <w:spacing w:after="0" w:line="186" w:lineRule="exact"/>
        <w:rPr>
          <w:sz w:val="20"/>
          <w:szCs w:val="20"/>
          <w:color w:val="auto"/>
        </w:rPr>
      </w:pPr>
    </w:p>
    <w:p>
      <w:pPr>
        <w:ind w:left="560" w:hanging="552"/>
        <w:spacing w:after="0"/>
        <w:tabs>
          <w:tab w:leader="none" w:pos="56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Employment and Transition Matters</w:t>
      </w:r>
    </w:p>
    <w:p>
      <w:pPr>
        <w:spacing w:after="0" w:line="206" w:lineRule="exact"/>
        <w:rPr>
          <w:rFonts w:ascii="Arial" w:cs="Arial" w:eastAsia="Arial" w:hAnsi="Arial"/>
          <w:sz w:val="22"/>
          <w:szCs w:val="22"/>
          <w:color w:val="auto"/>
        </w:rPr>
      </w:pPr>
    </w:p>
    <w:p>
      <w:pPr>
        <w:jc w:val="both"/>
        <w:ind w:firstLine="885"/>
        <w:spacing w:after="0" w:line="234" w:lineRule="auto"/>
        <w:tabs>
          <w:tab w:leader="none" w:pos="1765" w:val="left"/>
        </w:tabs>
        <w:numPr>
          <w:ilvl w:val="1"/>
          <w:numId w:val="2"/>
        </w:numPr>
        <w:rPr>
          <w:rFonts w:ascii="Arial" w:cs="Arial" w:eastAsia="Arial" w:hAnsi="Arial"/>
          <w:sz w:val="22"/>
          <w:szCs w:val="22"/>
          <w:color w:val="auto"/>
        </w:rPr>
      </w:pPr>
      <w:r>
        <w:rPr>
          <w:rFonts w:ascii="Arial" w:cs="Arial" w:eastAsia="Arial" w:hAnsi="Arial"/>
          <w:sz w:val="22"/>
          <w:szCs w:val="22"/>
          <w:color w:val="auto"/>
        </w:rPr>
        <w:t>The terms of this Agreement shall modify the provisions of the Employment Agreement, and in the event of any conflict between this Agreement and the Employment Agreement, the terms of this Agreement shall control. Unless otherwise defined herein, all capitalized terms shall have the meanings set forth in the Employment Agreement. Executive agrees and acknowledges that: (i) the Term of Employment shall continue until December 31, 2019 (and not be subject to any further extensions), unless terminated sooner under the terms of this Agreement and Employment Agreement and (ii) the modification of the Executive’s authorities, duties and responsibilities, as provided for under this Agreement, shall not constitute Good Reason. References in this Agreement to the Employment Agreement shall mean the Employment Agreement as modified by this Agreement.</w:t>
      </w:r>
    </w:p>
    <w:p>
      <w:pPr>
        <w:spacing w:after="0" w:line="187" w:lineRule="exact"/>
        <w:rPr>
          <w:rFonts w:ascii="Arial" w:cs="Arial" w:eastAsia="Arial" w:hAnsi="Arial"/>
          <w:sz w:val="22"/>
          <w:szCs w:val="22"/>
          <w:color w:val="auto"/>
        </w:rPr>
      </w:pPr>
    </w:p>
    <w:p>
      <w:pPr>
        <w:jc w:val="both"/>
        <w:ind w:firstLine="885"/>
        <w:spacing w:after="0" w:line="238" w:lineRule="auto"/>
        <w:tabs>
          <w:tab w:leader="none" w:pos="1778" w:val="left"/>
        </w:tabs>
        <w:numPr>
          <w:ilvl w:val="1"/>
          <w:numId w:val="2"/>
        </w:numPr>
        <w:rPr>
          <w:rFonts w:ascii="Arial" w:cs="Arial" w:eastAsia="Arial" w:hAnsi="Arial"/>
          <w:sz w:val="22"/>
          <w:szCs w:val="22"/>
          <w:color w:val="auto"/>
        </w:rPr>
      </w:pPr>
      <w:r>
        <w:rPr>
          <w:rFonts w:ascii="Arial" w:cs="Arial" w:eastAsia="Arial" w:hAnsi="Arial"/>
          <w:sz w:val="22"/>
          <w:szCs w:val="22"/>
          <w:color w:val="auto"/>
        </w:rPr>
        <w:t>Through to the earlier of December 31, 2018 or the employment by the Company of a full-time successor CEO (the “Successor CEO”) (such date, the “</w:t>
      </w:r>
      <w:r>
        <w:rPr>
          <w:rFonts w:ascii="Arial" w:cs="Arial" w:eastAsia="Arial" w:hAnsi="Arial"/>
          <w:sz w:val="22"/>
          <w:szCs w:val="22"/>
          <w:b w:val="1"/>
          <w:bCs w:val="1"/>
          <w:i w:val="1"/>
          <w:iCs w:val="1"/>
          <w:color w:val="auto"/>
        </w:rPr>
        <w:t>Transition Date</w:t>
      </w:r>
      <w:r>
        <w:rPr>
          <w:rFonts w:ascii="Arial" w:cs="Arial" w:eastAsia="Arial" w:hAnsi="Arial"/>
          <w:sz w:val="22"/>
          <w:szCs w:val="22"/>
          <w:color w:val="auto"/>
        </w:rPr>
        <w:t>”), Executive shall continue to serve as CEO and President, subject to the terms of the Employment Agreement. Immediately following the Transition Date Executive shall resign as a Director and officer of the Company and its affiliates.</w:t>
      </w:r>
    </w:p>
    <w:p>
      <w:pPr>
        <w:spacing w:after="0" w:line="185" w:lineRule="exact"/>
        <w:rPr>
          <w:rFonts w:ascii="Arial" w:cs="Arial" w:eastAsia="Arial" w:hAnsi="Arial"/>
          <w:sz w:val="22"/>
          <w:szCs w:val="22"/>
          <w:color w:val="auto"/>
        </w:rPr>
      </w:pPr>
    </w:p>
    <w:p>
      <w:pPr>
        <w:jc w:val="both"/>
        <w:ind w:firstLine="885"/>
        <w:spacing w:after="0" w:line="235" w:lineRule="auto"/>
        <w:tabs>
          <w:tab w:leader="none" w:pos="1765" w:val="left"/>
        </w:tabs>
        <w:numPr>
          <w:ilvl w:val="1"/>
          <w:numId w:val="2"/>
        </w:numPr>
        <w:rPr>
          <w:rFonts w:ascii="Arial" w:cs="Arial" w:eastAsia="Arial" w:hAnsi="Arial"/>
          <w:sz w:val="22"/>
          <w:szCs w:val="22"/>
          <w:color w:val="auto"/>
        </w:rPr>
      </w:pPr>
      <w:r>
        <w:rPr>
          <w:rFonts w:ascii="Arial" w:cs="Arial" w:eastAsia="Arial" w:hAnsi="Arial"/>
          <w:sz w:val="22"/>
          <w:szCs w:val="22"/>
          <w:color w:val="auto"/>
        </w:rPr>
        <w:t>Subsequent to the Transition Date and through December 31, 2019 (such period the “Transition Period”), and unless Executive’s employment is terminated as provided for in the Employment Agreement, Executive shall remain employed by the Company and available to the Company for reasonable transition duties or other consulting activities or projects at the request of the Board of Directors (the “Board”) and at mutually agreed-upon times and locations, which shall not unreasonably interfere with Executive’s future professional and personal pursuits. During the Transition Period, the Company shall provide Executive with offices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 w:name="page7"/>
    <w:bookmarkEnd w:id="6"/>
    <w:p>
      <w:pPr>
        <w:jc w:val="both"/>
        <w:spacing w:after="0" w:line="236" w:lineRule="auto"/>
        <w:rPr>
          <w:sz w:val="20"/>
          <w:szCs w:val="20"/>
          <w:color w:val="auto"/>
        </w:rPr>
      </w:pPr>
      <w:r>
        <w:rPr>
          <w:rFonts w:ascii="Arial" w:cs="Arial" w:eastAsia="Arial" w:hAnsi="Arial"/>
          <w:sz w:val="22"/>
          <w:szCs w:val="22"/>
          <w:color w:val="auto"/>
        </w:rPr>
        <w:t>administrative support commensurate with his duties and responsibilities. The Company may not terminate Executive’s employment prior to December 31, 2019 based on an inability for the Parties to reach mutually-agreeable times and locations for reasonable services requested under this paragraph, unless the Company first provides written notice to Executive of an intent to terminate and provides Executive with ten (10) business days to reach such mutually agreeable times and locations for reasonable services with the Company.</w:t>
      </w:r>
    </w:p>
    <w:p>
      <w:pPr>
        <w:spacing w:after="0" w:line="182" w:lineRule="exact"/>
        <w:rPr>
          <w:sz w:val="20"/>
          <w:szCs w:val="20"/>
          <w:color w:val="auto"/>
        </w:rPr>
      </w:pPr>
    </w:p>
    <w:p>
      <w:pPr>
        <w:jc w:val="both"/>
        <w:ind w:firstLine="885"/>
        <w:spacing w:after="0" w:line="236" w:lineRule="auto"/>
        <w:tabs>
          <w:tab w:leader="none" w:pos="1778" w:val="left"/>
        </w:tabs>
        <w:numPr>
          <w:ilvl w:val="0"/>
          <w:numId w:val="3"/>
        </w:numPr>
        <w:rPr>
          <w:rFonts w:ascii="Arial" w:cs="Arial" w:eastAsia="Arial" w:hAnsi="Arial"/>
          <w:sz w:val="22"/>
          <w:szCs w:val="22"/>
          <w:color w:val="auto"/>
        </w:rPr>
      </w:pPr>
      <w:r>
        <w:rPr>
          <w:rFonts w:ascii="Arial" w:cs="Arial" w:eastAsia="Arial" w:hAnsi="Arial"/>
          <w:sz w:val="22"/>
          <w:szCs w:val="22"/>
          <w:color w:val="auto"/>
        </w:rPr>
        <w:t>For so long as the Executive remains employed</w:t>
      </w:r>
      <w:r>
        <w:rPr>
          <w:rFonts w:ascii="Arial" w:cs="Arial" w:eastAsia="Arial" w:hAnsi="Arial"/>
          <w:sz w:val="22"/>
          <w:szCs w:val="22"/>
          <w:b w:val="1"/>
          <w:bCs w:val="1"/>
          <w:color w:val="auto"/>
        </w:rPr>
        <w:t>,</w:t>
      </w:r>
      <w:r>
        <w:rPr>
          <w:rFonts w:ascii="Arial" w:cs="Arial" w:eastAsia="Arial" w:hAnsi="Arial"/>
          <w:sz w:val="22"/>
          <w:szCs w:val="22"/>
          <w:color w:val="auto"/>
        </w:rPr>
        <w:t xml:space="preserve"> the Company shall continue to pay Executive all compensation otherwise due to Executive under the Employment Agreement (including Base Salary and Annual Incentive Bonus (“</w:t>
      </w:r>
      <w:r>
        <w:rPr>
          <w:rFonts w:ascii="Arial" w:cs="Arial" w:eastAsia="Arial" w:hAnsi="Arial"/>
          <w:sz w:val="22"/>
          <w:szCs w:val="22"/>
          <w:b w:val="1"/>
          <w:bCs w:val="1"/>
          <w:i w:val="1"/>
          <w:iCs w:val="1"/>
          <w:color w:val="auto"/>
        </w:rPr>
        <w:t>AIP Bonus</w:t>
      </w:r>
      <w:r>
        <w:rPr>
          <w:rFonts w:ascii="Arial" w:cs="Arial" w:eastAsia="Arial" w:hAnsi="Arial"/>
          <w:sz w:val="22"/>
          <w:szCs w:val="22"/>
          <w:color w:val="auto"/>
        </w:rPr>
        <w:t>”) and LTIP awards) (and after taking into effect Section 1(e) below) through December 31, 2019 (but excluding vacation and personal days after the Transition Date) (the “</w:t>
      </w:r>
      <w:r>
        <w:rPr>
          <w:rFonts w:ascii="Arial" w:cs="Arial" w:eastAsia="Arial" w:hAnsi="Arial"/>
          <w:sz w:val="22"/>
          <w:szCs w:val="22"/>
          <w:b w:val="1"/>
          <w:bCs w:val="1"/>
          <w:i w:val="1"/>
          <w:iCs w:val="1"/>
          <w:color w:val="auto"/>
        </w:rPr>
        <w:t>Remaining Payments</w:t>
      </w:r>
      <w:r>
        <w:rPr>
          <w:rFonts w:ascii="Arial" w:cs="Arial" w:eastAsia="Arial" w:hAnsi="Arial"/>
          <w:sz w:val="22"/>
          <w:szCs w:val="22"/>
          <w:color w:val="auto"/>
        </w:rPr>
        <w:t>”), except in connection with severance payments arising under the Employment Agreement or in the event of Executive’s death, disability, resignation without Good Reason or termination for “justifiable cause.”</w:t>
      </w:r>
    </w:p>
    <w:p>
      <w:pPr>
        <w:spacing w:after="0" w:line="188" w:lineRule="exact"/>
        <w:rPr>
          <w:rFonts w:ascii="Arial" w:cs="Arial" w:eastAsia="Arial" w:hAnsi="Arial"/>
          <w:sz w:val="22"/>
          <w:szCs w:val="22"/>
          <w:color w:val="auto"/>
        </w:rPr>
      </w:pPr>
    </w:p>
    <w:p>
      <w:pPr>
        <w:jc w:val="both"/>
        <w:ind w:firstLine="885"/>
        <w:spacing w:after="0" w:line="236" w:lineRule="auto"/>
        <w:tabs>
          <w:tab w:leader="none" w:pos="1765" w:val="left"/>
        </w:tabs>
        <w:numPr>
          <w:ilvl w:val="0"/>
          <w:numId w:val="3"/>
        </w:numPr>
        <w:rPr>
          <w:rFonts w:ascii="Arial" w:cs="Arial" w:eastAsia="Arial" w:hAnsi="Arial"/>
          <w:sz w:val="22"/>
          <w:szCs w:val="22"/>
          <w:color w:val="auto"/>
        </w:rPr>
      </w:pPr>
      <w:r>
        <w:rPr>
          <w:rFonts w:ascii="Arial" w:cs="Arial" w:eastAsia="Arial" w:hAnsi="Arial"/>
          <w:sz w:val="22"/>
          <w:szCs w:val="22"/>
          <w:color w:val="auto"/>
        </w:rPr>
        <w:t>With respect to Executive’s ongoing employment through to December 31, 2019 (including with respect to Executive’s services during the Transition Period), Executive’s AIP Bonus and LTIP award with regard to the fiscal year ending February 2, 2019 will be earned on the basis of performance metrics determined by the Compensation Committee for such year; whereas the Executive’s AIP Bonus and LTIP award with regard to the fiscal year ending February 1, 2020 will be guaranteed at “target.”</w:t>
      </w:r>
    </w:p>
    <w:p>
      <w:pPr>
        <w:spacing w:after="0" w:line="187" w:lineRule="exact"/>
        <w:rPr>
          <w:rFonts w:ascii="Arial" w:cs="Arial" w:eastAsia="Arial" w:hAnsi="Arial"/>
          <w:sz w:val="22"/>
          <w:szCs w:val="22"/>
          <w:color w:val="auto"/>
        </w:rPr>
      </w:pPr>
    </w:p>
    <w:p>
      <w:pPr>
        <w:jc w:val="both"/>
        <w:ind w:right="20" w:firstLine="885"/>
        <w:spacing w:after="0"/>
        <w:tabs>
          <w:tab w:leader="none" w:pos="1742" w:val="left"/>
        </w:tabs>
        <w:numPr>
          <w:ilvl w:val="0"/>
          <w:numId w:val="3"/>
        </w:numPr>
        <w:rPr>
          <w:rFonts w:ascii="Arial" w:cs="Arial" w:eastAsia="Arial" w:hAnsi="Arial"/>
          <w:sz w:val="22"/>
          <w:szCs w:val="22"/>
          <w:color w:val="auto"/>
        </w:rPr>
      </w:pPr>
      <w:r>
        <w:rPr>
          <w:rFonts w:ascii="Arial" w:cs="Arial" w:eastAsia="Arial" w:hAnsi="Arial"/>
          <w:sz w:val="22"/>
          <w:szCs w:val="22"/>
          <w:color w:val="auto"/>
        </w:rPr>
        <w:t>So long as Executive remains employed through to the end of the Transition Period, all outstanding LTIP awards will vest according to the rules for a termination by reason of “Retirement” on December 31, 2019 under the terms of the Company’s applicable incentive plans.</w:t>
      </w:r>
    </w:p>
    <w:p>
      <w:pPr>
        <w:spacing w:after="0" w:line="186" w:lineRule="exact"/>
        <w:rPr>
          <w:rFonts w:ascii="Arial" w:cs="Arial" w:eastAsia="Arial" w:hAnsi="Arial"/>
          <w:sz w:val="22"/>
          <w:szCs w:val="22"/>
          <w:color w:val="auto"/>
        </w:rPr>
      </w:pPr>
    </w:p>
    <w:p>
      <w:pPr>
        <w:jc w:val="both"/>
        <w:ind w:firstLine="885"/>
        <w:spacing w:after="0" w:line="279" w:lineRule="auto"/>
        <w:tabs>
          <w:tab w:leader="none" w:pos="1778"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the event of a Change of Control while Executive remains employed by the Company during the Term of Employment, Executive shall be paid the Remaining Payments otherwise due for the remainder of the Term of Employment in a lump sum payment on the business day immediately preceding the effective date of the Change of Control, along with a tax gross-up (if necessary) to account for any negative tax consequences of such accelerated payment. The amount of any such tax gross-up shall be calculated by the Company’s outside accounting firm after consultation with Executive and the payments provided for in this Section (g) are conditioned on the Executive’s continued employment as of such payment date.</w:t>
      </w:r>
    </w:p>
    <w:p>
      <w:pPr>
        <w:spacing w:after="0" w:line="150" w:lineRule="exact"/>
        <w:rPr>
          <w:rFonts w:ascii="Arial" w:cs="Arial" w:eastAsia="Arial" w:hAnsi="Arial"/>
          <w:sz w:val="19"/>
          <w:szCs w:val="19"/>
          <w:color w:val="auto"/>
        </w:rPr>
      </w:pPr>
    </w:p>
    <w:p>
      <w:pPr>
        <w:jc w:val="both"/>
        <w:ind w:firstLine="885"/>
        <w:spacing w:after="0" w:line="282" w:lineRule="auto"/>
        <w:tabs>
          <w:tab w:leader="none" w:pos="1778"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Executive may elect to resign for Good Reason following the commencement of employment of Executive’s successor prior to December 31, 2018, provided such election (in writing) occurs within ten (10) days of such commencement date. If the Executive elects to resign for Good Reason during this period, his separation payments and benefits shall be determined as provided for in the Employment Agreement and replace any Remaining Payments on a going forward basis. Other than as provided for in this Section 1(g) Executive shall have no rights to resign for Good Reason following the Transition Date.</w:t>
      </w:r>
    </w:p>
    <w:p>
      <w:pPr>
        <w:spacing w:after="0" w:line="147" w:lineRule="exact"/>
        <w:rPr>
          <w:rFonts w:ascii="Arial" w:cs="Arial" w:eastAsia="Arial" w:hAnsi="Arial"/>
          <w:sz w:val="19"/>
          <w:szCs w:val="19"/>
          <w:color w:val="auto"/>
        </w:rPr>
      </w:pPr>
    </w:p>
    <w:p>
      <w:pPr>
        <w:jc w:val="both"/>
        <w:ind w:firstLine="885"/>
        <w:spacing w:after="0"/>
        <w:tabs>
          <w:tab w:leader="none" w:pos="1730" w:val="left"/>
        </w:tabs>
        <w:numPr>
          <w:ilvl w:val="0"/>
          <w:numId w:val="3"/>
        </w:numPr>
        <w:rPr>
          <w:rFonts w:ascii="Arial" w:cs="Arial" w:eastAsia="Arial" w:hAnsi="Arial"/>
          <w:sz w:val="22"/>
          <w:szCs w:val="22"/>
          <w:color w:val="auto"/>
        </w:rPr>
      </w:pPr>
      <w:r>
        <w:rPr>
          <w:rFonts w:ascii="Arial" w:cs="Arial" w:eastAsia="Arial" w:hAnsi="Arial"/>
          <w:sz w:val="22"/>
          <w:szCs w:val="22"/>
          <w:color w:val="auto"/>
        </w:rPr>
        <w:t xml:space="preserve">Following his termination of employment for any reason, Executive shall remain subject to his post-termination obligations under the Employment Agreement,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for purposes of commencing the restricted period applicable to such post-termination obligations,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Executive’s Termination Date shall be December 31, 2018 or such earlier date if Executive’s employment is terminated for any reason.</w:t>
      </w:r>
    </w:p>
    <w:p>
      <w:pPr>
        <w:spacing w:after="0" w:line="173" w:lineRule="exact"/>
        <w:rPr>
          <w:sz w:val="20"/>
          <w:szCs w:val="20"/>
          <w:color w:val="auto"/>
        </w:rPr>
      </w:pPr>
    </w:p>
    <w:p>
      <w:pPr>
        <w:ind w:firstLine="885"/>
        <w:spacing w:after="0" w:line="251" w:lineRule="auto"/>
        <w:tabs>
          <w:tab w:leader="none" w:pos="173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shall reimburse Executive for all documented legal fees (up to a maximum of $15,000) incurred by Executive in the negotiation, drafting and execution of this Agreement.</w:t>
      </w:r>
    </w:p>
    <w:p>
      <w:pPr>
        <w:spacing w:after="0" w:line="173" w:lineRule="exact"/>
        <w:rPr>
          <w:rFonts w:ascii="Arial" w:cs="Arial" w:eastAsia="Arial" w:hAnsi="Arial"/>
          <w:sz w:val="22"/>
          <w:szCs w:val="22"/>
          <w:color w:val="auto"/>
        </w:rPr>
      </w:pPr>
    </w:p>
    <w:p>
      <w:pPr>
        <w:ind w:firstLine="885"/>
        <w:spacing w:after="0" w:line="328" w:lineRule="auto"/>
        <w:tabs>
          <w:tab w:leader="none" w:pos="1778" w:val="left"/>
        </w:tabs>
        <w:numPr>
          <w:ilvl w:val="0"/>
          <w:numId w:val="4"/>
        </w:numPr>
        <w:rPr>
          <w:rFonts w:ascii="Arial" w:cs="Arial" w:eastAsia="Arial" w:hAnsi="Arial"/>
          <w:sz w:val="19"/>
          <w:szCs w:val="19"/>
          <w:color w:val="auto"/>
        </w:rPr>
      </w:pPr>
      <w:r>
        <w:rPr>
          <w:rFonts w:ascii="Arial" w:cs="Arial" w:eastAsia="Arial" w:hAnsi="Arial"/>
          <w:sz w:val="19"/>
          <w:szCs w:val="19"/>
          <w:color w:val="auto"/>
        </w:rPr>
        <w:t>Executive’s entitlement to medical and insurance benefits shall in all cases be subject to the eligibility terms of any applicable policies in effect during the Term of Employment with respect to service requirements and other conditions.</w:t>
      </w:r>
    </w:p>
    <w:p>
      <w:pPr>
        <w:spacing w:after="0" w:line="105" w:lineRule="exact"/>
        <w:rPr>
          <w:rFonts w:ascii="Arial" w:cs="Arial" w:eastAsia="Arial" w:hAnsi="Arial"/>
          <w:sz w:val="19"/>
          <w:szCs w:val="19"/>
          <w:color w:val="auto"/>
        </w:rPr>
      </w:pPr>
    </w:p>
    <w:p>
      <w:pPr>
        <w:jc w:val="both"/>
        <w:ind w:firstLine="885"/>
        <w:spacing w:after="0" w:line="287" w:lineRule="auto"/>
        <w:tabs>
          <w:tab w:leader="none" w:pos="1730" w:val="left"/>
        </w:tabs>
        <w:numPr>
          <w:ilvl w:val="0"/>
          <w:numId w:val="4"/>
        </w:numPr>
        <w:rPr>
          <w:rFonts w:ascii="Arial" w:cs="Arial" w:eastAsia="Arial" w:hAnsi="Arial"/>
          <w:sz w:val="19"/>
          <w:szCs w:val="19"/>
          <w:color w:val="auto"/>
        </w:rPr>
      </w:pPr>
      <w:r>
        <w:rPr>
          <w:rFonts w:ascii="Arial" w:cs="Arial" w:eastAsia="Arial" w:hAnsi="Arial"/>
          <w:sz w:val="19"/>
          <w:szCs w:val="19"/>
          <w:color w:val="auto"/>
        </w:rPr>
        <w:t>All payment obligations of the Company under this Agreement and the Employment Agreement are conditioned on the execution, delivery and non-revocation by Executive of the form of general release attached as Exhibit A (the “</w:t>
      </w:r>
      <w:r>
        <w:rPr>
          <w:rFonts w:ascii="Arial" w:cs="Arial" w:eastAsia="Arial" w:hAnsi="Arial"/>
          <w:sz w:val="19"/>
          <w:szCs w:val="19"/>
          <w:b w:val="1"/>
          <w:bCs w:val="1"/>
          <w:i w:val="1"/>
          <w:iCs w:val="1"/>
          <w:color w:val="auto"/>
        </w:rPr>
        <w:t>General Release</w:t>
      </w:r>
      <w:r>
        <w:rPr>
          <w:rFonts w:ascii="Arial" w:cs="Arial" w:eastAsia="Arial" w:hAnsi="Arial"/>
          <w:sz w:val="19"/>
          <w:szCs w:val="19"/>
          <w:i w:val="1"/>
          <w:iCs w:val="1"/>
          <w:color w:val="auto"/>
        </w:rPr>
        <w:t>”</w:t>
      </w:r>
      <w:r>
        <w:rPr>
          <w:rFonts w:ascii="Arial" w:cs="Arial" w:eastAsia="Arial" w:hAnsi="Arial"/>
          <w:sz w:val="19"/>
          <w:szCs w:val="19"/>
          <w:color w:val="auto"/>
        </w:rPr>
        <w:t>) within thirty (30) days of the execution of this Agreement, and the execution by the Executive of a comparable “bring-down” release, in the form attached as Exhibit B, within thirty (30) days following the termination of his employment.</w:t>
      </w:r>
    </w:p>
    <w:p>
      <w:pPr>
        <w:spacing w:after="0" w:line="143" w:lineRule="exact"/>
        <w:rPr>
          <w:sz w:val="20"/>
          <w:szCs w:val="20"/>
          <w:color w:val="auto"/>
        </w:rPr>
      </w:pPr>
    </w:p>
    <w:p>
      <w:pPr>
        <w:jc w:val="both"/>
        <w:ind w:left="180" w:hanging="161"/>
        <w:spacing w:after="0" w:line="236" w:lineRule="auto"/>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Taxes</w:t>
      </w:r>
      <w:r>
        <w:rPr>
          <w:rFonts w:ascii="Arial" w:cs="Arial" w:eastAsia="Arial" w:hAnsi="Arial"/>
          <w:sz w:val="22"/>
          <w:szCs w:val="22"/>
          <w:color w:val="auto"/>
        </w:rPr>
        <w:t>. Any amounts to be paid to Executive pursuant to this Agreement shall be considered wages, and the Company will withhold and deduct all applicable federal, state, city and local taxes required by law. The Company makes no assurances to Executive as to the tax treatment of any payments hereunder and, except with respect to tax amounts withheld by the Company, Executive will be responsible for payment and remittance of all taxes due with respect to compensation received or imputed under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3. </w:t>
      </w:r>
      <w:r>
        <w:rPr>
          <w:rFonts w:ascii="Arial" w:cs="Arial" w:eastAsia="Arial" w:hAnsi="Arial"/>
          <w:sz w:val="22"/>
          <w:szCs w:val="22"/>
          <w:u w:val="single" w:color="auto"/>
          <w:color w:val="auto"/>
        </w:rPr>
        <w:t>Full Consideration</w:t>
      </w:r>
      <w:r>
        <w:rPr>
          <w:rFonts w:ascii="Arial" w:cs="Arial" w:eastAsia="Arial" w:hAnsi="Arial"/>
          <w:sz w:val="22"/>
          <w:szCs w:val="22"/>
          <w:color w:val="auto"/>
        </w:rPr>
        <w:t>. The parties acknowledge that good and valuable consideration supports this Agreement.</w:t>
      </w:r>
    </w:p>
    <w:p>
      <w:pPr>
        <w:spacing w:after="0" w:line="206" w:lineRule="exact"/>
        <w:rPr>
          <w:sz w:val="20"/>
          <w:szCs w:val="20"/>
          <w:color w:val="auto"/>
        </w:rPr>
      </w:pPr>
    </w:p>
    <w:p>
      <w:pPr>
        <w:jc w:val="both"/>
        <w:ind w:left="180" w:hanging="161"/>
        <w:spacing w:after="0" w:line="328" w:lineRule="auto"/>
        <w:rPr>
          <w:sz w:val="20"/>
          <w:szCs w:val="20"/>
          <w:color w:val="auto"/>
        </w:rPr>
      </w:pPr>
      <w:r>
        <w:rPr>
          <w:rFonts w:ascii="Arial" w:cs="Arial" w:eastAsia="Arial" w:hAnsi="Arial"/>
          <w:sz w:val="19"/>
          <w:szCs w:val="19"/>
          <w:color w:val="auto"/>
        </w:rPr>
        <w:t>4.</w:t>
      </w: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xml:space="preserve"> The provision of Section (8) of the Employment Agreement shall apply to all payment obligations under this Agreement to the extent such payments constitute an item of deferred compensation under Section 409A.</w:t>
      </w:r>
    </w:p>
    <w:p>
      <w:pPr>
        <w:spacing w:after="0" w:line="105" w:lineRule="exact"/>
        <w:rPr>
          <w:sz w:val="20"/>
          <w:szCs w:val="20"/>
          <w:color w:val="auto"/>
        </w:rPr>
      </w:pPr>
    </w:p>
    <w:p>
      <w:pPr>
        <w:jc w:val="both"/>
        <w:ind w:left="180" w:hanging="161"/>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No Admissions</w:t>
      </w:r>
      <w:r>
        <w:rPr>
          <w:rFonts w:ascii="Arial" w:cs="Arial" w:eastAsia="Arial" w:hAnsi="Arial"/>
          <w:sz w:val="22"/>
          <w:szCs w:val="22"/>
          <w:color w:val="auto"/>
        </w:rPr>
        <w:t>. Neither this Agreement nor the furnishing of the consideration for this Agreement shall be deemed or construed as an admission of liability or wrongdoing on the part of Executive or the Company or any of its Affiliates, nor shall be admissible as evidence in any proceeding other than for the enforcement of this Agreement.</w:t>
      </w:r>
    </w:p>
    <w:p>
      <w:pPr>
        <w:spacing w:after="0" w:line="186" w:lineRule="exact"/>
        <w:rPr>
          <w:sz w:val="20"/>
          <w:szCs w:val="20"/>
          <w:color w:val="auto"/>
        </w:rPr>
      </w:pPr>
    </w:p>
    <w:p>
      <w:pPr>
        <w:jc w:val="both"/>
        <w:ind w:left="180" w:hanging="161"/>
        <w:spacing w:after="0" w:line="233" w:lineRule="auto"/>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Arbitration</w:t>
      </w:r>
      <w:r>
        <w:rPr>
          <w:rFonts w:ascii="Arial" w:cs="Arial" w:eastAsia="Arial" w:hAnsi="Arial"/>
          <w:sz w:val="22"/>
          <w:szCs w:val="22"/>
          <w:color w:val="auto"/>
        </w:rPr>
        <w:t>. Any controversy or claim arising out of or relating to this Agreement or the breach hereof, or should Executive allege that the Company has violated any of his rights under federal, state or local employment or civil rights law or other laws, statutes, or constitutional provisions, including but not limited to, the Age Discrimination in Employment Act of 1967, Title VII of the Civil Rights Act of 1964, the Americans with Disabilities Act of 1990, the Family and Medical Leave Act, the Massachusetts Wage Act, the Massachusetts Fair Employment Practices Act, or any other federal, state or local laws or ordinances, shall be settled by binding arbitration administered by JAMS and conducted in accordance with JAMS’ Employment Arbitration Rules &amp; Procedures and subject to JAMS Policy on Employment Arbitration and Minimum Standards of Procedural Fairness (jointly, the “Arbitration Rules”). The arbitration shall be conducted by a single arbitrator appointed in accordance with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9"/>
          <w:szCs w:val="19"/>
          <w:color w:val="auto"/>
        </w:rPr>
        <w:t xml:space="preserve">Arbitration Rules and shall be held in Boston, Massachusetts. Judgment upon the award rendered in any arbitration may be entered in any court having jurisdiction, and all rights or remedies of the Company and of Executive to the contrary are hereby expressly waived, </w:t>
      </w:r>
      <w:r>
        <w:rPr>
          <w:rFonts w:ascii="Arial" w:cs="Arial" w:eastAsia="Arial" w:hAnsi="Arial"/>
          <w:sz w:val="19"/>
          <w:szCs w:val="19"/>
          <w:b w:val="1"/>
          <w:bCs w:val="1"/>
          <w:u w:val="single" w:color="auto"/>
          <w:color w:val="auto"/>
        </w:rPr>
        <w:t>provided that</w:t>
      </w:r>
      <w:r>
        <w:rPr>
          <w:rFonts w:ascii="Arial" w:cs="Arial" w:eastAsia="Arial" w:hAnsi="Arial"/>
          <w:sz w:val="19"/>
          <w:szCs w:val="19"/>
          <w:color w:val="auto"/>
        </w:rPr>
        <w:t xml:space="preserve"> (i) either party may seek preliminary injunctive relief in a court of competent jurisdiction pending final resolution of the dispute through arbitration, (ii) the rights and remedies available to the Company under Section (13) of the Employment Agreement with respect to any breach by Executive of the Restrictive Covenants shall continue in full and effect and not be subject to arbitration, (iii) any claim or dispute related to any award under the Company’s incentive plans shall be governed by Delaware law and not be subject to arbitration and (iv) the arbitrator shall not have any authority to award punitive, exemplary damages or attorneys’’ fees unless required under any Federal, state or local employment discrimination law.</w:t>
      </w:r>
    </w:p>
    <w:p>
      <w:pPr>
        <w:spacing w:after="0" w:line="158" w:lineRule="exact"/>
        <w:rPr>
          <w:sz w:val="20"/>
          <w:szCs w:val="20"/>
          <w:color w:val="auto"/>
        </w:rPr>
      </w:pPr>
    </w:p>
    <w:p>
      <w:pPr>
        <w:jc w:val="both"/>
        <w:ind w:left="180" w:hanging="161"/>
        <w:spacing w:after="0" w:line="251" w:lineRule="auto"/>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inure to the benefit of and shall be binding upon the successors and assigns of the Parties to this Agreement, and each of them.</w:t>
      </w:r>
    </w:p>
    <w:p>
      <w:pPr>
        <w:spacing w:after="0" w:line="173" w:lineRule="exact"/>
        <w:rPr>
          <w:sz w:val="20"/>
          <w:szCs w:val="20"/>
          <w:color w:val="auto"/>
        </w:rPr>
      </w:pPr>
    </w:p>
    <w:p>
      <w:pPr>
        <w:jc w:val="both"/>
        <w:ind w:left="180" w:hanging="161"/>
        <w:spacing w:after="0" w:line="251" w:lineRule="auto"/>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Choice of Law</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This Agreement shall be governed by and construed in accordance with the laws of the Commonwealth of Massachusetts without regard to its conflicts of laws rules.</w:t>
      </w:r>
    </w:p>
    <w:p>
      <w:pPr>
        <w:spacing w:after="0" w:line="173" w:lineRule="exact"/>
        <w:rPr>
          <w:sz w:val="20"/>
          <w:szCs w:val="20"/>
          <w:color w:val="auto"/>
        </w:rPr>
      </w:pPr>
    </w:p>
    <w:p>
      <w:pPr>
        <w:jc w:val="both"/>
        <w:ind w:left="180" w:hanging="161"/>
        <w:spacing w:after="0" w:line="287"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shall be held invalid, void or unenforceable by a court of competent jurisdiction, the remaining provisions shall not be affected thereby and shall remain in full force and effect. In the event that any covenant contained herein is not enforceable in accordance with its terms, Executive and the Company agree that such provision shall be reformed to make it enforceable in a manner that provides as nearly as possible the result intended by this Agreement.</w:t>
      </w:r>
    </w:p>
    <w:p>
      <w:pPr>
        <w:spacing w:after="0" w:line="143" w:lineRule="exact"/>
        <w:rPr>
          <w:sz w:val="20"/>
          <w:szCs w:val="20"/>
          <w:color w:val="auto"/>
        </w:rPr>
      </w:pPr>
    </w:p>
    <w:p>
      <w:pPr>
        <w:jc w:val="both"/>
        <w:ind w:left="280" w:hanging="269"/>
        <w:spacing w:after="0" w:line="234" w:lineRule="auto"/>
        <w:rPr>
          <w:sz w:val="20"/>
          <w:szCs w:val="20"/>
          <w:color w:val="auto"/>
        </w:rPr>
      </w:pPr>
      <w:r>
        <w:rPr>
          <w:rFonts w:ascii="Arial" w:cs="Arial" w:eastAsia="Arial" w:hAnsi="Arial"/>
          <w:sz w:val="22"/>
          <w:szCs w:val="22"/>
          <w:color w:val="auto"/>
        </w:rPr>
        <w:t>10.</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the Employment Agreement and General Release contain the entire agreement between the Parties, and shall be considered and understood to be a contractual commitment and not a mere recital. No covenants, agreements, representations, or warranties of any kind whatsoever, whether express or implied in law or fact, have been made by any Party to this Agreement, except as specifically set forth in this Agreement, the Employment Agreement and/or the General Release. This Agreement, the Employment Agreement, and the General Release supersede any and all prior and contemporaneous agreements, term sheets, negotiations and understandings, whether written or oral, pertaining to the subject matter hereof.</w:t>
      </w:r>
    </w:p>
    <w:p>
      <w:pPr>
        <w:spacing w:after="0" w:line="191" w:lineRule="exact"/>
        <w:rPr>
          <w:sz w:val="20"/>
          <w:szCs w:val="20"/>
          <w:color w:val="auto"/>
        </w:rPr>
      </w:pPr>
    </w:p>
    <w:p>
      <w:pPr>
        <w:jc w:val="both"/>
        <w:ind w:left="280" w:hanging="269"/>
        <w:spacing w:after="0" w:line="287" w:lineRule="auto"/>
        <w:rPr>
          <w:sz w:val="20"/>
          <w:szCs w:val="20"/>
          <w:color w:val="auto"/>
        </w:rPr>
      </w:pPr>
      <w:r>
        <w:rPr>
          <w:rFonts w:ascii="Arial" w:cs="Arial" w:eastAsia="Arial" w:hAnsi="Arial"/>
          <w:sz w:val="19"/>
          <w:szCs w:val="19"/>
          <w:color w:val="auto"/>
        </w:rPr>
        <w:t>11.</w:t>
      </w:r>
      <w:r>
        <w:rPr>
          <w:rFonts w:ascii="Arial" w:cs="Arial" w:eastAsia="Arial" w:hAnsi="Arial"/>
          <w:sz w:val="19"/>
          <w:szCs w:val="19"/>
          <w:u w:val="single" w:color="auto"/>
          <w:color w:val="auto"/>
        </w:rPr>
        <w:t>Modifications</w:t>
      </w:r>
      <w:r>
        <w:rPr>
          <w:rFonts w:ascii="Arial" w:cs="Arial" w:eastAsia="Arial" w:hAnsi="Arial"/>
          <w:sz w:val="19"/>
          <w:szCs w:val="19"/>
          <w:color w:val="auto"/>
        </w:rPr>
        <w:t>. No modification, amendment, or waiver of any of the provisions contained in this Agreement, or any future representations, promise, or condition in connection with the subject matter of this Agreement, shall be binding upon any Party to this Agreement unless made in writing and signed by such Party or by a duly authorized officer or agent of such Party. In the case of the Company, any such writing shall bind the Company only if approved by the Board.</w:t>
      </w:r>
    </w:p>
    <w:p>
      <w:pPr>
        <w:spacing w:after="0" w:line="143" w:lineRule="exact"/>
        <w:rPr>
          <w:sz w:val="20"/>
          <w:szCs w:val="20"/>
          <w:color w:val="auto"/>
        </w:rPr>
      </w:pPr>
    </w:p>
    <w:p>
      <w:pPr>
        <w:jc w:val="both"/>
        <w:ind w:left="280" w:hanging="269"/>
        <w:spacing w:after="0" w:line="238" w:lineRule="auto"/>
        <w:rPr>
          <w:sz w:val="20"/>
          <w:szCs w:val="20"/>
          <w:color w:val="auto"/>
        </w:rPr>
      </w:pPr>
      <w:r>
        <w:rPr>
          <w:rFonts w:ascii="Arial" w:cs="Arial" w:eastAsia="Arial" w:hAnsi="Arial"/>
          <w:sz w:val="22"/>
          <w:szCs w:val="22"/>
          <w:color w:val="auto"/>
        </w:rPr>
        <w:t>12.</w:t>
      </w:r>
      <w:r>
        <w:rPr>
          <w:rFonts w:ascii="Arial" w:cs="Arial" w:eastAsia="Arial" w:hAnsi="Arial"/>
          <w:sz w:val="22"/>
          <w:szCs w:val="22"/>
          <w:u w:val="single" w:color="auto"/>
          <w:color w:val="auto"/>
        </w:rPr>
        <w:t>Negotiated Agreement</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terms of this Agreement are contractual, not a mere recital, and are the result of negotiations between the Parties. This Agreement shall not be construed against the Party preparing the same. This Agreement shall be construed without regard to the identity of the person who drafted such and shall be construed as if the Parties had jointly prepared this Agreement. Any uncertainty or ambiguity shall not be interpreted against any one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 w:name="page10"/>
    <w:bookmarkEnd w:id="9"/>
    <w:p>
      <w:pPr>
        <w:jc w:val="both"/>
        <w:ind w:left="280" w:hanging="269"/>
        <w:spacing w:after="0" w:line="251" w:lineRule="auto"/>
        <w:rPr>
          <w:sz w:val="20"/>
          <w:szCs w:val="20"/>
          <w:color w:val="auto"/>
        </w:rPr>
      </w:pPr>
      <w:r>
        <w:rPr>
          <w:rFonts w:ascii="Arial" w:cs="Arial" w:eastAsia="Arial" w:hAnsi="Arial"/>
          <w:sz w:val="22"/>
          <w:szCs w:val="22"/>
          <w:color w:val="auto"/>
        </w:rPr>
        <w:t>13.</w:t>
      </w:r>
      <w:r>
        <w:rPr>
          <w:rFonts w:ascii="Arial" w:cs="Arial" w:eastAsia="Arial" w:hAnsi="Arial"/>
          <w:sz w:val="22"/>
          <w:szCs w:val="22"/>
          <w:u w:val="single" w:color="auto"/>
          <w:color w:val="auto"/>
        </w:rPr>
        <w:t>Section Headings</w:t>
      </w:r>
      <w:r>
        <w:rPr>
          <w:rFonts w:ascii="Arial" w:cs="Arial" w:eastAsia="Arial" w:hAnsi="Arial"/>
          <w:sz w:val="22"/>
          <w:szCs w:val="22"/>
          <w:color w:val="auto"/>
        </w:rPr>
        <w:t>. The use of headings in this Agreement is only for ease of reference and the headings have no effect and are not considered in interpreting or to be part of the terms of this Agreement.</w:t>
      </w:r>
    </w:p>
    <w:p>
      <w:pPr>
        <w:spacing w:after="0" w:line="173" w:lineRule="exact"/>
        <w:rPr>
          <w:sz w:val="20"/>
          <w:szCs w:val="20"/>
          <w:color w:val="auto"/>
        </w:rPr>
      </w:pPr>
    </w:p>
    <w:p>
      <w:pPr>
        <w:jc w:val="both"/>
        <w:ind w:left="280" w:hanging="269"/>
        <w:spacing w:after="0" w:line="235" w:lineRule="auto"/>
        <w:rPr>
          <w:sz w:val="20"/>
          <w:szCs w:val="20"/>
          <w:color w:val="auto"/>
        </w:rPr>
      </w:pPr>
      <w:r>
        <w:rPr>
          <w:rFonts w:ascii="Arial" w:cs="Arial" w:eastAsia="Arial" w:hAnsi="Arial"/>
          <w:sz w:val="22"/>
          <w:szCs w:val="22"/>
          <w:color w:val="auto"/>
        </w:rPr>
        <w:t>14.</w:t>
      </w:r>
      <w:r>
        <w:rPr>
          <w:rFonts w:ascii="Arial" w:cs="Arial" w:eastAsia="Arial" w:hAnsi="Arial"/>
          <w:sz w:val="22"/>
          <w:szCs w:val="22"/>
          <w:u w:val="single" w:color="auto"/>
          <w:color w:val="auto"/>
        </w:rPr>
        <w:t>Voluntary Agreement</w:t>
      </w:r>
      <w:r>
        <w:rPr>
          <w:rFonts w:ascii="Arial" w:cs="Arial" w:eastAsia="Arial" w:hAnsi="Arial"/>
          <w:sz w:val="22"/>
          <w:szCs w:val="22"/>
          <w:color w:val="auto"/>
        </w:rPr>
        <w:t>. EXECUTIVE ACKNOWLEDGES THAT HE HAS READ AND UNDERSTANDS THE FOREGOING PROVISIONS AND THOSE SUCH PROVISIONS ARE REASONABLE AND ENFORCEABLE. EXECUTIVE FURTHER ACKNOWLEDGES THAT HE HAS SIGNED THIS AGREEMENT AS HIS OWN AND VOLUNTARY ACT, THAT HE ACKNOWLEDGES THAT THIS IS AN IMPORTANT AND BINDING LEGAL CONTRACT THAT HAS BEEN REVIEWED BY COUNSEL OF EXECUTIVE’S CHOICE, AND THAT THIS AGREEMENT HAS BEEN FREELY AND FAIRLY NEGOTIATED BY THE PARTIES HERETO.</w:t>
      </w:r>
    </w:p>
    <w:p>
      <w:pPr>
        <w:spacing w:after="0" w:line="188" w:lineRule="exact"/>
        <w:rPr>
          <w:sz w:val="20"/>
          <w:szCs w:val="20"/>
          <w:color w:val="auto"/>
        </w:rPr>
      </w:pPr>
    </w:p>
    <w:p>
      <w:pPr>
        <w:jc w:val="both"/>
        <w:ind w:left="280" w:hanging="269"/>
        <w:spacing w:after="0" w:line="251" w:lineRule="auto"/>
        <w:rPr>
          <w:sz w:val="20"/>
          <w:szCs w:val="20"/>
          <w:color w:val="auto"/>
        </w:rPr>
      </w:pPr>
      <w:r>
        <w:rPr>
          <w:rFonts w:ascii="Arial" w:cs="Arial" w:eastAsia="Arial" w:hAnsi="Arial"/>
          <w:sz w:val="22"/>
          <w:szCs w:val="22"/>
          <w:color w:val="auto"/>
        </w:rPr>
        <w:t>15.</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and such counterparts when taken together shall constitute but one instrument.</w:t>
      </w:r>
    </w:p>
    <w:p>
      <w:pPr>
        <w:spacing w:after="0" w:line="173" w:lineRule="exact"/>
        <w:rPr>
          <w:sz w:val="20"/>
          <w:szCs w:val="20"/>
          <w:color w:val="auto"/>
        </w:rPr>
      </w:pPr>
    </w:p>
    <w:p>
      <w:pPr>
        <w:jc w:val="both"/>
        <w:ind w:left="280" w:hanging="269"/>
        <w:spacing w:after="0" w:line="251" w:lineRule="auto"/>
        <w:rPr>
          <w:sz w:val="20"/>
          <w:szCs w:val="20"/>
          <w:color w:val="auto"/>
        </w:rPr>
      </w:pPr>
      <w:r>
        <w:rPr>
          <w:rFonts w:ascii="Arial" w:cs="Arial" w:eastAsia="Arial" w:hAnsi="Arial"/>
          <w:sz w:val="22"/>
          <w:szCs w:val="22"/>
          <w:color w:val="auto"/>
        </w:rPr>
        <w:t>16.</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and other communications to any Party under this Agreement shall be in writing and sent by personal delivery or overnight courier to the address provided below:</w:t>
      </w:r>
    </w:p>
    <w:p>
      <w:pPr>
        <w:spacing w:after="0" w:line="389" w:lineRule="exact"/>
        <w:rPr>
          <w:sz w:val="20"/>
          <w:szCs w:val="20"/>
          <w:color w:val="auto"/>
        </w:rPr>
      </w:pPr>
    </w:p>
    <w:p>
      <w:pPr>
        <w:ind w:left="1740" w:right="7300" w:hanging="868"/>
        <w:spacing w:after="0" w:line="595" w:lineRule="auto"/>
        <w:tabs>
          <w:tab w:leader="none" w:pos="174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If to the Company: </w:t>
      </w:r>
      <w:r>
        <w:rPr>
          <w:rFonts w:ascii="Arial" w:cs="Arial" w:eastAsia="Arial" w:hAnsi="Arial"/>
          <w:sz w:val="19"/>
          <w:szCs w:val="19"/>
          <w:u w:val="single" w:color="auto"/>
          <w:color w:val="auto"/>
        </w:rPr>
        <w:t>Destination XL Group, Inc.</w:t>
      </w:r>
    </w:p>
    <w:p>
      <w:pPr>
        <w:spacing w:after="0" w:line="78" w:lineRule="exact"/>
        <w:rPr>
          <w:rFonts w:ascii="Arial" w:cs="Arial" w:eastAsia="Arial" w:hAnsi="Arial"/>
          <w:sz w:val="19"/>
          <w:szCs w:val="19"/>
          <w:color w:val="auto"/>
        </w:rPr>
      </w:pPr>
    </w:p>
    <w:p>
      <w:pPr>
        <w:ind w:left="1740" w:right="7840"/>
        <w:spacing w:after="0" w:line="328" w:lineRule="auto"/>
        <w:rPr>
          <w:rFonts w:ascii="Arial" w:cs="Arial" w:eastAsia="Arial" w:hAnsi="Arial"/>
          <w:sz w:val="19"/>
          <w:szCs w:val="19"/>
          <w:color w:val="auto"/>
        </w:rPr>
      </w:pPr>
      <w:r>
        <w:rPr>
          <w:rFonts w:ascii="Arial" w:cs="Arial" w:eastAsia="Arial" w:hAnsi="Arial"/>
          <w:sz w:val="19"/>
          <w:szCs w:val="19"/>
          <w:u w:val="single" w:color="auto"/>
          <w:color w:val="auto"/>
        </w:rPr>
        <w:t>555 Turnpike Street Canton, Mass. 02021</w:t>
      </w:r>
    </w:p>
    <w:p>
      <w:pPr>
        <w:spacing w:after="0" w:line="13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u w:val="single" w:color="auto"/>
          <w:color w:val="auto"/>
        </w:rPr>
        <w:t>Attn: Robert S. Molloy, General Counsel</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left="1740" w:hanging="868"/>
        <w:spacing w:after="0"/>
        <w:tabs>
          <w:tab w:leader="none" w:pos="17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If to Executive:</w:t>
      </w:r>
    </w:p>
    <w:p>
      <w:pPr>
        <w:spacing w:after="0" w:line="233"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auto"/>
        </w:rPr>
        <w:t>David A. Levin</w:t>
      </w:r>
    </w:p>
    <w:p>
      <w:pPr>
        <w:ind w:left="1740"/>
        <w:spacing w:after="0" w:line="238" w:lineRule="auto"/>
        <w:rPr>
          <w:sz w:val="20"/>
          <w:szCs w:val="20"/>
          <w:color w:val="auto"/>
        </w:rPr>
      </w:pPr>
      <w:r>
        <w:rPr>
          <w:rFonts w:ascii="Arial" w:cs="Arial" w:eastAsia="Arial" w:hAnsi="Arial"/>
          <w:sz w:val="22"/>
          <w:szCs w:val="22"/>
          <w:u w:val="single" w:color="auto"/>
          <w:color w:val="auto"/>
        </w:rPr>
        <w:t>150 Monandnock Road</w:t>
      </w:r>
    </w:p>
    <w:p>
      <w:pPr>
        <w:ind w:left="1740"/>
        <w:spacing w:after="0"/>
        <w:rPr>
          <w:sz w:val="20"/>
          <w:szCs w:val="20"/>
          <w:color w:val="auto"/>
        </w:rPr>
      </w:pPr>
      <w:r>
        <w:rPr>
          <w:rFonts w:ascii="Arial" w:cs="Arial" w:eastAsia="Arial" w:hAnsi="Arial"/>
          <w:sz w:val="22"/>
          <w:szCs w:val="22"/>
          <w:u w:val="single" w:color="auto"/>
          <w:color w:val="auto"/>
        </w:rPr>
        <w:t>Chestnut Hill, Mass. 02467</w:t>
      </w:r>
    </w:p>
    <w:p>
      <w:pPr>
        <w:spacing w:after="0" w:line="18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Any party hereto may from time to time by notice in writing served as set forth above designate a different address or a different or additional person to which all such notices or communications thereafter are to be given.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0" w:name="page11"/>
    <w:bookmarkEnd w:id="10"/>
    <w:p>
      <w:pPr>
        <w:ind w:firstLine="877"/>
        <w:spacing w:after="0" w:line="251" w:lineRule="auto"/>
        <w:rPr>
          <w:sz w:val="20"/>
          <w:szCs w:val="20"/>
          <w:color w:val="auto"/>
        </w:rPr>
      </w:pPr>
      <w:r>
        <w:rPr>
          <w:rFonts w:ascii="Arial" w:cs="Arial" w:eastAsia="Arial" w:hAnsi="Arial"/>
          <w:sz w:val="22"/>
          <w:szCs w:val="22"/>
          <w:color w:val="auto"/>
        </w:rPr>
        <w:t>IN WITNESS WHEREOF, and intending to be legally bound hereby, the Parties hereby execute this Agreement as of the first date set forth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4300" w:val="left"/>
        </w:tabs>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u w:val="single" w:color="auto"/>
          <w:color w:val="auto"/>
        </w:rPr>
        <w:t>March 22, 2018</w:t>
      </w:r>
      <w:r>
        <w:rPr>
          <w:sz w:val="20"/>
          <w:szCs w:val="20"/>
          <w:color w:val="auto"/>
        </w:rPr>
        <w:tab/>
      </w:r>
      <w:r>
        <w:rPr>
          <w:rFonts w:ascii="Arial" w:cs="Arial" w:eastAsia="Arial" w:hAnsi="Arial"/>
          <w:sz w:val="19"/>
          <w:szCs w:val="19"/>
          <w:color w:val="auto"/>
        </w:rPr>
        <w:t>Destination Group XL, Inc.</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:_/s/ Willem Mesdag</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Its: Director and Chairman,</w:t>
      </w:r>
    </w:p>
    <w:p>
      <w:pPr>
        <w:spacing w:after="0" w:line="9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80" w:type="dxa"/>
            <w:vAlign w:val="bottom"/>
            <w:gridSpan w:val="3"/>
          </w:tcPr>
          <w:p>
            <w:pPr>
              <w:spacing w:after="0"/>
              <w:rPr>
                <w:sz w:val="20"/>
                <w:szCs w:val="20"/>
                <w:color w:val="auto"/>
              </w:rPr>
            </w:pPr>
            <w:r>
              <w:rPr>
                <w:rFonts w:ascii="Arial" w:cs="Arial" w:eastAsia="Arial" w:hAnsi="Arial"/>
                <w:sz w:val="22"/>
                <w:szCs w:val="22"/>
                <w:color w:val="auto"/>
              </w:rPr>
              <w:t>DATED: March 22, 2018</w:t>
            </w:r>
          </w:p>
        </w:tc>
        <w:tc>
          <w:tcPr>
            <w:tcW w:w="3060" w:type="dxa"/>
            <w:vAlign w:val="bottom"/>
            <w:gridSpan w:val="2"/>
          </w:tcPr>
          <w:p>
            <w:pPr>
              <w:ind w:left="1040"/>
              <w:spacing w:after="0"/>
              <w:rPr>
                <w:sz w:val="20"/>
                <w:szCs w:val="20"/>
                <w:color w:val="auto"/>
              </w:rPr>
            </w:pPr>
            <w:r>
              <w:rPr>
                <w:rFonts w:ascii="Arial" w:cs="Arial" w:eastAsia="Arial" w:hAnsi="Arial"/>
                <w:sz w:val="22"/>
                <w:szCs w:val="22"/>
                <w:color w:val="auto"/>
                <w:w w:val="95"/>
              </w:rPr>
              <w:t>By: /s/ David A. Levin</w:t>
            </w:r>
          </w:p>
        </w:tc>
      </w:tr>
      <w:tr>
        <w:trPr>
          <w:trHeight w:val="274"/>
        </w:trPr>
        <w:tc>
          <w:tcPr>
            <w:tcW w:w="880" w:type="dxa"/>
            <w:vAlign w:val="bottom"/>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David A. Levin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i w:val="1"/>
          <w:iCs w:val="1"/>
          <w:color w:val="auto"/>
        </w:rPr>
        <w:t>EXHIBIT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RELEASE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0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9"/>
          <w:szCs w:val="19"/>
          <w:color w:val="auto"/>
        </w:rPr>
        <w:t>David A. Levin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between the Executive and the Company dated as of November 5, 2009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as modified by the Agreement dated March 20, 2018 between the Executive and the Company (the “</w:t>
      </w:r>
      <w:r>
        <w:rPr>
          <w:rFonts w:ascii="Arial" w:cs="Arial" w:eastAsia="Arial" w:hAnsi="Arial"/>
          <w:sz w:val="19"/>
          <w:szCs w:val="19"/>
          <w:u w:val="single" w:color="auto"/>
          <w:color w:val="auto"/>
        </w:rPr>
        <w:t>Agreement</w:t>
      </w:r>
      <w:r>
        <w:rPr>
          <w:rFonts w:ascii="Arial" w:cs="Arial" w:eastAsia="Arial" w:hAnsi="Arial"/>
          <w:sz w:val="19"/>
          <w:szCs w:val="19"/>
          <w:color w:val="auto"/>
        </w:rPr>
        <w:t>”), to which this release is attached as Exhibit A,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that may have existed on or prior to the date hereof. Notwithstanding anything in this paragraph to the contrary, this General Release of Claims shall not apply to (i) any rights to receive any payments pursuant to the Agreement or paragraph 7 of the Employment Agreement (after giving effect to the Agreement), or any accrued but unpaid benefits under any employee benefit plan maintained by the Company</w:t>
      </w:r>
    </w:p>
    <w:p>
      <w:pPr>
        <w:spacing w:after="0" w:line="19" w:lineRule="exact"/>
        <w:rPr>
          <w:sz w:val="20"/>
          <w:szCs w:val="20"/>
          <w:color w:val="auto"/>
        </w:rPr>
      </w:pPr>
    </w:p>
    <w:p>
      <w:pPr>
        <w:jc w:val="both"/>
        <w:ind w:firstLine="8"/>
        <w:spacing w:after="0" w:line="272" w:lineRule="auto"/>
        <w:tabs>
          <w:tab w:leader="none" w:pos="323"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the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6" w:right="239" w:bottom="1440" w:gutter="0" w:footer="0" w:header="0"/>
        </w:sectPr>
      </w:pPr>
    </w:p>
    <w:bookmarkStart w:id="12" w:name="page13"/>
    <w:bookmarkEnd w:id="12"/>
    <w:p>
      <w:pPr>
        <w:jc w:val="both"/>
        <w:ind w:firstLine="877"/>
        <w:spacing w:after="0" w:line="279" w:lineRule="auto"/>
        <w:rPr>
          <w:sz w:val="20"/>
          <w:szCs w:val="20"/>
          <w:color w:val="auto"/>
        </w:rPr>
      </w:pPr>
      <w:r>
        <w:rPr>
          <w:rFonts w:ascii="Arial" w:cs="Arial" w:eastAsia="Arial" w:hAnsi="Arial"/>
          <w:sz w:val="19"/>
          <w:szCs w:val="19"/>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 relinquished his right to commence a Proceeding to challenge whether Executive knowingly and voluntarily waived his rights under ADEA.</w:t>
      </w:r>
    </w:p>
    <w:p>
      <w:pPr>
        <w:spacing w:after="0" w:line="151"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86" w:lineRule="exact"/>
        <w:rPr>
          <w:sz w:val="20"/>
          <w:szCs w:val="20"/>
          <w:color w:val="auto"/>
        </w:rPr>
      </w:pPr>
    </w:p>
    <w:p>
      <w:pPr>
        <w:jc w:val="both"/>
        <w:ind w:right="20" w:firstLine="877"/>
        <w:spacing w:after="0" w:line="328" w:lineRule="auto"/>
        <w:rPr>
          <w:sz w:val="20"/>
          <w:szCs w:val="20"/>
          <w:color w:val="auto"/>
        </w:rPr>
      </w:pPr>
      <w:r>
        <w:rPr>
          <w:rFonts w:ascii="Arial" w:cs="Arial" w:eastAsia="Arial" w:hAnsi="Arial"/>
          <w:sz w:val="19"/>
          <w:szCs w:val="19"/>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321" w:lineRule="exact"/>
        <w:rPr>
          <w:sz w:val="20"/>
          <w:szCs w:val="20"/>
          <w:color w:val="auto"/>
        </w:rPr>
      </w:pPr>
    </w:p>
    <w:p>
      <w:pPr>
        <w:ind w:left="5720"/>
        <w:spacing w:after="0"/>
        <w:rPr>
          <w:sz w:val="20"/>
          <w:szCs w:val="20"/>
          <w:color w:val="auto"/>
        </w:rPr>
      </w:pPr>
      <w:r>
        <w:rPr>
          <w:rFonts w:ascii="Arial" w:cs="Arial" w:eastAsia="Arial" w:hAnsi="Arial"/>
          <w:sz w:val="22"/>
          <w:szCs w:val="22"/>
          <w:u w:val="single" w:color="auto"/>
          <w:color w:val="auto"/>
        </w:rPr>
        <w:t>/s/ David A. Levin</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David A. Levin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i w:val="1"/>
          <w:iCs w:val="1"/>
          <w:color w:val="auto"/>
        </w:rPr>
        <w:t>EXHIBIT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FORM OF “BRING DOWN” RELEASE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GENERAL RELEASE OF CLAIMS</w:t>
      </w:r>
    </w:p>
    <w:p>
      <w:pPr>
        <w:spacing w:after="0" w:line="206" w:lineRule="exact"/>
        <w:rPr>
          <w:sz w:val="20"/>
          <w:szCs w:val="20"/>
          <w:color w:val="auto"/>
        </w:rPr>
      </w:pPr>
    </w:p>
    <w:p>
      <w:pPr>
        <w:jc w:val="both"/>
        <w:ind w:firstLine="877"/>
        <w:spacing w:after="0" w:line="267" w:lineRule="auto"/>
        <w:rPr>
          <w:sz w:val="20"/>
          <w:szCs w:val="20"/>
          <w:color w:val="auto"/>
        </w:rPr>
      </w:pPr>
      <w:r>
        <w:rPr>
          <w:rFonts w:ascii="Arial" w:cs="Arial" w:eastAsia="Arial" w:hAnsi="Arial"/>
          <w:sz w:val="19"/>
          <w:szCs w:val="19"/>
          <w:color w:val="auto"/>
        </w:rPr>
        <w:t>David A. Levin (“</w:t>
      </w:r>
      <w:r>
        <w:rPr>
          <w:rFonts w:ascii="Arial" w:cs="Arial" w:eastAsia="Arial" w:hAnsi="Arial"/>
          <w:sz w:val="19"/>
          <w:szCs w:val="19"/>
          <w:u w:val="single" w:color="auto"/>
          <w:color w:val="auto"/>
        </w:rPr>
        <w:t>Executive</w:t>
      </w:r>
      <w:r>
        <w:rPr>
          <w:rFonts w:ascii="Arial" w:cs="Arial" w:eastAsia="Arial" w:hAnsi="Arial"/>
          <w:sz w:val="19"/>
          <w:szCs w:val="19"/>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between the Executive and the Company dated as of November 5, 2009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as modified by the Agreement dated March 20, 2018 between the Executive and the Company (the “</w:t>
      </w:r>
      <w:r>
        <w:rPr>
          <w:rFonts w:ascii="Arial" w:cs="Arial" w:eastAsia="Arial" w:hAnsi="Arial"/>
          <w:sz w:val="19"/>
          <w:szCs w:val="19"/>
          <w:u w:val="single" w:color="auto"/>
          <w:color w:val="auto"/>
        </w:rPr>
        <w:t>Agreement</w:t>
      </w:r>
      <w:r>
        <w:rPr>
          <w:rFonts w:ascii="Arial" w:cs="Arial" w:eastAsia="Arial" w:hAnsi="Arial"/>
          <w:sz w:val="19"/>
          <w:szCs w:val="19"/>
          <w:color w:val="auto"/>
        </w:rPr>
        <w:t>”), to which this release is attached as Exhibit A, does hereby release and forever discharge Destination XL Group, Inc. (the “</w:t>
      </w:r>
      <w:r>
        <w:rPr>
          <w:rFonts w:ascii="Arial" w:cs="Arial" w:eastAsia="Arial" w:hAnsi="Arial"/>
          <w:sz w:val="19"/>
          <w:szCs w:val="19"/>
          <w:u w:val="single" w:color="auto"/>
          <w:color w:val="auto"/>
        </w:rPr>
        <w:t>Company</w:t>
      </w:r>
      <w:r>
        <w:rPr>
          <w:rFonts w:ascii="Arial" w:cs="Arial" w:eastAsia="Arial" w:hAnsi="Arial"/>
          <w:sz w:val="19"/>
          <w:szCs w:val="19"/>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that may have existed on or prior to the date hereof. Notwithstanding anything in this paragraph to the contrary, this General Release of Claims shall not apply to (i) any rights to receive any payments pursuant to the Agreement or paragraph 7 of the Employment Agreement (after giving effect to the Agreement), or any accrued but unpaid benefits under any employee benefit plan maintained by the Company</w:t>
      </w:r>
    </w:p>
    <w:p>
      <w:pPr>
        <w:spacing w:after="0" w:line="19" w:lineRule="exact"/>
        <w:rPr>
          <w:sz w:val="20"/>
          <w:szCs w:val="20"/>
          <w:color w:val="auto"/>
        </w:rPr>
      </w:pPr>
    </w:p>
    <w:p>
      <w:pPr>
        <w:jc w:val="both"/>
        <w:ind w:firstLine="8"/>
        <w:spacing w:after="0" w:line="272" w:lineRule="auto"/>
        <w:tabs>
          <w:tab w:leader="none" w:pos="323" w:val="left"/>
        </w:tabs>
        <w:numPr>
          <w:ilvl w:val="0"/>
          <w:numId w:val="7"/>
        </w:numPr>
        <w:rPr>
          <w:rFonts w:ascii="Arial" w:cs="Arial" w:eastAsia="Arial" w:hAnsi="Arial"/>
          <w:sz w:val="19"/>
          <w:szCs w:val="19"/>
          <w:color w:val="auto"/>
        </w:rPr>
      </w:pPr>
      <w:r>
        <w:rPr>
          <w:rFonts w:ascii="Arial" w:cs="Arial" w:eastAsia="Arial" w:hAnsi="Arial"/>
          <w:sz w:val="19"/>
          <w:szCs w:val="19"/>
          <w:color w:val="auto"/>
        </w:rPr>
        <w:t>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the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4" w:name="page15"/>
    <w:bookmarkEnd w:id="14"/>
    <w:p>
      <w:pPr>
        <w:jc w:val="both"/>
        <w:ind w:firstLine="877"/>
        <w:spacing w:after="0" w:line="279" w:lineRule="auto"/>
        <w:rPr>
          <w:sz w:val="20"/>
          <w:szCs w:val="20"/>
          <w:color w:val="auto"/>
        </w:rPr>
      </w:pPr>
      <w:r>
        <w:rPr>
          <w:rFonts w:ascii="Arial" w:cs="Arial" w:eastAsia="Arial" w:hAnsi="Arial"/>
          <w:sz w:val="19"/>
          <w:szCs w:val="19"/>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9"/>
          <w:szCs w:val="19"/>
          <w:u w:val="single" w:color="auto"/>
          <w:color w:val="auto"/>
        </w:rPr>
        <w:t>Proceeding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Executive shall not have relinquished his right to commence a Proceeding to challenge whether Executive knowingly and voluntarily waived his rights under ADEA.</w:t>
      </w:r>
    </w:p>
    <w:p>
      <w:pPr>
        <w:spacing w:after="0" w:line="151"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86" w:lineRule="exact"/>
        <w:rPr>
          <w:sz w:val="20"/>
          <w:szCs w:val="20"/>
          <w:color w:val="auto"/>
        </w:rPr>
      </w:pPr>
    </w:p>
    <w:p>
      <w:pPr>
        <w:jc w:val="both"/>
        <w:ind w:right="20" w:firstLine="877"/>
        <w:spacing w:after="0" w:line="328" w:lineRule="auto"/>
        <w:rPr>
          <w:sz w:val="20"/>
          <w:szCs w:val="20"/>
          <w:color w:val="auto"/>
        </w:rPr>
      </w:pPr>
      <w:r>
        <w:rPr>
          <w:rFonts w:ascii="Arial" w:cs="Arial" w:eastAsia="Arial" w:hAnsi="Arial"/>
          <w:sz w:val="19"/>
          <w:szCs w:val="19"/>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364"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David A. Levin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50"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color w:val="auto"/>
        </w:rPr>
        <w:t>Exh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Announces CEO Retirement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 xml:space="preserve">CANTON, Mass., March 23, 2018 – </w:t>
      </w:r>
      <w:r>
        <w:rPr>
          <w:rFonts w:ascii="Arial" w:cs="Arial" w:eastAsia="Arial" w:hAnsi="Arial"/>
          <w:sz w:val="18"/>
          <w:szCs w:val="18"/>
          <w:u w:val="single" w:color="auto"/>
          <w:color w:val="0000FF"/>
        </w:rPr>
        <w:t>Destination XL Group, Inc.</w:t>
      </w:r>
      <w:r>
        <w:rPr>
          <w:rFonts w:ascii="Arial" w:cs="Arial" w:eastAsia="Arial" w:hAnsi="Arial"/>
          <w:sz w:val="18"/>
          <w:szCs w:val="18"/>
          <w:color w:val="auto"/>
        </w:rPr>
        <w:t xml:space="preserve"> (NASDAQ: DXLG), the largest omni-channel specialty retailer of big and tall men's apparel, today announced that David Levin, 66, President and Chief Executive Officer, has informed the Board of Directors of his plan to retire as President, CEO and Director of Destination XL Group, Inc. by the end of 2018. The Board has engaged Heidrick &amp; Struggles International, Inc. to lead a search process to identify a successor for Mr. Levin, which is expected to be completed by the end of the current fiscal year. The search will include a review of both external candidates and internal candidates from the Company’s deep bench of senior executives. Mr. Levin will also be prepared to provide transition support and assist on requested projects following his retirement as CEO.</w:t>
      </w:r>
    </w:p>
    <w:p>
      <w:pPr>
        <w:spacing w:after="0" w:line="8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Levin stated, "It has been an honor to lead this great Company over the last 18 years, and I am extremely proud that we have successfully transformed the Company from a dated brick-and-mortar and catalog business into a fresh and dynamic omni-channel retailer serving XL guys around the world. I want to thank our Board of Directors for supporting me and my management team throughout this transformation and for having the vision to invest in our dream.”</w:t>
      </w:r>
    </w:p>
    <w:p>
      <w:pPr>
        <w:spacing w:after="0" w:line="124" w:lineRule="exact"/>
        <w:rPr>
          <w:sz w:val="20"/>
          <w:szCs w:val="20"/>
          <w:color w:val="auto"/>
        </w:rPr>
      </w:pPr>
    </w:p>
    <w:p>
      <w:pPr>
        <w:ind w:right="100"/>
        <w:spacing w:after="0" w:line="316" w:lineRule="auto"/>
        <w:rPr>
          <w:sz w:val="20"/>
          <w:szCs w:val="20"/>
          <w:color w:val="auto"/>
        </w:rPr>
      </w:pPr>
      <w:r>
        <w:rPr>
          <w:rFonts w:ascii="Arial" w:cs="Arial" w:eastAsia="Arial" w:hAnsi="Arial"/>
          <w:sz w:val="18"/>
          <w:szCs w:val="18"/>
          <w:color w:val="auto"/>
        </w:rPr>
        <w:t>“I’m so proud of all that our team has accomplished, both at corporate and in the field. It has truly been an amazing journey and I believe that now is the right time for a new CEO to take the helm, and lead DXLG in its next exciting phase of growth,” Levin further stated.</w:t>
      </w:r>
    </w:p>
    <w:p>
      <w:pPr>
        <w:spacing w:after="0" w:line="63" w:lineRule="exact"/>
        <w:rPr>
          <w:sz w:val="20"/>
          <w:szCs w:val="20"/>
          <w:color w:val="auto"/>
        </w:rPr>
      </w:pPr>
    </w:p>
    <w:p>
      <w:pPr>
        <w:ind w:right="400"/>
        <w:spacing w:after="0" w:line="256" w:lineRule="auto"/>
        <w:rPr>
          <w:sz w:val="20"/>
          <w:szCs w:val="20"/>
          <w:color w:val="auto"/>
        </w:rPr>
      </w:pPr>
      <w:r>
        <w:rPr>
          <w:rFonts w:ascii="Arial" w:cs="Arial" w:eastAsia="Arial" w:hAnsi="Arial"/>
          <w:sz w:val="19"/>
          <w:szCs w:val="19"/>
          <w:color w:val="auto"/>
        </w:rPr>
        <w:t>"On behalf of the entire Board, I would like to thank David for his invaluable leadership and significant contributions to transforming Destination XL Group," said Seymour Holtzman, Executive Chairman of the Board. “Under David’s leadership, DXL has evolved into a lifestyle brand widely recognized for big and tall guys everywhere and is the leading specialty apparel retailer in the sector. Our leadership team has never been stronger and we look forward to a seamless CEO transition.”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1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 xml:space="preserve">Destination XL Group, Inc. is the largest omni-channel specialty retailer of big and tall men's apparel with 342 store locations throughout the United States, London, England and Toronto, Canada, and significant e-commerce distribution. The retailer operates under the following brands: Destination XL®, DXL Men’s Apparel®, Casual Male XL, Rochester Clothing, ShoesXL and LivingXL. The Company also operates an e-commerce site at </w:t>
      </w:r>
      <w:r>
        <w:rPr>
          <w:rFonts w:ascii="Arial" w:cs="Arial" w:eastAsia="Arial" w:hAnsi="Arial"/>
          <w:sz w:val="18"/>
          <w:szCs w:val="18"/>
          <w:u w:val="single" w:color="auto"/>
          <w:color w:val="auto"/>
        </w:rPr>
        <w:t>www.destinationxl.com</w:t>
      </w:r>
      <w:r>
        <w:rPr>
          <w:rFonts w:ascii="Arial" w:cs="Arial" w:eastAsia="Arial" w:hAnsi="Arial"/>
          <w:sz w:val="18"/>
          <w:szCs w:val="18"/>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8"/>
          <w:szCs w:val="18"/>
          <w:u w:val="single" w:color="auto"/>
          <w:color w:val="auto"/>
        </w:rPr>
        <w:t>http://investor.destinationxl.com</w:t>
      </w:r>
      <w:r>
        <w:rPr>
          <w:rFonts w:ascii="Arial" w:cs="Arial" w:eastAsia="Arial" w:hAnsi="Arial"/>
          <w:sz w:val="18"/>
          <w:szCs w:val="18"/>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35" w:lineRule="exact"/>
        <w:rPr>
          <w:sz w:val="20"/>
          <w:szCs w:val="20"/>
          <w:color w:val="auto"/>
        </w:rPr>
      </w:pPr>
    </w:p>
    <w:p>
      <w:pPr>
        <w:ind w:right="420"/>
        <w:spacing w:after="0" w:line="291"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ability to replace its Chief Executive Officer by the end of 2018. The Company encourages readers of forward-looking information concerning the Company to refer to its filings with the Securities and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color w:val="auto"/>
        </w:rPr>
        <w:t>Exh 99.1</w:t>
      </w:r>
    </w:p>
    <w:p>
      <w:pPr>
        <w:spacing w:after="0" w:line="230"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i w:val="1"/>
          <w:iCs w:val="1"/>
          <w:color w:val="auto"/>
        </w:rPr>
        <w:t>Commission, including without limitation, its Annual Report on Form 10-K filed on March 20, 2017,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its ability to forecast sales growth trends and its ability to compete successfully in the United States men’s big and tall apparel market.</w:t>
      </w:r>
    </w:p>
    <w:p>
      <w:pPr>
        <w:spacing w:after="0" w:line="109" w:lineRule="exact"/>
        <w:rPr>
          <w:sz w:val="20"/>
          <w:szCs w:val="20"/>
          <w:color w:val="auto"/>
        </w:rPr>
      </w:pPr>
    </w:p>
    <w:p>
      <w:pPr>
        <w:jc w:val="both"/>
        <w:ind w:right="62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2019-12-28T23:21:36Z</dcterms:created>
  <dcterms:modified xsi:type="dcterms:W3CDTF">2019-12-28T23:21:36Z</dcterms:modified>
</cp:coreProperties>
</file>