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1022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KYEES JOHN E</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VERA BRADLEY,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2208 PRODUCTION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200" w:type="dxa"/>
            <w:vAlign w:val="bottom"/>
          </w:tcPr>
          <w:p>
            <w:pPr>
              <w:spacing w:after="0"/>
              <w:rPr>
                <w:sz w:val="20"/>
                <w:szCs w:val="20"/>
                <w:color w:val="auto"/>
              </w:rPr>
            </w:pPr>
            <w:r>
              <w:rPr>
                <w:rFonts w:ascii="Arial" w:cs="Arial" w:eastAsia="Arial" w:hAnsi="Arial"/>
                <w:sz w:val="18"/>
                <w:szCs w:val="18"/>
                <w:color w:val="0000FF"/>
                <w:w w:val="98"/>
              </w:rPr>
              <w:t>FORT WAYNE</w:t>
            </w:r>
          </w:p>
        </w:tc>
        <w:tc>
          <w:tcPr>
            <w:tcW w:w="920" w:type="dxa"/>
            <w:vAlign w:val="bottom"/>
          </w:tcPr>
          <w:p>
            <w:pPr>
              <w:ind w:left="80"/>
              <w:spacing w:after="0"/>
              <w:rPr>
                <w:sz w:val="20"/>
                <w:szCs w:val="20"/>
                <w:color w:val="auto"/>
              </w:rPr>
            </w:pPr>
            <w:r>
              <w:rPr>
                <w:rFonts w:ascii="Arial" w:cs="Arial" w:eastAsia="Arial" w:hAnsi="Arial"/>
                <w:sz w:val="18"/>
                <w:szCs w:val="18"/>
                <w:color w:val="0000FF"/>
              </w:rPr>
              <w:t>IN</w:t>
            </w:r>
          </w:p>
        </w:tc>
        <w:tc>
          <w:tcPr>
            <w:tcW w:w="1680" w:type="dxa"/>
            <w:vAlign w:val="bottom"/>
          </w:tcPr>
          <w:p>
            <w:pPr>
              <w:ind w:left="420"/>
              <w:spacing w:after="0"/>
              <w:rPr>
                <w:sz w:val="20"/>
                <w:szCs w:val="20"/>
                <w:color w:val="auto"/>
              </w:rPr>
            </w:pPr>
            <w:r>
              <w:rPr>
                <w:rFonts w:ascii="Arial" w:cs="Arial" w:eastAsia="Arial" w:hAnsi="Arial"/>
                <w:sz w:val="18"/>
                <w:szCs w:val="18"/>
                <w:color w:val="0000FF"/>
              </w:rPr>
              <w:t>46808</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09"/>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292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200" w:type="dxa"/>
            <w:vAlign w:val="bottom"/>
          </w:tcPr>
          <w:p>
            <w:pPr>
              <w:spacing w:after="0"/>
              <w:rPr>
                <w:sz w:val="9"/>
                <w:szCs w:val="9"/>
                <w:color w:val="auto"/>
              </w:rPr>
            </w:pPr>
          </w:p>
        </w:tc>
        <w:tc>
          <w:tcPr>
            <w:tcW w:w="172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67"/>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5"/>
                <w:szCs w:val="5"/>
                <w:color w:val="auto"/>
              </w:rPr>
            </w:pPr>
          </w:p>
        </w:tc>
        <w:tc>
          <w:tcPr>
            <w:tcW w:w="172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720" w:type="dxa"/>
            <w:vAlign w:val="bottom"/>
          </w:tcPr>
          <w:p>
            <w:pPr>
              <w:ind w:left="420"/>
              <w:spacing w:after="0" w:line="127" w:lineRule="exact"/>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line="127"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09/29/2017</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9"/>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r>
        <w:trPr>
          <w:trHeight w:val="189"/>
        </w:trPr>
        <w:tc>
          <w:tcPr>
            <w:tcW w:w="3120" w:type="dxa"/>
            <w:vAlign w:val="bottom"/>
            <w:gridSpan w:val="3"/>
          </w:tcPr>
          <w:p>
            <w:pPr>
              <w:ind w:left="80"/>
              <w:spacing w:after="0" w:line="189" w:lineRule="exact"/>
              <w:rPr>
                <w:sz w:val="20"/>
                <w:szCs w:val="20"/>
                <w:color w:val="auto"/>
              </w:rPr>
            </w:pPr>
            <w:r>
              <w:rPr>
                <w:rFonts w:ascii="Arial" w:cs="Arial" w:eastAsia="Arial" w:hAnsi="Arial"/>
                <w:sz w:val="18"/>
                <w:szCs w:val="18"/>
                <w:color w:val="0000FF"/>
              </w:rPr>
              <w:t>10/03/2017</w:t>
            </w:r>
          </w:p>
        </w:tc>
        <w:tc>
          <w:tcPr>
            <w:tcW w:w="860" w:type="dxa"/>
            <w:vAlign w:val="bottom"/>
          </w:tcPr>
          <w:p>
            <w:pPr>
              <w:spacing w:after="0"/>
              <w:rPr>
                <w:sz w:val="16"/>
                <w:szCs w:val="16"/>
                <w:color w:val="auto"/>
              </w:rPr>
            </w:pP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20" w:type="dxa"/>
            <w:vAlign w:val="bottom"/>
            <w:gridSpan w:val="2"/>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82"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1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440"/>
              <w:spacing w:after="0"/>
              <w:rPr>
                <w:sz w:val="20"/>
                <w:szCs w:val="20"/>
                <w:color w:val="auto"/>
              </w:rPr>
            </w:pPr>
            <w:r>
              <w:rPr>
                <w:rFonts w:ascii="Arial" w:cs="Arial" w:eastAsia="Arial" w:hAnsi="Arial"/>
                <w:sz w:val="18"/>
                <w:szCs w:val="18"/>
                <w:color w:val="0000FF"/>
              </w:rPr>
              <w:t>10,069</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Deferred</w:t>
            </w:r>
          </w:p>
        </w:tc>
        <w:tc>
          <w:tcPr>
            <w:tcW w:w="820" w:type="dxa"/>
            <w:vAlign w:val="bottom"/>
            <w:vMerge w:val="restart"/>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1.9</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80" w:type="dxa"/>
            <w:vAlign w:val="bottom"/>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00"/>
              <w:spacing w:after="0"/>
              <w:rPr>
                <w:sz w:val="20"/>
                <w:szCs w:val="20"/>
                <w:color w:val="auto"/>
              </w:rPr>
            </w:pPr>
            <w:r>
              <w:rPr>
                <w:rFonts w:ascii="Arial" w:cs="Arial" w:eastAsia="Arial" w:hAnsi="Arial"/>
                <w:sz w:val="18"/>
                <w:szCs w:val="18"/>
                <w:color w:val="0000FF"/>
              </w:rPr>
              <w:t>197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vMerge w:val="restart"/>
          </w:tcPr>
          <w:p>
            <w:pPr>
              <w:ind w:left="380"/>
              <w:spacing w:after="0"/>
              <w:rPr>
                <w:sz w:val="20"/>
                <w:szCs w:val="20"/>
                <w:color w:val="auto"/>
              </w:rPr>
            </w:pPr>
            <w:r>
              <w:rPr>
                <w:rFonts w:ascii="Arial" w:cs="Arial" w:eastAsia="Arial" w:hAnsi="Arial"/>
                <w:sz w:val="14"/>
                <w:szCs w:val="14"/>
                <w:color w:val="0000FF"/>
              </w:rPr>
              <w:t>197</w:t>
            </w:r>
          </w:p>
        </w:tc>
        <w:tc>
          <w:tcPr>
            <w:tcW w:w="960" w:type="dxa"/>
            <w:vAlign w:val="bottom"/>
            <w:vMerge w:val="restart"/>
          </w:tcPr>
          <w:p>
            <w:pPr>
              <w:ind w:left="58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r>
              <w:rPr>
                <w:rFonts w:ascii="Arial" w:cs="Arial" w:eastAsia="Arial" w:hAnsi="Arial"/>
                <w:sz w:val="22"/>
                <w:szCs w:val="22"/>
                <w:color w:val="008000"/>
                <w:vertAlign w:val="superscript"/>
              </w:rPr>
              <w:t>(2)</w:t>
            </w:r>
          </w:p>
        </w:tc>
        <w:tc>
          <w:tcPr>
            <w:tcW w:w="82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5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original Form 4 filed on October 3, 2017 incorrectly stated the total number of shares beneficially owned by the Reporting Person. This amendment to the Form 4 is being filed to correct the error.</w:t>
      </w:r>
    </w:p>
    <w:p>
      <w:pPr>
        <w:spacing w:after="0" w:line="64" w:lineRule="exact"/>
        <w:rPr>
          <w:rFonts w:ascii="Arial" w:cs="Arial" w:eastAsia="Arial" w:hAnsi="Arial"/>
          <w:sz w:val="12"/>
          <w:szCs w:val="12"/>
          <w:color w:val="008000"/>
        </w:rPr>
      </w:pPr>
    </w:p>
    <w:p>
      <w:pPr>
        <w:ind w:left="40" w:right="5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original Form 4 filed on October 3, 2017 incorrectly stated the number of deferred stock issued to the Reporting Person pursuant to the Director's elected form of compensation for participation in meetings of the Board of Directors and its committees.</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is the economic equivalent of one share of common stock. The shares of deferred stock become payable in common stock at the expiration of the 3-year deferral period as elected by the Reporting Person under the terms of the Second Amended and Restated Non-Employee Director Compensation Plan (as amended).</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There is no set expiration date. Deferred Stock termination events are set forth in the Second Amended and Restated Non-Employee Director Compensation Plan (as amended).</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10/20/2017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John E. Kyees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0185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49436"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2019-12-23T15:07:10Z</dcterms:created>
  <dcterms:modified xsi:type="dcterms:W3CDTF">2019-12-23T15:07:10Z</dcterms:modified>
</cp:coreProperties>
</file>