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05/07/2018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2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3"/>
          </w:tcPr>
          <w:p>
            <w:pPr>
              <w:jc w:val="center"/>
              <w:ind w:left="573"/>
              <w:spacing w:after="0"/>
              <w:rPr>
                <w:sz w:val="20"/>
                <w:szCs w:val="20"/>
                <w:color w:val="auto"/>
              </w:rPr>
            </w:pPr>
            <w:r>
              <w:rPr>
                <w:rFonts w:ascii="Arial" w:cs="Arial" w:eastAsia="Arial" w:hAnsi="Arial"/>
                <w:sz w:val="18"/>
                <w:szCs w:val="18"/>
                <w:color w:val="0000FF"/>
                <w:w w:val="88"/>
              </w:rPr>
              <w:t>05/04/2018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2,613</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18,056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jc w:val="center"/>
              <w:ind w:right="178"/>
              <w:spacing w:after="0"/>
              <w:rPr>
                <w:sz w:val="20"/>
                <w:szCs w:val="20"/>
                <w:color w:val="auto"/>
              </w:rPr>
            </w:pPr>
            <w:r>
              <w:rPr>
                <w:rFonts w:ascii="Arial" w:cs="Arial" w:eastAsia="Arial" w:hAnsi="Arial"/>
                <w:sz w:val="12"/>
                <w:szCs w:val="12"/>
                <w:b w:val="1"/>
                <w:bCs w:val="1"/>
                <w:color w:val="auto"/>
                <w:w w:val="99"/>
              </w:rPr>
              <w:t>4.</w:t>
            </w:r>
          </w:p>
        </w:tc>
        <w:tc>
          <w:tcPr>
            <w:tcW w:w="28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05/04/2018</w:t>
            </w:r>
          </w:p>
        </w:tc>
        <w:tc>
          <w:tcPr>
            <w:tcW w:w="11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280" w:type="dxa"/>
            <w:vAlign w:val="bottom"/>
          </w:tcPr>
          <w:p>
            <w:pPr>
              <w:ind w:left="120"/>
              <w:spacing w:after="0"/>
              <w:rPr>
                <w:sz w:val="20"/>
                <w:szCs w:val="20"/>
                <w:color w:val="auto"/>
              </w:rPr>
            </w:pPr>
            <w:r>
              <w:rPr>
                <w:rFonts w:ascii="Arial" w:cs="Arial" w:eastAsia="Arial" w:hAnsi="Arial"/>
                <w:sz w:val="14"/>
                <w:szCs w:val="14"/>
                <w:color w:val="0000FF"/>
              </w:rPr>
              <w:t>V</w:t>
            </w:r>
          </w:p>
        </w:tc>
        <w:tc>
          <w:tcPr>
            <w:tcW w:w="920" w:type="dxa"/>
            <w:vAlign w:val="bottom"/>
          </w:tcPr>
          <w:p>
            <w:pPr>
              <w:ind w:left="480"/>
              <w:spacing w:after="0"/>
              <w:rPr>
                <w:sz w:val="20"/>
                <w:szCs w:val="20"/>
                <w:color w:val="auto"/>
              </w:rPr>
            </w:pPr>
            <w:r>
              <w:rPr>
                <w:rFonts w:ascii="Arial" w:cs="Arial" w:eastAsia="Arial" w:hAnsi="Arial"/>
                <w:sz w:val="14"/>
                <w:szCs w:val="14"/>
                <w:color w:val="0000FF"/>
              </w:rPr>
              <w:t>2,613</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05/04/2018</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05/04/2018</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2,613</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May 4, 2018, when the deferred stock vested. Upon vesting, the corresponding shares of common stock were distributed under the terms of the Third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05/07/2018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2019-12-23T15:12:10Z</dcterms:created>
  <dcterms:modified xsi:type="dcterms:W3CDTF">2019-12-23T15:12:10Z</dcterms:modified>
</cp:coreProperties>
</file>