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295910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304800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Destination XL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6997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9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4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6997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93"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2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25065K104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6997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93"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2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79"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314960</wp:posOffset>
            </wp:positionV>
            <wp:extent cx="1466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ind w:left="44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200" w:hanging="204"/>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1200" w:hanging="204"/>
        <w:spacing w:after="0"/>
        <w:tabs>
          <w:tab w:leader="none" w:pos="12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rFonts w:ascii="MS PGothic" w:cs="MS PGothic" w:eastAsia="MS PGothic" w:hAnsi="MS PGothic"/>
          <w:sz w:val="18"/>
          <w:szCs w:val="18"/>
          <w:color w:val="auto"/>
        </w:rPr>
      </w:pPr>
    </w:p>
    <w:p>
      <w:pPr>
        <w:ind w:left="1200" w:hanging="204"/>
        <w:spacing w:after="0"/>
        <w:tabs>
          <w:tab w:leader="none" w:pos="12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40" w:hanging="432"/>
        <w:spacing w:after="0" w:line="308" w:lineRule="auto"/>
        <w:rPr>
          <w:rFonts w:ascii="MS PGothic" w:cs="MS PGothic" w:eastAsia="MS PGothic" w:hAnsi="MS PGothic"/>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7" w:lineRule="exact"/>
        <w:rPr>
          <w:sz w:val="24"/>
          <w:szCs w:val="24"/>
          <w:color w:val="auto"/>
        </w:rPr>
      </w:pPr>
    </w:p>
    <w:p>
      <w:pPr>
        <w:ind w:right="60"/>
        <w:spacing w:after="0" w:line="264"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149860</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193040</wp:posOffset>
            </wp:positionV>
            <wp:extent cx="6997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960"/>
          </w:cols>
          <w:pgMar w:left="440" w:top="517" w:right="49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25065K104</w:t>
      </w:r>
    </w:p>
    <w:p>
      <w:pPr>
        <w:spacing w:after="0" w:line="144" w:lineRule="exact"/>
        <w:rPr>
          <w:sz w:val="20"/>
          <w:szCs w:val="20"/>
          <w:color w:val="auto"/>
        </w:rPr>
      </w:pPr>
    </w:p>
    <w:p>
      <w:pPr>
        <w:ind w:left="260"/>
        <w:spacing w:after="0"/>
        <w:tabs>
          <w:tab w:leader="none" w:pos="5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006590" cy="5377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06590" cy="5377180"/>
                    </a:xfrm>
                    <a:prstGeom prst="rect">
                      <a:avLst/>
                    </a:prstGeom>
                    <a:noFill/>
                  </pic:spPr>
                </pic:pic>
              </a:graphicData>
            </a:graphic>
          </wp:anchor>
        </w:drawing>
      </w:r>
    </w:p>
    <w:p>
      <w:pPr>
        <w:spacing w:after="0" w:line="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I.R.S. Identification Nos. of above persons (entities only).</w:t>
      </w:r>
    </w:p>
    <w:p>
      <w:pPr>
        <w:spacing w:after="0" w:line="231" w:lineRule="exact"/>
        <w:rPr>
          <w:sz w:val="20"/>
          <w:szCs w:val="20"/>
          <w:color w:val="auto"/>
        </w:rPr>
      </w:pPr>
    </w:p>
    <w:tbl>
      <w:tblPr>
        <w:tblLayout w:type="fixed"/>
        <w:tblInd w:w="20" w:type="dxa"/>
        <w:tblCellMar>
          <w:top w:w="0" w:type="dxa"/>
          <w:left w:w="0" w:type="dxa"/>
          <w:bottom w:w="0" w:type="dxa"/>
          <w:right w:w="0" w:type="dxa"/>
        </w:tblCellMar>
      </w:tblPr>
      <w:tr>
        <w:trPr>
          <w:trHeight w:val="276"/>
        </w:trPr>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58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RBC Global Asset Management (U.S.) Inc.</w:t>
            </w:r>
          </w:p>
        </w:tc>
        <w:tc>
          <w:tcPr>
            <w:tcW w:w="0" w:type="dxa"/>
            <w:vAlign w:val="bottom"/>
          </w:tcPr>
          <w:p>
            <w:pPr>
              <w:spacing w:after="0"/>
              <w:rPr>
                <w:sz w:val="1"/>
                <w:szCs w:val="1"/>
                <w:color w:val="auto"/>
              </w:rPr>
            </w:pPr>
          </w:p>
        </w:tc>
      </w:tr>
      <w:tr>
        <w:trPr>
          <w:trHeight w:val="164"/>
        </w:trPr>
        <w:tc>
          <w:tcPr>
            <w:tcW w:w="38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60" w:type="dxa"/>
            <w:vAlign w:val="bottom"/>
          </w:tcPr>
          <w:p>
            <w:pPr>
              <w:spacing w:after="0"/>
              <w:rPr>
                <w:sz w:val="14"/>
                <w:szCs w:val="14"/>
                <w:color w:val="auto"/>
              </w:rPr>
            </w:pPr>
          </w:p>
        </w:tc>
        <w:tc>
          <w:tcPr>
            <w:tcW w:w="10580" w:type="dxa"/>
            <w:vAlign w:val="bottom"/>
            <w:gridSpan w:val="4"/>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20" w:type="dxa"/>
            <w:vAlign w:val="bottom"/>
            <w:gridSpan w:val="2"/>
          </w:tcPr>
          <w:p>
            <w:pPr>
              <w:ind w:left="140"/>
              <w:spacing w:after="0"/>
              <w:rPr>
                <w:sz w:val="20"/>
                <w:szCs w:val="20"/>
                <w:color w:val="auto"/>
              </w:rPr>
            </w:pPr>
            <w:r>
              <w:rPr>
                <w:rFonts w:ascii="Arial" w:cs="Arial" w:eastAsia="Arial" w:hAnsi="Arial"/>
                <w:sz w:val="18"/>
                <w:szCs w:val="18"/>
                <w:color w:val="auto"/>
              </w:rPr>
              <w:t>(b)</w:t>
            </w:r>
          </w:p>
        </w:tc>
        <w:tc>
          <w:tcPr>
            <w:tcW w:w="942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spacing w:after="0"/>
              <w:rPr>
                <w:sz w:val="20"/>
                <w:szCs w:val="20"/>
                <w:color w:val="auto"/>
              </w:rPr>
            </w:pPr>
          </w:p>
        </w:tc>
        <w:tc>
          <w:tcPr>
            <w:tcW w:w="94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1160" w:type="dxa"/>
            <w:vAlign w:val="bottom"/>
            <w:gridSpan w:val="3"/>
          </w:tcPr>
          <w:p>
            <w:pPr>
              <w:ind w:left="80"/>
              <w:spacing w:after="0"/>
              <w:rPr>
                <w:sz w:val="20"/>
                <w:szCs w:val="20"/>
                <w:color w:val="auto"/>
              </w:rPr>
            </w:pPr>
            <w:r>
              <w:rPr>
                <w:rFonts w:ascii="Arial" w:cs="Arial" w:eastAsia="Arial" w:hAnsi="Arial"/>
                <w:sz w:val="18"/>
                <w:szCs w:val="18"/>
                <w:color w:val="auto"/>
                <w:w w:val="91"/>
              </w:rPr>
              <w:t>SEC Use Only</w:t>
            </w:r>
          </w:p>
        </w:tc>
        <w:tc>
          <w:tcPr>
            <w:tcW w:w="9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58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Minnesota</w:t>
            </w:r>
          </w:p>
        </w:tc>
        <w:tc>
          <w:tcPr>
            <w:tcW w:w="9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c>
          <w:tcPr>
            <w:tcW w:w="3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942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4"/>
        </w:trPr>
        <w:tc>
          <w:tcPr>
            <w:tcW w:w="1180" w:type="dxa"/>
            <w:vAlign w:val="bottom"/>
            <w:tcBorders>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2"/>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8"/>
        </w:trPr>
        <w:tc>
          <w:tcPr>
            <w:tcW w:w="1180" w:type="dxa"/>
            <w:vAlign w:val="bottom"/>
            <w:tcBorders>
              <w:right w:val="single" w:sz="8" w:color="auto"/>
            </w:tcBorders>
            <w:gridSpan w:val="3"/>
            <w:vMerge w:val="continue"/>
          </w:tcPr>
          <w:p>
            <w:pPr>
              <w:spacing w:after="0"/>
              <w:rPr>
                <w:sz w:val="4"/>
                <w:szCs w:val="4"/>
                <w:color w:val="auto"/>
              </w:rPr>
            </w:pPr>
          </w:p>
        </w:tc>
        <w:tc>
          <w:tcPr>
            <w:tcW w:w="34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4"/>
                <w:szCs w:val="4"/>
                <w:color w:val="auto"/>
              </w:rPr>
            </w:pPr>
          </w:p>
        </w:tc>
        <w:tc>
          <w:tcPr>
            <w:tcW w:w="942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380" w:type="dxa"/>
            <w:vAlign w:val="bottom"/>
          </w:tcPr>
          <w:p>
            <w:pPr>
              <w:spacing w:after="0"/>
              <w:rPr>
                <w:sz w:val="15"/>
                <w:szCs w:val="15"/>
                <w:color w:val="auto"/>
              </w:rPr>
            </w:pPr>
          </w:p>
        </w:tc>
        <w:tc>
          <w:tcPr>
            <w:tcW w:w="800" w:type="dxa"/>
            <w:vAlign w:val="bottom"/>
            <w:tcBorders>
              <w:right w:val="single" w:sz="8" w:color="auto"/>
            </w:tcBorders>
            <w:gridSpan w:val="2"/>
            <w:vMerge w:val="restart"/>
          </w:tcPr>
          <w:p>
            <w:pPr>
              <w:jc w:val="center"/>
              <w:ind w:right="144"/>
              <w:spacing w:after="0"/>
              <w:rPr>
                <w:sz w:val="20"/>
                <w:szCs w:val="20"/>
                <w:color w:val="auto"/>
              </w:rPr>
            </w:pPr>
            <w:r>
              <w:rPr>
                <w:rFonts w:ascii="Arial" w:cs="Arial" w:eastAsia="Arial" w:hAnsi="Arial"/>
                <w:sz w:val="18"/>
                <w:szCs w:val="18"/>
                <w:color w:val="auto"/>
                <w:w w:val="84"/>
              </w:rPr>
              <w:t>Shares</w:t>
            </w:r>
          </w:p>
        </w:tc>
        <w:tc>
          <w:tcPr>
            <w:tcW w:w="340" w:type="dxa"/>
            <w:vAlign w:val="bottom"/>
            <w:tcBorders>
              <w:right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9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380" w:type="dxa"/>
            <w:vAlign w:val="bottom"/>
          </w:tcPr>
          <w:p>
            <w:pPr>
              <w:spacing w:after="0"/>
              <w:rPr>
                <w:sz w:val="3"/>
                <w:szCs w:val="3"/>
                <w:color w:val="auto"/>
              </w:rPr>
            </w:pPr>
          </w:p>
        </w:tc>
        <w:tc>
          <w:tcPr>
            <w:tcW w:w="800" w:type="dxa"/>
            <w:vAlign w:val="bottom"/>
            <w:tcBorders>
              <w:right w:val="single" w:sz="8" w:color="auto"/>
            </w:tcBorders>
            <w:gridSpan w:val="2"/>
            <w:vMerge w:val="continue"/>
          </w:tcPr>
          <w:p>
            <w:pPr>
              <w:spacing w:after="0"/>
              <w:rPr>
                <w:sz w:val="3"/>
                <w:szCs w:val="3"/>
                <w:color w:val="auto"/>
              </w:rPr>
            </w:pPr>
          </w:p>
        </w:tc>
        <w:tc>
          <w:tcPr>
            <w:tcW w:w="34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18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Beneficially</w:t>
            </w:r>
          </w:p>
        </w:tc>
        <w:tc>
          <w:tcPr>
            <w:tcW w:w="3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420" w:type="dxa"/>
            <w:vAlign w:val="bottom"/>
            <w:vMerge w:val="restart"/>
          </w:tcPr>
          <w:p>
            <w:pPr>
              <w:ind w:left="20"/>
              <w:spacing w:after="0"/>
              <w:rPr>
                <w:sz w:val="20"/>
                <w:szCs w:val="20"/>
                <w:color w:val="auto"/>
              </w:rPr>
            </w:pPr>
            <w:r>
              <w:rPr>
                <w:rFonts w:ascii="Arial" w:cs="Arial" w:eastAsia="Arial" w:hAnsi="Arial"/>
                <w:sz w:val="22"/>
                <w:szCs w:val="22"/>
                <w:color w:val="auto"/>
              </w:rPr>
              <w:t>1,130,165</w:t>
            </w:r>
          </w:p>
        </w:tc>
        <w:tc>
          <w:tcPr>
            <w:tcW w:w="0" w:type="dxa"/>
            <w:vAlign w:val="bottom"/>
          </w:tcPr>
          <w:p>
            <w:pPr>
              <w:spacing w:after="0"/>
              <w:rPr>
                <w:sz w:val="1"/>
                <w:szCs w:val="1"/>
                <w:color w:val="auto"/>
              </w:rPr>
            </w:pPr>
          </w:p>
        </w:tc>
      </w:tr>
      <w:tr>
        <w:trPr>
          <w:trHeight w:val="230"/>
        </w:trPr>
        <w:tc>
          <w:tcPr>
            <w:tcW w:w="118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1"/>
              </w:rPr>
              <w:t>Owned by</w:t>
            </w:r>
          </w:p>
        </w:tc>
        <w:tc>
          <w:tcPr>
            <w:tcW w:w="34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Borders>
              <w:right w:val="single" w:sz="8" w:color="auto"/>
            </w:tcBorders>
          </w:tcPr>
          <w:p>
            <w:pPr>
              <w:jc w:val="center"/>
              <w:ind w:right="204"/>
              <w:spacing w:after="0" w:line="182" w:lineRule="exact"/>
              <w:rPr>
                <w:sz w:val="20"/>
                <w:szCs w:val="20"/>
                <w:color w:val="auto"/>
              </w:rPr>
            </w:pPr>
            <w:r>
              <w:rPr>
                <w:rFonts w:ascii="Arial" w:cs="Arial" w:eastAsia="Arial" w:hAnsi="Arial"/>
                <w:sz w:val="18"/>
                <w:szCs w:val="18"/>
                <w:color w:val="auto"/>
                <w:w w:val="87"/>
              </w:rPr>
              <w:t>Each</w:t>
            </w:r>
          </w:p>
        </w:tc>
        <w:tc>
          <w:tcPr>
            <w:tcW w:w="340" w:type="dxa"/>
            <w:vAlign w:val="bottom"/>
            <w:tcBorders>
              <w:right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rPr>
              <w:t>7.</w:t>
            </w:r>
          </w:p>
        </w:tc>
        <w:tc>
          <w:tcPr>
            <w:tcW w:w="80" w:type="dxa"/>
            <w:vAlign w:val="bottom"/>
          </w:tcPr>
          <w:p>
            <w:pPr>
              <w:spacing w:after="0"/>
              <w:rPr>
                <w:sz w:val="15"/>
                <w:szCs w:val="15"/>
                <w:color w:val="auto"/>
              </w:rPr>
            </w:pPr>
          </w:p>
        </w:tc>
        <w:tc>
          <w:tcPr>
            <w:tcW w:w="9420" w:type="dxa"/>
            <w:vAlign w:val="bottom"/>
          </w:tcPr>
          <w:p>
            <w:pPr>
              <w:ind w:left="2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8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Reporting</w:t>
            </w:r>
          </w:p>
        </w:tc>
        <w:tc>
          <w:tcPr>
            <w:tcW w:w="3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80" w:type="dxa"/>
            <w:vAlign w:val="bottom"/>
          </w:tcPr>
          <w:p>
            <w:pPr>
              <w:spacing w:after="0"/>
              <w:rPr>
                <w:sz w:val="20"/>
                <w:szCs w:val="20"/>
                <w:color w:val="auto"/>
              </w:rPr>
            </w:pPr>
          </w:p>
        </w:tc>
        <w:tc>
          <w:tcPr>
            <w:tcW w:w="800" w:type="dxa"/>
            <w:vAlign w:val="bottom"/>
            <w:tcBorders>
              <w:right w:val="single" w:sz="8" w:color="auto"/>
            </w:tcBorders>
            <w:gridSpan w:val="2"/>
          </w:tcPr>
          <w:p>
            <w:pPr>
              <w:jc w:val="center"/>
              <w:ind w:right="164"/>
              <w:spacing w:after="0"/>
              <w:rPr>
                <w:sz w:val="20"/>
                <w:szCs w:val="20"/>
                <w:color w:val="auto"/>
              </w:rPr>
            </w:pPr>
            <w:r>
              <w:rPr>
                <w:rFonts w:ascii="Arial" w:cs="Arial" w:eastAsia="Arial" w:hAnsi="Arial"/>
                <w:sz w:val="18"/>
                <w:szCs w:val="18"/>
                <w:color w:val="auto"/>
                <w:w w:val="87"/>
              </w:rPr>
              <w:t>Person</w:t>
            </w:r>
          </w:p>
        </w:tc>
        <w:tc>
          <w:tcPr>
            <w:tcW w:w="3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420" w:type="dxa"/>
            <w:vAlign w:val="bottom"/>
          </w:tcPr>
          <w:p>
            <w:pPr>
              <w:ind w:left="20"/>
              <w:spacing w:after="0" w:line="232"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79"/>
        </w:trPr>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right w:val="single" w:sz="8" w:color="auto"/>
            </w:tcBorders>
            <w:vMerge w:val="restart"/>
          </w:tcPr>
          <w:p>
            <w:pPr>
              <w:jc w:val="center"/>
              <w:ind w:right="224"/>
              <w:spacing w:after="0"/>
              <w:rPr>
                <w:sz w:val="20"/>
                <w:szCs w:val="20"/>
                <w:color w:val="auto"/>
              </w:rPr>
            </w:pPr>
            <w:r>
              <w:rPr>
                <w:rFonts w:ascii="Arial" w:cs="Arial" w:eastAsia="Arial" w:hAnsi="Arial"/>
                <w:sz w:val="18"/>
                <w:szCs w:val="18"/>
                <w:color w:val="auto"/>
              </w:rPr>
              <w:t>With:</w:t>
            </w:r>
          </w:p>
        </w:tc>
        <w:tc>
          <w:tcPr>
            <w:tcW w:w="34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4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Borders>
              <w:right w:val="single" w:sz="8" w:color="auto"/>
            </w:tcBorders>
            <w:vMerge w:val="continue"/>
          </w:tcPr>
          <w:p>
            <w:pPr>
              <w:spacing w:after="0"/>
              <w:rPr>
                <w:sz w:val="11"/>
                <w:szCs w:val="11"/>
                <w:color w:val="auto"/>
              </w:rPr>
            </w:pPr>
          </w:p>
        </w:tc>
        <w:tc>
          <w:tcPr>
            <w:tcW w:w="34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1"/>
                <w:szCs w:val="11"/>
                <w:color w:val="auto"/>
              </w:rPr>
            </w:pPr>
          </w:p>
        </w:tc>
        <w:tc>
          <w:tcPr>
            <w:tcW w:w="942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3"/>
        </w:trPr>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Borders>
              <w:right w:val="single" w:sz="8" w:color="auto"/>
            </w:tcBorders>
          </w:tcPr>
          <w:p>
            <w:pPr>
              <w:spacing w:after="0"/>
              <w:rPr>
                <w:sz w:val="8"/>
                <w:szCs w:val="8"/>
                <w:color w:val="auto"/>
              </w:rPr>
            </w:pPr>
          </w:p>
        </w:tc>
        <w:tc>
          <w:tcPr>
            <w:tcW w:w="340" w:type="dxa"/>
            <w:vAlign w:val="bottom"/>
            <w:tcBorders>
              <w:right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9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4"/>
        </w:trPr>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1,903,943</w:t>
            </w:r>
          </w:p>
        </w:tc>
        <w:tc>
          <w:tcPr>
            <w:tcW w:w="0" w:type="dxa"/>
            <w:vAlign w:val="bottom"/>
          </w:tcPr>
          <w:p>
            <w:pPr>
              <w:spacing w:after="0"/>
              <w:rPr>
                <w:sz w:val="1"/>
                <w:szCs w:val="1"/>
                <w:color w:val="auto"/>
              </w:rPr>
            </w:pPr>
          </w:p>
        </w:tc>
      </w:tr>
      <w:tr>
        <w:trPr>
          <w:trHeight w:val="226"/>
        </w:trPr>
        <w:tc>
          <w:tcPr>
            <w:tcW w:w="38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Borders>
              <w:right w:val="single" w:sz="8" w:color="auto"/>
            </w:tcBorders>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84"/>
        </w:trPr>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w w:val="98"/>
              </w:rPr>
              <w:t>1,903,943</w:t>
            </w:r>
          </w:p>
        </w:tc>
        <w:tc>
          <w:tcPr>
            <w:tcW w:w="80" w:type="dxa"/>
            <w:vAlign w:val="bottom"/>
            <w:tcBorders>
              <w:bottom w:val="single" w:sz="8" w:color="auto"/>
            </w:tcBorders>
          </w:tcPr>
          <w:p>
            <w:pPr>
              <w:spacing w:after="0"/>
              <w:rPr>
                <w:sz w:val="24"/>
                <w:szCs w:val="24"/>
                <w:color w:val="auto"/>
              </w:rPr>
            </w:pPr>
          </w:p>
        </w:tc>
        <w:tc>
          <w:tcPr>
            <w:tcW w:w="9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8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Borders>
              <w:right w:val="single" w:sz="8" w:color="auto"/>
            </w:tcBorders>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42"/>
        </w:trPr>
        <w:tc>
          <w:tcPr>
            <w:tcW w:w="440" w:type="dxa"/>
            <w:vAlign w:val="bottom"/>
            <w:tcBorders>
              <w:bottom w:val="single" w:sz="8" w:color="auto"/>
              <w:right w:val="single" w:sz="8" w:color="auto"/>
            </w:tcBorders>
            <w:gridSpan w:val="2"/>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500" w:type="dxa"/>
            <w:vAlign w:val="bottom"/>
            <w:tcBorders>
              <w:bottom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4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4"/>
        </w:trPr>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3.8%</w:t>
            </w: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8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4"/>
        </w:trPr>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IA</w:t>
            </w: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4" w:right="4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w:t>
      </w:r>
    </w:p>
    <w:p>
      <w:pPr>
        <w:spacing w:after="0" w:line="135" w:lineRule="exact"/>
        <w:rPr>
          <w:sz w:val="20"/>
          <w:szCs w:val="20"/>
          <w:color w:val="auto"/>
        </w:rPr>
      </w:pPr>
    </w:p>
    <w:p>
      <w:pPr>
        <w:ind w:left="1000" w:right="7900" w:hanging="564"/>
        <w:spacing w:after="0" w:line="342" w:lineRule="auto"/>
        <w:tabs>
          <w:tab w:leader="none" w:pos="981" w:val="left"/>
        </w:tabs>
        <w:numPr>
          <w:ilvl w:val="0"/>
          <w:numId w:val="3"/>
        </w:numPr>
        <w:rPr>
          <w:rFonts w:ascii="Arial" w:cs="Arial" w:eastAsia="Arial" w:hAnsi="Arial"/>
          <w:sz w:val="16"/>
          <w:szCs w:val="16"/>
          <w:color w:val="auto"/>
        </w:rPr>
      </w:pPr>
      <w:r>
        <w:rPr>
          <w:rFonts w:ascii="Arial" w:cs="Arial" w:eastAsia="Arial" w:hAnsi="Arial"/>
          <w:sz w:val="16"/>
          <w:szCs w:val="16"/>
          <w:color w:val="auto"/>
        </w:rPr>
        <w:t>Name of Issuer Destination XL Group, Inc.</w:t>
      </w:r>
    </w:p>
    <w:p>
      <w:pPr>
        <w:spacing w:after="0" w:line="29" w:lineRule="exact"/>
        <w:rPr>
          <w:rFonts w:ascii="Arial" w:cs="Arial" w:eastAsia="Arial" w:hAnsi="Arial"/>
          <w:sz w:val="16"/>
          <w:szCs w:val="16"/>
          <w:color w:val="auto"/>
        </w:rPr>
      </w:pPr>
    </w:p>
    <w:p>
      <w:pPr>
        <w:ind w:left="1000" w:right="6480" w:hanging="564"/>
        <w:spacing w:after="0" w:line="258" w:lineRule="auto"/>
        <w:tabs>
          <w:tab w:leader="none" w:pos="981" w:val="left"/>
        </w:tabs>
        <w:numPr>
          <w:ilvl w:val="0"/>
          <w:numId w:val="3"/>
        </w:numPr>
        <w:rPr>
          <w:rFonts w:ascii="Arial" w:cs="Arial" w:eastAsia="Arial" w:hAnsi="Arial"/>
          <w:sz w:val="18"/>
          <w:szCs w:val="18"/>
          <w:color w:val="auto"/>
        </w:rPr>
      </w:pPr>
      <w:r>
        <w:rPr>
          <w:rFonts w:ascii="Arial" w:cs="Arial" w:eastAsia="Arial" w:hAnsi="Arial"/>
          <w:sz w:val="18"/>
          <w:szCs w:val="18"/>
          <w:color w:val="auto"/>
        </w:rPr>
        <w:t>Address of Issuer’s Principal Executive Offices 555 Turnpike Street</w:t>
      </w:r>
    </w:p>
    <w:p>
      <w:pPr>
        <w:spacing w:after="0" w:line="1"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Canton, Massachusetts 02021</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35" w:lineRule="exact"/>
        <w:rPr>
          <w:sz w:val="20"/>
          <w:szCs w:val="20"/>
          <w:color w:val="auto"/>
        </w:rPr>
      </w:pPr>
    </w:p>
    <w:p>
      <w:pPr>
        <w:ind w:left="980" w:hanging="54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RBC Global Asset Management (U.S.) Inc.</w:t>
      </w:r>
    </w:p>
    <w:p>
      <w:pPr>
        <w:spacing w:after="0" w:line="116" w:lineRule="exact"/>
        <w:rPr>
          <w:rFonts w:ascii="Arial" w:cs="Arial" w:eastAsia="Arial" w:hAnsi="Arial"/>
          <w:sz w:val="18"/>
          <w:szCs w:val="18"/>
          <w:color w:val="auto"/>
        </w:rPr>
      </w:pPr>
    </w:p>
    <w:p>
      <w:pPr>
        <w:ind w:left="1000" w:right="5620" w:hanging="564"/>
        <w:spacing w:after="0" w:line="258" w:lineRule="auto"/>
        <w:tabs>
          <w:tab w:leader="none" w:pos="981"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50 South Sixth Street</w:t>
      </w:r>
    </w:p>
    <w:p>
      <w:pPr>
        <w:spacing w:after="0" w:line="1"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Suite 2350</w:t>
      </w:r>
    </w:p>
    <w:p>
      <w:pPr>
        <w:spacing w:after="0" w:line="9"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Minneapolis, Minnesota 55402</w:t>
      </w:r>
    </w:p>
    <w:p>
      <w:pPr>
        <w:spacing w:after="0" w:line="116" w:lineRule="exact"/>
        <w:rPr>
          <w:rFonts w:ascii="Arial" w:cs="Arial" w:eastAsia="Arial" w:hAnsi="Arial"/>
          <w:sz w:val="18"/>
          <w:szCs w:val="18"/>
          <w:color w:val="auto"/>
        </w:rPr>
      </w:pPr>
    </w:p>
    <w:p>
      <w:pPr>
        <w:ind w:left="980" w:hanging="54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RBC Global Asset Management (U.S.) Inc. is incorporated under the laws of Minnesota</w:t>
      </w:r>
    </w:p>
    <w:p>
      <w:pPr>
        <w:spacing w:after="0" w:line="116" w:lineRule="exact"/>
        <w:rPr>
          <w:rFonts w:ascii="Arial" w:cs="Arial" w:eastAsia="Arial" w:hAnsi="Arial"/>
          <w:sz w:val="18"/>
          <w:szCs w:val="18"/>
          <w:color w:val="auto"/>
        </w:rPr>
      </w:pPr>
    </w:p>
    <w:p>
      <w:pPr>
        <w:ind w:left="1000" w:right="8000" w:hanging="564"/>
        <w:spacing w:after="0" w:line="342" w:lineRule="auto"/>
        <w:tabs>
          <w:tab w:leader="none" w:pos="981" w:val="left"/>
        </w:tabs>
        <w:numPr>
          <w:ilvl w:val="0"/>
          <w:numId w:val="4"/>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spacing w:after="0" w:line="29" w:lineRule="exact"/>
        <w:rPr>
          <w:rFonts w:ascii="Arial" w:cs="Arial" w:eastAsia="Arial" w:hAnsi="Arial"/>
          <w:sz w:val="16"/>
          <w:szCs w:val="16"/>
          <w:color w:val="auto"/>
        </w:rPr>
      </w:pPr>
    </w:p>
    <w:p>
      <w:pPr>
        <w:ind w:left="1000" w:right="8760" w:hanging="564"/>
        <w:spacing w:after="0" w:line="342" w:lineRule="auto"/>
        <w:tabs>
          <w:tab w:leader="none" w:pos="981" w:val="left"/>
        </w:tabs>
        <w:numPr>
          <w:ilvl w:val="0"/>
          <w:numId w:val="4"/>
        </w:numPr>
        <w:rPr>
          <w:rFonts w:ascii="Arial" w:cs="Arial" w:eastAsia="Arial" w:hAnsi="Arial"/>
          <w:sz w:val="16"/>
          <w:szCs w:val="16"/>
          <w:color w:val="auto"/>
        </w:rPr>
      </w:pPr>
      <w:r>
        <w:rPr>
          <w:rFonts w:ascii="Arial" w:cs="Arial" w:eastAsia="Arial" w:hAnsi="Arial"/>
          <w:sz w:val="16"/>
          <w:szCs w:val="16"/>
          <w:color w:val="auto"/>
        </w:rPr>
        <w:t>CUSIP Number 25065K104</w:t>
      </w:r>
    </w:p>
    <w:p>
      <w:pPr>
        <w:spacing w:after="0" w:line="26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02" w:lineRule="exact"/>
        <w:rPr>
          <w:sz w:val="20"/>
          <w:szCs w:val="20"/>
          <w:color w:val="auto"/>
        </w:rPr>
      </w:pPr>
    </w:p>
    <w:p>
      <w:pPr>
        <w:ind w:left="1000" w:hanging="537"/>
        <w:spacing w:after="0" w:line="207" w:lineRule="exact"/>
        <w:tabs>
          <w:tab w:leader="none" w:pos="10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1000" w:hanging="537"/>
        <w:spacing w:after="0" w:line="207" w:lineRule="exact"/>
        <w:tabs>
          <w:tab w:leader="none" w:pos="10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1000" w:hanging="537"/>
        <w:spacing w:after="0" w:line="207" w:lineRule="exact"/>
        <w:tabs>
          <w:tab w:leader="none" w:pos="10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1000" w:hanging="537"/>
        <w:spacing w:after="0" w:line="207" w:lineRule="exact"/>
        <w:tabs>
          <w:tab w:leader="none" w:pos="10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1000" w:hanging="537"/>
        <w:spacing w:after="0" w:line="207" w:lineRule="exact"/>
        <w:tabs>
          <w:tab w:leader="none" w:pos="10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117" w:lineRule="exact"/>
        <w:rPr>
          <w:rFonts w:ascii="Arial" w:cs="Arial" w:eastAsia="Arial" w:hAnsi="Arial"/>
          <w:sz w:val="18"/>
          <w:szCs w:val="18"/>
          <w:color w:val="auto"/>
        </w:rPr>
      </w:pPr>
    </w:p>
    <w:p>
      <w:pPr>
        <w:ind w:left="1000" w:hanging="537"/>
        <w:spacing w:after="0" w:line="207" w:lineRule="exact"/>
        <w:tabs>
          <w:tab w:leader="none" w:pos="10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117" w:lineRule="exact"/>
        <w:rPr>
          <w:rFonts w:ascii="Arial" w:cs="Arial" w:eastAsia="Arial" w:hAnsi="Arial"/>
          <w:sz w:val="18"/>
          <w:szCs w:val="18"/>
          <w:color w:val="auto"/>
        </w:rPr>
      </w:pPr>
    </w:p>
    <w:p>
      <w:pPr>
        <w:ind w:left="1000" w:hanging="537"/>
        <w:spacing w:after="0" w:line="207" w:lineRule="exact"/>
        <w:tabs>
          <w:tab w:leader="none" w:pos="10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 240.13d-1(b)(1)(ii)(G);</w:t>
      </w:r>
    </w:p>
    <w:p>
      <w:pPr>
        <w:spacing w:after="0" w:line="117" w:lineRule="exact"/>
        <w:rPr>
          <w:rFonts w:ascii="Arial" w:cs="Arial" w:eastAsia="Arial" w:hAnsi="Arial"/>
          <w:sz w:val="18"/>
          <w:szCs w:val="18"/>
          <w:color w:val="auto"/>
        </w:rPr>
      </w:pPr>
    </w:p>
    <w:p>
      <w:pPr>
        <w:ind w:left="1000" w:hanging="537"/>
        <w:spacing w:after="0" w:line="207" w:lineRule="exact"/>
        <w:tabs>
          <w:tab w:leader="none" w:pos="10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320" w:hanging="857"/>
        <w:spacing w:after="0" w:line="239" w:lineRule="exact"/>
        <w:tabs>
          <w:tab w:leader="none" w:pos="996"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2" w:lineRule="exact"/>
        <w:rPr>
          <w:rFonts w:ascii="Arial" w:cs="Arial" w:eastAsia="Arial" w:hAnsi="Arial"/>
          <w:sz w:val="18"/>
          <w:szCs w:val="18"/>
          <w:color w:val="auto"/>
        </w:rPr>
      </w:pPr>
    </w:p>
    <w:p>
      <w:pPr>
        <w:ind w:left="1000" w:hanging="537"/>
        <w:spacing w:after="0" w:line="207" w:lineRule="exact"/>
        <w:tabs>
          <w:tab w:leader="none" w:pos="10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Rule 13d-1(b)(1)(ii)(J);</w:t>
      </w:r>
    </w:p>
    <w:p>
      <w:pPr>
        <w:spacing w:after="0" w:line="117" w:lineRule="exact"/>
        <w:rPr>
          <w:rFonts w:ascii="Arial" w:cs="Arial" w:eastAsia="Arial" w:hAnsi="Arial"/>
          <w:sz w:val="18"/>
          <w:szCs w:val="18"/>
          <w:color w:val="auto"/>
        </w:rPr>
      </w:pPr>
    </w:p>
    <w:p>
      <w:pPr>
        <w:ind w:left="1000" w:hanging="537"/>
        <w:spacing w:after="0" w:line="207" w:lineRule="exact"/>
        <w:tabs>
          <w:tab w:leader="none" w:pos="10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§240.13d-1(b)(1)(ii)(K).</w:t>
      </w:r>
    </w:p>
    <w:p>
      <w:pPr>
        <w:sectPr>
          <w:pgSz w:w="11900" w:h="16838" w:orient="portrait"/>
          <w:cols w:equalWidth="0" w:num="1">
            <w:col w:w="10880"/>
          </w:cols>
          <w:pgMar w:left="440" w:top="270" w:right="579" w:bottom="1440" w:gutter="0" w:footer="0" w:header="0"/>
        </w:sectPr>
      </w:pPr>
    </w:p>
    <w:bookmarkStart w:id="3" w:name="page4"/>
    <w:bookmarkEnd w:id="3"/>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the issuer identified in Item 1.</w:t>
      </w:r>
    </w:p>
    <w:p>
      <w:pPr>
        <w:spacing w:after="0" w:line="154" w:lineRule="exact"/>
        <w:rPr>
          <w:sz w:val="20"/>
          <w:szCs w:val="20"/>
          <w:color w:val="auto"/>
        </w:rPr>
      </w:pPr>
    </w:p>
    <w:p>
      <w:pPr>
        <w:ind w:left="980" w:hanging="54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beneficially owned: See Item 9 of the Cover Page.</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 See Item 11 of the Cover Page.</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power to vote or to direct the vote See Item 5 of the Cover Page.</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power to vote or to direct the vote See Item 6 of the Cover Page.</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See Item 7 of the Cover Page.</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See Item 8 of the Cover Page.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Instruction: </w:t>
      </w:r>
      <w:r>
        <w:rPr>
          <w:rFonts w:ascii="Arial" w:cs="Arial" w:eastAsia="Arial" w:hAnsi="Arial"/>
          <w:sz w:val="18"/>
          <w:szCs w:val="18"/>
          <w:color w:val="auto"/>
        </w:rPr>
        <w:t>For computations regarding securities which represent a right to acquire an underlying security see §240.13d-3(d)(1).</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35" w:lineRule="exact"/>
        <w:rPr>
          <w:sz w:val="20"/>
          <w:szCs w:val="20"/>
          <w:color w:val="auto"/>
        </w:rPr>
      </w:pPr>
    </w:p>
    <w:p>
      <w:pPr>
        <w:ind w:left="440" w:right="20" w:hanging="436"/>
        <w:spacing w:after="0" w:line="233" w:lineRule="exact"/>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32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980" w:right="520" w:hanging="985"/>
        <w:spacing w:after="0" w:line="282" w:lineRule="auto"/>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5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Certifications</w:t>
      </w:r>
    </w:p>
    <w:p>
      <w:pPr>
        <w:spacing w:after="0" w:line="121" w:lineRule="exact"/>
        <w:rPr>
          <w:sz w:val="20"/>
          <w:szCs w:val="20"/>
          <w:color w:val="auto"/>
        </w:rPr>
      </w:pPr>
    </w:p>
    <w:p>
      <w:pPr>
        <w:ind w:left="100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840"/>
          </w:cols>
          <w:pgMar w:left="440" w:top="270" w:right="619" w:bottom="1440" w:gutter="0" w:footer="0" w:header="0"/>
        </w:sectPr>
      </w:pPr>
    </w:p>
    <w:bookmarkStart w:id="4" w:name="page5"/>
    <w:bookmarkEnd w:id="4"/>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7, 2020</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RBC GLOBAL ASSET MANAGEMENT (U.S.)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Carol Kuha</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-130810</wp:posOffset>
            </wp:positionV>
            <wp:extent cx="279590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Carol Kuha / Chief Operating Officer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-130810</wp:posOffset>
            </wp:positionV>
            <wp:extent cx="279590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sectPr>
      <w:pgSz w:w="11900" w:h="16838" w:orient="portrait"/>
      <w:cols w:equalWidth="0" w:num="1">
        <w:col w:w="10900"/>
      </w:cols>
      <w:pgMar w:left="440" w:top="270"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lvl w:ilvl="1">
      <w:lvlJc w:val="left"/>
      <w:lvlText w:val="☐"/>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1"/>
    </w:lvl>
    <w:lvl w:ilvl="1">
      <w:lvlJc w:val="left"/>
      <w:lvlText w:val="(%2)"/>
      <w:numFmt w:val="lowerRoman"/>
      <w:start w:val="1"/>
    </w:lvl>
  </w:abstractNum>
  <w:abstractNum w:abstractNumId="6">
    <w:nsid w:val="41B71EFB"/>
    <w:multiLevelType w:val="hybridMultilevel"/>
    <w:lvl w:ilvl="0">
      <w:lvlJc w:val="left"/>
      <w:lvlText w:val="%1."/>
      <w:numFmt w:val="upp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2020-02-10T10:52:11Z</dcterms:created>
  <dcterms:modified xsi:type="dcterms:W3CDTF">2020-02-10T10:52:11Z</dcterms:modified>
</cp:coreProperties>
</file>