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August 18, 2011</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300" w:space="720"/>
            <w:col w:w="300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August 18, 2011, Casual Male Retail Group, Inc. (the “Company”) issued a press release announcing the Company’s sales and results of operations for the second quarter and first six months of fiscal 2011. A copy of this press release is attached hereto as Exhibit 99.1.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660" w:type="dxa"/>
            <w:vAlign w:val="bottom"/>
          </w:tcPr>
          <w:p>
            <w:pPr>
              <w:ind w:left="20"/>
              <w:spacing w:after="0"/>
              <w:rPr>
                <w:sz w:val="20"/>
                <w:szCs w:val="20"/>
                <w:color w:val="auto"/>
              </w:rPr>
            </w:pPr>
            <w:r>
              <w:rPr>
                <w:rFonts w:ascii="Arial" w:cs="Arial" w:eastAsia="Arial" w:hAnsi="Arial"/>
                <w:sz w:val="14"/>
                <w:szCs w:val="14"/>
                <w:color w:val="auto"/>
                <w:w w:val="91"/>
              </w:rPr>
              <w:t>Exhibit No.</w:t>
            </w:r>
          </w:p>
        </w:tc>
        <w:tc>
          <w:tcPr>
            <w:tcW w:w="8380" w:type="dxa"/>
            <w:vAlign w:val="bottom"/>
            <w:gridSpan w:val="3"/>
          </w:tcPr>
          <w:p>
            <w:pPr>
              <w:ind w:left="660"/>
              <w:spacing w:after="0"/>
              <w:rPr>
                <w:sz w:val="20"/>
                <w:szCs w:val="20"/>
                <w:color w:val="auto"/>
              </w:rPr>
            </w:pPr>
            <w:r>
              <w:rPr>
                <w:rFonts w:ascii="Arial" w:cs="Arial" w:eastAsia="Arial" w:hAnsi="Arial"/>
                <w:sz w:val="14"/>
                <w:szCs w:val="14"/>
                <w:color w:val="auto"/>
              </w:rPr>
              <w:t>Description</w:t>
            </w:r>
          </w:p>
        </w:tc>
      </w:tr>
      <w:tr>
        <w:trPr>
          <w:trHeight w:val="20"/>
        </w:trPr>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8380" w:type="dxa"/>
            <w:vAlign w:val="bottom"/>
            <w:gridSpan w:val="3"/>
          </w:tcPr>
          <w:p>
            <w:pPr>
              <w:ind w:left="660"/>
              <w:spacing w:after="0"/>
              <w:rPr>
                <w:sz w:val="20"/>
                <w:szCs w:val="20"/>
                <w:color w:val="auto"/>
              </w:rPr>
            </w:pPr>
            <w:r>
              <w:rPr>
                <w:rFonts w:ascii="Arial" w:cs="Arial" w:eastAsia="Arial" w:hAnsi="Arial"/>
                <w:sz w:val="18"/>
                <w:szCs w:val="18"/>
                <w:color w:val="auto"/>
                <w:w w:val="86"/>
              </w:rPr>
              <w:t>Press release announcing sales and operating results for the second quarter and first six months of fiscal 2011.</w:t>
            </w:r>
          </w:p>
        </w:tc>
      </w:tr>
      <w:tr>
        <w:trPr>
          <w:trHeight w:val="365"/>
        </w:trPr>
        <w:tc>
          <w:tcPr>
            <w:tcW w:w="660" w:type="dxa"/>
            <w:vAlign w:val="bottom"/>
          </w:tcPr>
          <w:p>
            <w:pPr>
              <w:spacing w:after="0"/>
              <w:rPr>
                <w:sz w:val="24"/>
                <w:szCs w:val="24"/>
                <w:color w:val="auto"/>
              </w:rPr>
            </w:pPr>
          </w:p>
        </w:tc>
        <w:tc>
          <w:tcPr>
            <w:tcW w:w="8380" w:type="dxa"/>
            <w:vAlign w:val="bottom"/>
            <w:gridSpan w:val="3"/>
          </w:tcPr>
          <w:p>
            <w:pPr>
              <w:jc w:val="right"/>
              <w:ind w:right="410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120"/>
          </w:cols>
          <w:pgMar w:left="240" w:top="274" w:right="5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2011</w:t>
      </w:r>
    </w:p>
    <w:p>
      <w:pPr>
        <w:sectPr>
          <w:pgSz w:w="11900" w:h="16838" w:orient="portrait"/>
          <w:cols w:equalWidth="0" w:num="1">
            <w:col w:w="10980"/>
          </w:cols>
          <w:pgMar w:left="240" w:top="280" w:right="679" w:bottom="1440" w:gutter="0" w:footer="0" w:header="0"/>
        </w:sectPr>
      </w:pPr>
    </w:p>
    <w:bookmarkStart w:id="3" w:name="page4"/>
    <w:bookmarkEnd w:id="3"/>
    <w:p>
      <w:pPr>
        <w:ind w:left="105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132715</wp:posOffset>
            </wp:positionV>
            <wp:extent cx="2470150" cy="711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REPORTS SECOND QUARTER 2011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Second Quarter Earnings $0.14 Per Diluted Share on Comparable Sales Increase of 4.9%</w:t>
      </w:r>
    </w:p>
    <w:p>
      <w:pPr>
        <w:spacing w:after="0" w:line="159"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CANTON, MA (August 18, 2011) — Casual Male Retail Group, Inc. (NASDAQ: “CMRG”)</w:t>
      </w:r>
      <w:r>
        <w:rPr>
          <w:rFonts w:ascii="Arial" w:cs="Arial" w:eastAsia="Arial" w:hAnsi="Arial"/>
          <w:sz w:val="18"/>
          <w:szCs w:val="18"/>
          <w:color w:val="auto"/>
        </w:rPr>
        <w:t>, the largest retailer of big &amp; tall men’s apparel and accessories,</w:t>
      </w:r>
      <w:r>
        <w:rPr>
          <w:rFonts w:ascii="Arial" w:cs="Arial" w:eastAsia="Arial" w:hAnsi="Arial"/>
          <w:sz w:val="18"/>
          <w:szCs w:val="18"/>
          <w:b w:val="1"/>
          <w:bCs w:val="1"/>
          <w:color w:val="auto"/>
        </w:rPr>
        <w:t xml:space="preserve"> </w:t>
      </w:r>
      <w:r>
        <w:rPr>
          <w:rFonts w:ascii="Arial" w:cs="Arial" w:eastAsia="Arial" w:hAnsi="Arial"/>
          <w:sz w:val="18"/>
          <w:szCs w:val="18"/>
          <w:color w:val="auto"/>
        </w:rPr>
        <w:t>today reported operating results for the second quarter and six months ended July 30,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Highlights (2QFY11 vs. 2QFY10)</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increased 17.2% to $6.6 million, or $0.14 per diluted share, from $5.6 million, or $0.12 per diluted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Comparable sales increased 4.9% and total sales increased 3.8% to $100.9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improved 190 basis points to 48.3%.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increased 17.6% to $7.4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 Highlights (2011 vs. 2010)</w:t>
      </w:r>
    </w:p>
    <w:p>
      <w:pPr>
        <w:spacing w:after="0" w:line="9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increased 10.4% to $10.8 million, or $0.22 per diluted share, from $9.8 million, or $0.21 per diluted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Comparable sales increased 3.5% and total sales increased 2.3% to $196.7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increased 160 basis points to 47.7%.</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increased 11.9% to $12.2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second quarter of fiscal 2011, total sales increased by 3.8% to $100.9 million when compared to total sales of $97.3 million for the second quarter of fiscal 2010. Comparable sales for the second quarter increased 4.9% when compared to the same period of the prior year. On a comparable basis, sales from our direct business increased by 4.1% and sales from our retail business increased 5.0%. As planned, during the first quarter of fiscal 2011, we started to increase prices within certain merchandise categories.</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first six months of fiscal 2011, total sales increased by 2.3% to $196.7 million as compared to $192.2 million for the first six months of the prior year. Comparable sales for the first six months increased 3.5% when compared to the first six months of fiscal 2010. The increase consisted of a 4.4% increase in our direct business and a 3.4% increase from our retail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 Margin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second quarter of fiscal 2011, our gross margin rate, inclusive of occupancy costs, was 48.3% as compared to a gross margin rate of 46.4% for the second quarter of fiscal 2010. The increase of 190 basis points was the result of increased merchandise margins of 95 basis points plus an increase of 95 basis points related to the leveraging of occupancy costs against higher sales. Our merchandise margin continues to benefit from our improved inventory management and managed markdowns. On a dollar basis, occupancy costs for the second quarter of fiscal 2011 decreased 2.6% when compared to last year.</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the first six months of fiscal 2011, our gross margin rate, inclusive of occupancy costs, was 47.7% as compared to a gross margin rate of 46.1% for the first six months of fiscal 2010. The increase of 160 basis points was the result of increased merchandise margins of 100 basis points plus an increase of 60 basis points related to the leveraging of occupancy costs. On a dollar basis, occupancy costs for the first six months of fiscal 2011 decreased 1.5% when compared to the first six months of fiscal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SG&amp;A</w:t>
      </w:r>
    </w:p>
    <w:p>
      <w:pPr>
        <w:spacing w:after="0" w:line="9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SG&amp;A expenses for the second quarter of fiscal 2011 were 38.0% of sales as compared to 36.4% of sales for the second quarter of fiscal 2010. For the first six months of fiscal 2011, SG&amp;A expenses were 38.4% of sales as compared to 37.0% for the first six months of fiscal 2010.</w:t>
      </w:r>
    </w:p>
    <w:p>
      <w:pPr>
        <w:spacing w:after="0" w:line="85" w:lineRule="exact"/>
        <w:rPr>
          <w:sz w:val="20"/>
          <w:szCs w:val="20"/>
          <w:color w:val="auto"/>
        </w:rPr>
      </w:pPr>
    </w:p>
    <w:p>
      <w:pPr>
        <w:ind w:right="200"/>
        <w:spacing w:after="0" w:line="312" w:lineRule="auto"/>
        <w:rPr>
          <w:sz w:val="20"/>
          <w:szCs w:val="20"/>
          <w:color w:val="auto"/>
        </w:rPr>
      </w:pPr>
      <w:r>
        <w:rPr>
          <w:rFonts w:ascii="Arial" w:cs="Arial" w:eastAsia="Arial" w:hAnsi="Arial"/>
          <w:sz w:val="15"/>
          <w:szCs w:val="15"/>
          <w:color w:val="auto"/>
        </w:rPr>
        <w:t>On a dollar basis, SG&amp;A expenses increased $2.9 million, or 8.3%, for the second quarter of fiscal 2011 as compared to the second quarter of fiscal 2010. On a dollar basis, SG&amp;A expenses increased $4.4 million, or 6.2%, for the first six months of fiscal 2011 as compared to the first six months of fiscal 2010. This increase is primarily due to payroll related expenses, such as modest salary increases, bonus accruals, severance payments, reinstatement of the 401K employer match, as well as increased staffing in our global sourcing and merchandise areas. The first six months of fiscal 2011 includes a bonus accrual of approximately $1.9 million, or $0.04 per diluted share, over the prior year. For fiscal 2010, the bonus accrual did not occur until the third quarter when achievement of the management bonus plans became probable. This shift of bonus accrual contributed to our 6.2% increase for the first six months of fiscal 2011. This increase in SG&amp;A will adjust itself during the second half of fiscal 2011, resulting in our SG&amp;A expenses being in line with our annual forecast for the full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At July 30, 2011, our total deferred tax assets were approximately $46.7 million, with a corresponding valuation allowance of $46.7 million and a deferred tax liability of approximately $1.9 million.</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ability to reduce this valuation allowance of $46.7 million is dependent upon our ability to achieve sustained taxable income to realize our deferred tax assets. Because our fiscal 2011 earnings will be a significant factor in determining the amount of the valuation allowance that can be reversed, our deferred tax assets remain fully reserved at July 30, 2011. However, based on our results of operations for the past two fiscal years as well as our forecasted earnings for fiscal 2011 and beyond, we anticipate reversing a substantial portion of the valuation allowance in the fourth quarter of fiscal 2011.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ind w:right="2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effective tax rate for the second quarter and first six months of fiscal 2011 has been reduced from the statutory rate due to the utilization of fully reserved NOL carryforwards. We expect our effective rate to return to a rate of approximately 40% for periods subsequent to the reversal of the valuation allowance.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Free cash flow from operations (as defined below under Non-GAAP Measures) improved by $4.4 million to $13.4 million for the first six months of fiscal 2011 as compared to $9.0 million for the first six months of fiscal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 &amp; Liquidity</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July 30, 2011, the Company had cash and cash equivalents of $18.3 million and no outstanding debt as compared to outstanding debt of $5.1 million at end of the second quarter of fiscal 2010. In addition, the Company had full availability under its credit facility of $63.6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At July 30, 2011, inventory was $95.0 million as compared to $94.2 million at the end of the second quarter of fiscal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Destination XL</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Through today, in fiscal 2011, the Company has opened 4 new DXL™ stores located in Phoenix, Arizona, Atlanta, Georgia, Murray, Utah and Fairless Hills, Pennsylvania. With an additional 11-12 stores planned for the second half of fiscal 2011, the Company expects to have approximately 20 DXL stores opened by the end of fiscal 2011. In addition, the Company anticipates opening 25-30 Destination XL stores in fiscal 2012. Depending on the real estate and market demographics for each of these store locations, we expect the size of each store to be between 6,000 to 12,000 square feet, to accommodate each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2011 Outlook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For the fiscal year ending January 28, 2012, the Company’s outlook for the year improves modestly from previous guidance, inclusive of the opening of 15 to 16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DXL™ stores:</w:t>
      </w:r>
    </w:p>
    <w:p>
      <w:pPr>
        <w:spacing w:after="0" w:line="8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sales increase of 4.0-4.5% and total sales of $405 - $410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margin of 46.9% to 47.3% (an increase of previously reported gross profit margin range of 46.6% to 47.1%)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expenses to increase by approximately 3.0%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of $0.40-$0.45</w:t>
      </w:r>
    </w:p>
    <w:p>
      <w:pPr>
        <w:spacing w:after="0" w:line="90" w:lineRule="exact"/>
        <w:rPr>
          <w:rFonts w:ascii="Arial" w:cs="Arial" w:eastAsia="Arial" w:hAnsi="Arial"/>
          <w:sz w:val="18"/>
          <w:szCs w:val="18"/>
          <w:color w:val="auto"/>
        </w:rPr>
      </w:pPr>
    </w:p>
    <w:p>
      <w:pPr>
        <w:ind w:left="900" w:right="4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of approximately $17.5-$20.0 million, which is based on operating cash flow of approximately $37.5-$40.0 million and capital expenditures of approximately $20.0 million, and end of the year cash balances of between $22.5-$25.0 million. This is an increase from our previously reported free cash flow for fiscal 2011 of $16.0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In addition to the financial measures prepared in accordance with generally accepted accounting principles (GAAP), the above discussion also refers to non-GAAP free cash flow of $13.4 million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80" w:right="339" w:bottom="1440" w:gutter="0" w:footer="0" w:header="0"/>
        </w:sectPr>
      </w:pPr>
    </w:p>
    <w:bookmarkStart w:id="6" w:name="page7"/>
    <w:bookmarkEnd w:id="6"/>
    <w:p>
      <w:pPr>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$9.0 million for the six months ended July 30, 3011 and July 31, 2010, respectively, and estimated non-GAAP free cash flow of $17.5 to $20.0 million for fiscal 2011. The presentation of non-GAAP free cash flow is not a measure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release may not be comparable to similar measures used by other companies. The Company calculates free cash flows as cash flow from operating activities less capital expenditures and less discretionary store asset acquisitions.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ind w:left="160"/>
              <w:spacing w:after="0"/>
              <w:rPr>
                <w:sz w:val="20"/>
                <w:szCs w:val="20"/>
                <w:color w:val="auto"/>
              </w:rPr>
            </w:pPr>
            <w:r>
              <w:rPr>
                <w:rFonts w:ascii="Arial" w:cs="Arial" w:eastAsia="Arial" w:hAnsi="Arial"/>
                <w:sz w:val="14"/>
                <w:szCs w:val="14"/>
                <w:i w:val="1"/>
                <w:iCs w:val="1"/>
                <w:color w:val="auto"/>
                <w:w w:val="88"/>
              </w:rPr>
              <w:t>For the six months ended</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w w:val="88"/>
              </w:rPr>
              <w:t>Projected Cash Flow</w:t>
            </w:r>
          </w:p>
        </w:tc>
      </w:tr>
      <w:tr>
        <w:trPr>
          <w:trHeight w:val="159"/>
        </w:trPr>
        <w:tc>
          <w:tcPr>
            <w:tcW w:w="4240" w:type="dxa"/>
            <w:vAlign w:val="bottom"/>
          </w:tcPr>
          <w:p>
            <w:pPr>
              <w:ind w:left="2060"/>
              <w:spacing w:after="0" w:line="159" w:lineRule="exact"/>
              <w:rPr>
                <w:sz w:val="20"/>
                <w:szCs w:val="20"/>
                <w:color w:val="auto"/>
              </w:rPr>
            </w:pPr>
            <w:r>
              <w:rPr>
                <w:rFonts w:ascii="Arial" w:cs="Arial" w:eastAsia="Arial" w:hAnsi="Arial"/>
                <w:sz w:val="14"/>
                <w:szCs w:val="14"/>
                <w:i w:val="1"/>
                <w:iCs w:val="1"/>
                <w:color w:val="auto"/>
              </w:rPr>
              <w:t>(in millions)</w:t>
            </w:r>
          </w:p>
        </w:tc>
        <w:tc>
          <w:tcPr>
            <w:tcW w:w="1160" w:type="dxa"/>
            <w:vAlign w:val="bottom"/>
          </w:tcPr>
          <w:p>
            <w:pPr>
              <w:spacing w:after="0"/>
              <w:rPr>
                <w:sz w:val="13"/>
                <w:szCs w:val="13"/>
                <w:color w:val="auto"/>
              </w:rPr>
            </w:pPr>
          </w:p>
        </w:tc>
        <w:tc>
          <w:tcPr>
            <w:tcW w:w="1460" w:type="dxa"/>
            <w:vAlign w:val="bottom"/>
            <w:gridSpan w:val="3"/>
          </w:tcPr>
          <w:p>
            <w:pPr>
              <w:ind w:left="20"/>
              <w:spacing w:after="0" w:line="159" w:lineRule="exact"/>
              <w:rPr>
                <w:sz w:val="20"/>
                <w:szCs w:val="20"/>
                <w:color w:val="auto"/>
              </w:rPr>
            </w:pPr>
            <w:r>
              <w:rPr>
                <w:rFonts w:ascii="Arial" w:cs="Arial" w:eastAsia="Arial" w:hAnsi="Arial"/>
                <w:sz w:val="14"/>
                <w:szCs w:val="14"/>
                <w:i w:val="1"/>
                <w:iCs w:val="1"/>
                <w:color w:val="auto"/>
              </w:rPr>
              <w:t>July 30, 2011</w:t>
            </w:r>
          </w:p>
        </w:tc>
        <w:tc>
          <w:tcPr>
            <w:tcW w:w="1140" w:type="dxa"/>
            <w:vAlign w:val="bottom"/>
            <w:gridSpan w:val="3"/>
          </w:tcPr>
          <w:p>
            <w:pPr>
              <w:spacing w:after="0" w:line="159" w:lineRule="exact"/>
              <w:rPr>
                <w:sz w:val="20"/>
                <w:szCs w:val="20"/>
                <w:color w:val="auto"/>
              </w:rPr>
            </w:pPr>
            <w:r>
              <w:rPr>
                <w:rFonts w:ascii="Arial" w:cs="Arial" w:eastAsia="Arial" w:hAnsi="Arial"/>
                <w:sz w:val="14"/>
                <w:szCs w:val="14"/>
                <w:i w:val="1"/>
                <w:iCs w:val="1"/>
                <w:color w:val="auto"/>
              </w:rPr>
              <w:t>July 31, 2010</w:t>
            </w:r>
          </w:p>
        </w:tc>
        <w:tc>
          <w:tcPr>
            <w:tcW w:w="320" w:type="dxa"/>
            <w:vAlign w:val="bottom"/>
          </w:tcPr>
          <w:p>
            <w:pPr>
              <w:spacing w:after="0"/>
              <w:rPr>
                <w:sz w:val="13"/>
                <w:szCs w:val="13"/>
                <w:color w:val="auto"/>
              </w:rPr>
            </w:pPr>
          </w:p>
        </w:tc>
        <w:tc>
          <w:tcPr>
            <w:tcW w:w="1260" w:type="dxa"/>
            <w:vAlign w:val="bottom"/>
            <w:gridSpan w:val="2"/>
          </w:tcPr>
          <w:p>
            <w:pPr>
              <w:jc w:val="right"/>
              <w:ind w:right="360"/>
              <w:spacing w:after="0" w:line="159" w:lineRule="exact"/>
              <w:rPr>
                <w:sz w:val="20"/>
                <w:szCs w:val="20"/>
                <w:color w:val="auto"/>
              </w:rPr>
            </w:pPr>
            <w:r>
              <w:rPr>
                <w:rFonts w:ascii="Arial" w:cs="Arial" w:eastAsia="Arial" w:hAnsi="Arial"/>
                <w:sz w:val="14"/>
                <w:szCs w:val="14"/>
                <w:i w:val="1"/>
                <w:iCs w:val="1"/>
                <w:color w:val="auto"/>
              </w:rPr>
              <w:t>Fiscal 2011</w:t>
            </w:r>
          </w:p>
        </w:tc>
      </w:tr>
      <w:tr>
        <w:trPr>
          <w:trHeight w:val="210"/>
        </w:trPr>
        <w:tc>
          <w:tcPr>
            <w:tcW w:w="4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Cash flow from operating activities</w:t>
            </w:r>
          </w:p>
        </w:tc>
        <w:tc>
          <w:tcPr>
            <w:tcW w:w="1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18.2</w:t>
            </w:r>
          </w:p>
        </w:tc>
        <w:tc>
          <w:tcPr>
            <w:tcW w:w="7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6"/>
              </w:rPr>
              <w:t>12.6</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4"/>
              </w:rPr>
              <w:t>$   37.5 - $40.0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i w:val="1"/>
                <w:iCs w:val="1"/>
                <w:color w:val="auto"/>
              </w:rPr>
              <w:t>Less: Capital expenditures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i w:val="1"/>
                <w:iCs w:val="1"/>
                <w:color w:val="auto"/>
              </w:rPr>
              <w:t>(4.8)</w:t>
            </w:r>
          </w:p>
        </w:tc>
        <w:tc>
          <w:tcPr>
            <w:tcW w:w="3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(3.6)</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(20.0)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Less: Discretionary store asset acquisitions</w:t>
            </w:r>
          </w:p>
        </w:tc>
        <w:tc>
          <w:tcPr>
            <w:tcW w:w="1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7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CCEEFF"/>
          </w:tcPr>
          <w:p>
            <w:pPr>
              <w:spacing w:after="0"/>
              <w:rPr>
                <w:sz w:val="18"/>
                <w:szCs w:val="18"/>
                <w:color w:val="auto"/>
              </w:rPr>
            </w:pPr>
          </w:p>
        </w:tc>
      </w:tr>
      <w:tr>
        <w:trPr>
          <w:trHeight w:val="221"/>
        </w:trPr>
        <w:tc>
          <w:tcPr>
            <w:tcW w:w="4240" w:type="dxa"/>
            <w:vAlign w:val="bottom"/>
          </w:tcPr>
          <w:p>
            <w:pPr>
              <w:spacing w:after="0"/>
              <w:rPr>
                <w:sz w:val="20"/>
                <w:szCs w:val="20"/>
                <w:color w:val="auto"/>
              </w:rPr>
            </w:pPr>
            <w:r>
              <w:rPr>
                <w:rFonts w:ascii="Arial" w:cs="Arial" w:eastAsia="Arial" w:hAnsi="Arial"/>
                <w:sz w:val="18"/>
                <w:szCs w:val="18"/>
                <w:i w:val="1"/>
                <w:iCs w:val="1"/>
                <w:color w:val="auto"/>
              </w:rPr>
              <w:t>Estimated Free Cash Flow</w:t>
            </w:r>
          </w:p>
        </w:tc>
        <w:tc>
          <w:tcPr>
            <w:tcW w:w="1420" w:type="dxa"/>
            <w:vAlign w:val="bottom"/>
            <w:gridSpan w:val="2"/>
          </w:tcPr>
          <w:p>
            <w:pPr>
              <w:ind w:left="116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2"/>
          </w:tcPr>
          <w:p>
            <w:pPr>
              <w:jc w:val="right"/>
              <w:ind w:right="720"/>
              <w:spacing w:after="0"/>
              <w:rPr>
                <w:sz w:val="20"/>
                <w:szCs w:val="20"/>
                <w:color w:val="auto"/>
              </w:rPr>
            </w:pPr>
            <w:r>
              <w:rPr>
                <w:rFonts w:ascii="Arial" w:cs="Arial" w:eastAsia="Arial" w:hAnsi="Arial"/>
                <w:sz w:val="18"/>
                <w:szCs w:val="18"/>
                <w:i w:val="1"/>
                <w:iCs w:val="1"/>
                <w:color w:val="auto"/>
              </w:rPr>
              <w:t>13.4</w:t>
            </w:r>
          </w:p>
        </w:tc>
        <w:tc>
          <w:tcPr>
            <w:tcW w:w="380" w:type="dxa"/>
            <w:vAlign w:val="bottom"/>
          </w:tcPr>
          <w:p>
            <w:pPr>
              <w:spacing w:after="0"/>
              <w:rPr>
                <w:sz w:val="20"/>
                <w:szCs w:val="20"/>
                <w:color w:val="auto"/>
              </w:rPr>
            </w:pPr>
            <w:r>
              <w:rPr>
                <w:rFonts w:ascii="Arial" w:cs="Arial" w:eastAsia="Arial" w:hAnsi="Arial"/>
                <w:sz w:val="18"/>
                <w:szCs w:val="18"/>
                <w:i w:val="1"/>
                <w:iCs w:val="1"/>
                <w:color w:val="auto"/>
              </w:rPr>
              <w:t>$</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i w:val="1"/>
                <w:iCs w:val="1"/>
                <w:color w:val="auto"/>
              </w:rPr>
              <w:t>9.0</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   17.5 - $20.0</w:t>
            </w:r>
          </w:p>
        </w:tc>
      </w:tr>
    </w:tbl>
    <w:p>
      <w:pPr>
        <w:spacing w:after="0" w:line="1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Investors are invited to listen to a broadcast of the Company’s conference call to discuss its earnings results for the second quarter and first six months of fiscal 2011. The conference call will broadcast live today, Thursday, August 18, 2011 at 9:00 a.m. Eastern Daylight Time and can be accessed at </w:t>
      </w:r>
      <w:r>
        <w:rPr>
          <w:rFonts w:ascii="Arial" w:cs="Arial" w:eastAsia="Arial" w:hAnsi="Arial"/>
          <w:sz w:val="18"/>
          <w:szCs w:val="18"/>
          <w:u w:val="single" w:color="auto"/>
          <w:color w:val="auto"/>
        </w:rPr>
        <w:t>www.casualmalexl.com</w:t>
      </w:r>
      <w:r>
        <w:rPr>
          <w:rFonts w:ascii="Arial" w:cs="Arial" w:eastAsia="Arial" w:hAnsi="Arial"/>
          <w:sz w:val="18"/>
          <w:szCs w:val="18"/>
          <w:color w:val="auto"/>
        </w:rPr>
        <w:t xml:space="preserve"> and then clicking on the investor relations icon.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43"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Casual Male Retail Group, Inc., the largest retailer of big and tall men’s apparel with operations throughout the United States, Canada and Europe, operates 435 Casual Male XL retail and outlet stores, 8 Destination XL stores, 14 Rochester Clothing stores, and direct-to-consumer businesses which include several catalogs and e-commerce sites. The Company is headquartered in Canton, Massachusetts, and its common stock is listed on the NASDAQ Global Market under the symbol “CMRG.”</w:t>
      </w:r>
    </w:p>
    <w:p>
      <w:pPr>
        <w:spacing w:after="0" w:line="143"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i w:val="1"/>
          <w:iCs w:val="1"/>
          <w:color w:val="auto"/>
        </w:rPr>
        <w:t>Certain information contained in this press release, including the Company’s expectations regarding fiscal 2011,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18, 2011, that set forth certain risks and uncertainties that may have an impact on future results and direction of the Company.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spacing w:after="0" w:line="370"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jeffunger@usa.net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tables to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right"/>
              <w:ind w:right="620"/>
              <w:spacing w:after="0"/>
              <w:rPr>
                <w:sz w:val="20"/>
                <w:szCs w:val="20"/>
                <w:color w:val="auto"/>
              </w:rPr>
            </w:pPr>
            <w:r>
              <w:rPr>
                <w:rFonts w:ascii="Arial" w:cs="Arial" w:eastAsia="Arial" w:hAnsi="Arial"/>
                <w:sz w:val="14"/>
                <w:szCs w:val="14"/>
                <w:color w:val="auto"/>
                <w:w w:val="89"/>
              </w:rPr>
              <w:t>For the three months ended</w:t>
            </w:r>
          </w:p>
        </w:tc>
        <w:tc>
          <w:tcPr>
            <w:tcW w:w="120" w:type="dxa"/>
            <w:vAlign w:val="bottom"/>
          </w:tcPr>
          <w:p>
            <w:pPr>
              <w:spacing w:after="0"/>
              <w:rPr>
                <w:sz w:val="14"/>
                <w:szCs w:val="14"/>
                <w:color w:val="auto"/>
              </w:rPr>
            </w:pPr>
          </w:p>
        </w:tc>
        <w:tc>
          <w:tcPr>
            <w:tcW w:w="1880" w:type="dxa"/>
            <w:vAlign w:val="bottom"/>
            <w:gridSpan w:val="5"/>
          </w:tcPr>
          <w:p>
            <w:pPr>
              <w:jc w:val="right"/>
              <w:ind w:right="380"/>
              <w:spacing w:after="0"/>
              <w:rPr>
                <w:sz w:val="20"/>
                <w:szCs w:val="20"/>
                <w:color w:val="auto"/>
              </w:rPr>
            </w:pPr>
            <w:r>
              <w:rPr>
                <w:rFonts w:ascii="Arial" w:cs="Arial" w:eastAsia="Arial" w:hAnsi="Arial"/>
                <w:sz w:val="14"/>
                <w:szCs w:val="14"/>
                <w:color w:val="auto"/>
                <w:w w:val="93"/>
              </w:rPr>
              <w:t>For the six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140" w:type="dxa"/>
            <w:vAlign w:val="bottom"/>
            <w:gridSpan w:val="3"/>
          </w:tcPr>
          <w:p>
            <w:pPr>
              <w:jc w:val="right"/>
              <w:ind w:right="420"/>
              <w:spacing w:after="0" w:line="159" w:lineRule="exact"/>
              <w:rPr>
                <w:sz w:val="20"/>
                <w:szCs w:val="20"/>
                <w:color w:val="auto"/>
              </w:rPr>
            </w:pPr>
            <w:r>
              <w:rPr>
                <w:rFonts w:ascii="Arial" w:cs="Arial" w:eastAsia="Arial" w:hAnsi="Arial"/>
                <w:sz w:val="14"/>
                <w:szCs w:val="14"/>
                <w:color w:val="auto"/>
                <w:w w:val="84"/>
              </w:rPr>
              <w:t>July 30, 2011</w:t>
            </w:r>
          </w:p>
        </w:tc>
        <w:tc>
          <w:tcPr>
            <w:tcW w:w="1160" w:type="dxa"/>
            <w:vAlign w:val="bottom"/>
            <w:gridSpan w:val="3"/>
          </w:tcPr>
          <w:p>
            <w:pPr>
              <w:spacing w:after="0" w:line="159" w:lineRule="exact"/>
              <w:rPr>
                <w:sz w:val="20"/>
                <w:szCs w:val="20"/>
                <w:color w:val="auto"/>
              </w:rPr>
            </w:pPr>
            <w:r>
              <w:rPr>
                <w:rFonts w:ascii="Arial" w:cs="Arial" w:eastAsia="Arial" w:hAnsi="Arial"/>
                <w:sz w:val="14"/>
                <w:szCs w:val="14"/>
                <w:color w:val="auto"/>
              </w:rPr>
              <w:t>July 31, 2010</w:t>
            </w:r>
          </w:p>
        </w:tc>
        <w:tc>
          <w:tcPr>
            <w:tcW w:w="1140" w:type="dxa"/>
            <w:vAlign w:val="bottom"/>
            <w:gridSpan w:val="3"/>
          </w:tcPr>
          <w:p>
            <w:pPr>
              <w:spacing w:after="0" w:line="159" w:lineRule="exact"/>
              <w:rPr>
                <w:sz w:val="20"/>
                <w:szCs w:val="20"/>
                <w:color w:val="auto"/>
              </w:rPr>
            </w:pPr>
            <w:r>
              <w:rPr>
                <w:rFonts w:ascii="Arial" w:cs="Arial" w:eastAsia="Arial" w:hAnsi="Arial"/>
                <w:sz w:val="14"/>
                <w:szCs w:val="14"/>
                <w:color w:val="auto"/>
              </w:rPr>
              <w:t>July 30, 2011</w:t>
            </w:r>
          </w:p>
        </w:tc>
        <w:tc>
          <w:tcPr>
            <w:tcW w:w="860" w:type="dxa"/>
            <w:vAlign w:val="bottom"/>
            <w:gridSpan w:val="3"/>
          </w:tcPr>
          <w:p>
            <w:pPr>
              <w:ind w:left="20"/>
              <w:spacing w:after="0" w:line="159" w:lineRule="exact"/>
              <w:rPr>
                <w:sz w:val="20"/>
                <w:szCs w:val="20"/>
                <w:color w:val="auto"/>
              </w:rPr>
            </w:pPr>
            <w:r>
              <w:rPr>
                <w:rFonts w:ascii="Arial" w:cs="Arial" w:eastAsia="Arial" w:hAnsi="Arial"/>
                <w:sz w:val="14"/>
                <w:szCs w:val="14"/>
                <w:color w:val="auto"/>
                <w:w w:val="98"/>
              </w:rPr>
              <w:t>July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100,944</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97,251</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196,742</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192,235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52,153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52,142</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102,985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103,558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45,109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88,677</w:t>
            </w:r>
          </w:p>
        </w:tc>
        <w:tc>
          <w:tcPr>
            <w:tcW w:w="0" w:type="dxa"/>
            <w:vAlign w:val="bottom"/>
          </w:tcPr>
          <w:p>
            <w:pPr>
              <w:spacing w:after="0"/>
              <w:rPr>
                <w:sz w:val="1"/>
                <w:szCs w:val="1"/>
                <w:color w:val="auto"/>
              </w:rPr>
            </w:pPr>
          </w:p>
        </w:tc>
      </w:tr>
      <w:tr>
        <w:trPr>
          <w:trHeight w:val="323"/>
        </w:trPr>
        <w:tc>
          <w:tcPr>
            <w:tcW w:w="48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35,431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75,466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3,012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3,364</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6,068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38,795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77,750</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80" w:type="dxa"/>
            <w:vAlign w:val="bottom"/>
            <w:gridSpan w:val="2"/>
            <w:vMerge w:val="continue"/>
          </w:tcPr>
          <w:p>
            <w:pPr>
              <w:spacing w:after="0"/>
              <w:rPr>
                <w:sz w:val="19"/>
                <w:szCs w:val="19"/>
                <w:color w:val="auto"/>
              </w:rPr>
            </w:pP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7,423</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6,314</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12,223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10,927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Interest expense, net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6,266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10,827</w:t>
            </w:r>
          </w:p>
        </w:tc>
        <w:tc>
          <w:tcPr>
            <w:tcW w:w="0" w:type="dxa"/>
            <w:vAlign w:val="bottom"/>
          </w:tcPr>
          <w:p>
            <w:pPr>
              <w:spacing w:after="0"/>
              <w:rPr>
                <w:sz w:val="1"/>
                <w:szCs w:val="1"/>
                <w:color w:val="auto"/>
              </w:rPr>
            </w:pPr>
          </w:p>
        </w:tc>
      </w:tr>
      <w:tr>
        <w:trPr>
          <w:trHeight w:val="323"/>
        </w:trPr>
        <w:tc>
          <w:tcPr>
            <w:tcW w:w="48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738</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1,209</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 basic</w:t>
            </w: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80" w:type="dxa"/>
            <w:vAlign w:val="bottom"/>
            <w:gridSpan w:val="2"/>
            <w:vMerge w:val="continue"/>
          </w:tcPr>
          <w:p>
            <w:pPr>
              <w:spacing w:after="0"/>
              <w:rPr>
                <w:sz w:val="18"/>
                <w:szCs w:val="18"/>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0.14</w:t>
            </w:r>
          </w:p>
        </w:tc>
        <w:tc>
          <w:tcPr>
            <w:tcW w:w="4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0.23</w:t>
            </w:r>
          </w:p>
        </w:tc>
        <w:tc>
          <w:tcPr>
            <w:tcW w:w="4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323"/>
        </w:trPr>
        <w:tc>
          <w:tcPr>
            <w:tcW w:w="488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46,983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Diluted</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48,149</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47,494</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48,097</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47,384</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40" w:type="dxa"/>
            <w:vAlign w:val="bottom"/>
          </w:tcPr>
          <w:p>
            <w:pPr>
              <w:jc w:val="right"/>
              <w:ind w:right="127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30, 2011 and January 29,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July 30,</w:t>
            </w:r>
          </w:p>
        </w:tc>
        <w:tc>
          <w:tcPr>
            <w:tcW w:w="760" w:type="dxa"/>
            <w:vAlign w:val="bottom"/>
            <w:gridSpan w:val="3"/>
          </w:tcPr>
          <w:p>
            <w:pPr>
              <w:ind w:left="20"/>
              <w:spacing w:after="0"/>
              <w:rPr>
                <w:sz w:val="20"/>
                <w:szCs w:val="20"/>
                <w:color w:val="auto"/>
              </w:rPr>
            </w:pPr>
            <w:r>
              <w:rPr>
                <w:rFonts w:ascii="Arial" w:cs="Arial" w:eastAsia="Arial" w:hAnsi="Arial"/>
                <w:sz w:val="14"/>
                <w:szCs w:val="14"/>
                <w:color w:val="auto"/>
                <w:w w:val="98"/>
              </w:rPr>
              <w:t>January 29,</w:t>
            </w:r>
          </w:p>
        </w:tc>
      </w:tr>
      <w:tr>
        <w:trPr>
          <w:trHeight w:val="159"/>
        </w:trPr>
        <w:tc>
          <w:tcPr>
            <w:tcW w:w="4820" w:type="dxa"/>
            <w:vAlign w:val="bottom"/>
            <w:tcBorders>
              <w:bottom w:val="single" w:sz="8" w:color="CCEEFF"/>
            </w:tcBorders>
          </w:tcPr>
          <w:p>
            <w:pPr>
              <w:spacing w:after="0"/>
              <w:rPr>
                <w:sz w:val="13"/>
                <w:szCs w:val="13"/>
                <w:color w:val="auto"/>
              </w:rPr>
            </w:pPr>
          </w:p>
        </w:tc>
        <w:tc>
          <w:tcPr>
            <w:tcW w:w="48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rPr>
              <w:t>2011</w:t>
            </w:r>
          </w:p>
        </w:tc>
        <w:tc>
          <w:tcPr>
            <w:tcW w:w="3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3"/>
                <w:szCs w:val="13"/>
                <w:color w:val="auto"/>
              </w:rPr>
            </w:pP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22"/>
        </w:trPr>
        <w:tc>
          <w:tcPr>
            <w:tcW w:w="4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18,274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24"/>
                <w:szCs w:val="24"/>
                <w:color w:val="auto"/>
              </w:rPr>
            </w:pPr>
          </w:p>
        </w:tc>
      </w:tr>
      <w:tr>
        <w:trPr>
          <w:trHeight w:val="218"/>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95,042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92,889</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 current assets</w:t>
            </w: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12,221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12,503</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40,403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39,051</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Intangibles</w:t>
            </w: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32,001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32,262</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8"/>
                <w:szCs w:val="18"/>
                <w:color w:val="auto"/>
              </w:rPr>
            </w:pPr>
          </w:p>
        </w:tc>
      </w:tr>
      <w:tr>
        <w:trPr>
          <w:trHeight w:val="222"/>
        </w:trPr>
        <w:tc>
          <w:tcPr>
            <w:tcW w:w="48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4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199,521</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182,613</w:t>
            </w:r>
          </w:p>
        </w:tc>
        <w:tc>
          <w:tcPr>
            <w:tcW w:w="10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2"/>
        </w:trPr>
        <w:tc>
          <w:tcPr>
            <w:tcW w:w="482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52,431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47,762</w:t>
            </w:r>
          </w:p>
        </w:tc>
        <w:tc>
          <w:tcPr>
            <w:tcW w:w="100" w:type="dxa"/>
            <w:vAlign w:val="bottom"/>
          </w:tcPr>
          <w:p>
            <w:pPr>
              <w:spacing w:after="0"/>
              <w:rPr>
                <w:sz w:val="24"/>
                <w:szCs w:val="24"/>
                <w:color w:val="auto"/>
              </w:rPr>
            </w:pPr>
          </w:p>
        </w:tc>
      </w:tr>
      <w:tr>
        <w:trPr>
          <w:trHeight w:val="218"/>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21,248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21,981</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123,920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111,332</w:t>
            </w:r>
          </w:p>
        </w:tc>
        <w:tc>
          <w:tcPr>
            <w:tcW w:w="100" w:type="dxa"/>
            <w:vAlign w:val="bottom"/>
            <w:shd w:val="clear" w:color="auto" w:fill="CCEEFF"/>
          </w:tcPr>
          <w:p>
            <w:pPr>
              <w:spacing w:after="0"/>
              <w:rPr>
                <w:sz w:val="18"/>
                <w:szCs w:val="18"/>
                <w:color w:val="auto"/>
              </w:rPr>
            </w:pPr>
          </w:p>
        </w:tc>
      </w:tr>
      <w:tr>
        <w:trPr>
          <w:trHeight w:val="221"/>
        </w:trPr>
        <w:tc>
          <w:tcPr>
            <w:tcW w:w="482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4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199,521</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182,613</w:t>
            </w:r>
          </w:p>
        </w:tc>
        <w:tc>
          <w:tcPr>
            <w:tcW w:w="100" w:type="dxa"/>
            <w:vAlign w:val="bottom"/>
          </w:tcPr>
          <w:p>
            <w:pPr>
              <w:spacing w:after="0"/>
              <w:rPr>
                <w:sz w:val="19"/>
                <w:szCs w:val="19"/>
                <w:color w:val="auto"/>
              </w:rPr>
            </w:pPr>
          </w:p>
        </w:tc>
      </w:tr>
      <w:tr>
        <w:trPr>
          <w:trHeight w:val="372"/>
        </w:trPr>
        <w:tc>
          <w:tcPr>
            <w:tcW w:w="4820" w:type="dxa"/>
            <w:vAlign w:val="bottom"/>
          </w:tcPr>
          <w:p>
            <w:pPr>
              <w:spacing w:after="0"/>
              <w:rPr>
                <w:sz w:val="24"/>
                <w:szCs w:val="24"/>
                <w:color w:val="auto"/>
              </w:rPr>
            </w:pPr>
          </w:p>
        </w:tc>
        <w:tc>
          <w:tcPr>
            <w:tcW w:w="4840" w:type="dxa"/>
            <w:vAlign w:val="bottom"/>
          </w:tcPr>
          <w:p>
            <w:pPr>
              <w:jc w:val="right"/>
              <w:ind w:right="381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2019-12-10T08:33:11Z</dcterms:created>
  <dcterms:modified xsi:type="dcterms:W3CDTF">2019-12-10T08:33:11Z</dcterms:modified>
</cp:coreProperties>
</file>