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61"/>
              <w:spacing w:after="0"/>
              <w:rPr>
                <w:sz w:val="20"/>
                <w:szCs w:val="20"/>
                <w:color w:val="auto"/>
              </w:rPr>
            </w:pPr>
            <w:r>
              <w:rPr>
                <w:rFonts w:ascii="Arial" w:cs="Arial" w:eastAsia="Arial" w:hAnsi="Arial"/>
                <w:sz w:val="18"/>
                <w:szCs w:val="18"/>
                <w:b w:val="1"/>
                <w:bCs w:val="1"/>
                <w:color w:val="auto"/>
              </w:rPr>
              <w:t>01-34219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0"/>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87"/>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5"/>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November 17, 2023, Destination XL Group, Inc. (the “Company”) issued a press release announcing the Company’s operating results for the third quarter of fiscal 2023. A copy of this press release is furnished herewith as Exhibit 99.1.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 audio webcast to discuss the Company’s operating results for the third quarter of fiscal 2023 will be held today, Friday, November 17, 2023 at 9:00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can access the webcast on the Company's website at www.dxl.com under the Investor Relations section.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86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520" w:type="dxa"/>
            <w:vAlign w:val="bottom"/>
          </w:tcPr>
          <w:p>
            <w:pPr>
              <w:spacing w:after="0"/>
              <w:rPr>
                <w:sz w:val="18"/>
                <w:szCs w:val="18"/>
                <w:color w:val="auto"/>
              </w:rPr>
            </w:pPr>
          </w:p>
        </w:tc>
        <w:tc>
          <w:tcPr>
            <w:tcW w:w="6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Press release dated November 17, 2023 announcing third quarter of fiscal 2023 results.</w:t>
            </w:r>
          </w:p>
        </w:tc>
        <w:tc>
          <w:tcPr>
            <w:tcW w:w="2600" w:type="dxa"/>
            <w:vAlign w:val="bottom"/>
            <w:gridSpan w:val="2"/>
          </w:tcPr>
          <w:p>
            <w:pPr>
              <w:spacing w:after="0"/>
              <w:rPr>
                <w:sz w:val="18"/>
                <w:szCs w:val="18"/>
                <w:color w:val="auto"/>
              </w:rPr>
            </w:pPr>
          </w:p>
        </w:tc>
      </w:tr>
      <w:tr>
        <w:trPr>
          <w:trHeight w:val="43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5"/>
          </w:tcPr>
          <w:p>
            <w:pPr>
              <w:spacing w:after="0" w:line="196" w:lineRule="exact"/>
              <w:rPr>
                <w:sz w:val="20"/>
                <w:szCs w:val="20"/>
                <w:color w:val="auto"/>
              </w:rPr>
            </w:pPr>
            <w:r>
              <w:rPr>
                <w:rFonts w:ascii="Arial" w:cs="Arial" w:eastAsia="Arial" w:hAnsi="Arial"/>
                <w:sz w:val="18"/>
                <w:szCs w:val="18"/>
                <w:color w:val="auto"/>
              </w:rPr>
              <w:t>its XBRL tags are embedded within the Inline XBRL document.</w:t>
            </w: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3234055</wp:posOffset>
            </wp:positionH>
            <wp:positionV relativeFrom="page">
              <wp:posOffset>88900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t>Exhibit 99.1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Third Quarter Financial Results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Sales of $119.2 million, Net Income of $0.06 per diluted share, Provides Updated Guidance</w:t>
      </w:r>
    </w:p>
    <w:p>
      <w:pPr>
        <w:spacing w:after="0" w:line="34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CANTON, Mass., November 17, 2023 – Destination XL Group, Inc. (NASDAQ: DXLG), the leading integrated-commerce specialty retailer of Big + Tall men’s clothing and shoes, today reported operating results for the third quarter of fiscal 2023, and updated sales and earnings guidance for the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Financial Highlights</w:t>
      </w:r>
    </w:p>
    <w:p>
      <w:pPr>
        <w:spacing w:after="0" w:line="141" w:lineRule="exact"/>
        <w:rPr>
          <w:sz w:val="20"/>
          <w:szCs w:val="20"/>
          <w:color w:val="auto"/>
        </w:rPr>
      </w:pPr>
    </w:p>
    <w:p>
      <w:pPr>
        <w:ind w:left="760" w:right="2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sales for the third quarter were $119.2 million, down 8.1% from $129.7 million in the third quarter of fiscal 2022. Comparable sales for the third quarter of fiscal 2023 decreased 6.7% as compared to the third quarter of fiscal 2022.</w:t>
      </w:r>
    </w:p>
    <w:p>
      <w:pPr>
        <w:spacing w:after="0" w:line="149" w:lineRule="exact"/>
        <w:rPr>
          <w:rFonts w:ascii="Arial" w:cs="Arial" w:eastAsia="Arial" w:hAnsi="Arial"/>
          <w:sz w:val="20"/>
          <w:szCs w:val="20"/>
          <w:color w:val="auto"/>
        </w:rPr>
      </w:pPr>
    </w:p>
    <w:p>
      <w:pPr>
        <w:ind w:left="760" w:right="52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for the third quarter was $0.06 per diluted share, as compared to net income of $0.16 per diluted share in the third quarter of fiscal 2022.</w:t>
      </w:r>
    </w:p>
    <w:p>
      <w:pPr>
        <w:spacing w:after="0" w:line="136" w:lineRule="exact"/>
        <w:rPr>
          <w:rFonts w:ascii="Arial" w:cs="Arial" w:eastAsia="Arial" w:hAnsi="Arial"/>
          <w:sz w:val="20"/>
          <w:szCs w:val="20"/>
          <w:color w:val="auto"/>
        </w:rPr>
      </w:pPr>
    </w:p>
    <w:p>
      <w:pPr>
        <w:ind w:left="760" w:right="4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(a non-GAAP measure) for the third quarter was $8.6 million, or 7.3% of sales, as compared to $16.4 million, or 12.7% of sales in the third quarter of fiscal 2022.</w:t>
      </w:r>
    </w:p>
    <w:p>
      <w:pPr>
        <w:spacing w:after="0" w:line="136" w:lineRule="exact"/>
        <w:rPr>
          <w:rFonts w:ascii="Arial" w:cs="Arial" w:eastAsia="Arial" w:hAnsi="Arial"/>
          <w:sz w:val="20"/>
          <w:szCs w:val="20"/>
          <w:color w:val="auto"/>
        </w:rPr>
      </w:pPr>
    </w:p>
    <w:p>
      <w:pPr>
        <w:ind w:left="760" w:right="320" w:hanging="378"/>
        <w:spacing w:after="0" w:line="246"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Cash flow from operations for the nine months ended October 28, 2023 of $33.1 million, as compared $30.2 million for the nine months ended October 29, 2022, with free cash flow increasing from $22.3 million to $22.7 million. Total cash and investments were $60.4 million at October 28, 2023, as compared to $23.5 million at October 29, 2022, with no outstanding debt for either period.</w:t>
      </w:r>
    </w:p>
    <w:p>
      <w:pPr>
        <w:spacing w:after="0" w:line="164" w:lineRule="exact"/>
        <w:rPr>
          <w:rFonts w:ascii="Arial" w:cs="Arial" w:eastAsia="Arial" w:hAnsi="Arial"/>
          <w:sz w:val="20"/>
          <w:szCs w:val="20"/>
          <w:color w:val="auto"/>
        </w:rPr>
      </w:pPr>
    </w:p>
    <w:p>
      <w:pPr>
        <w:ind w:left="760" w:right="320" w:hanging="378"/>
        <w:spacing w:after="0" w:line="287" w:lineRule="auto"/>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Utilized free cash flow to repurchase 0.8 million shares of common stock for $4.0 million, or an average cost of $4.82 per share. Amended stock repurchase program to increase amount authorized from $15.0 million to $25.0 million.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Comments</w:t>
      </w:r>
    </w:p>
    <w:p>
      <w:pPr>
        <w:spacing w:after="0" w:line="141" w:lineRule="exact"/>
        <w:rPr>
          <w:sz w:val="20"/>
          <w:szCs w:val="20"/>
          <w:color w:val="auto"/>
        </w:rPr>
      </w:pPr>
    </w:p>
    <w:p>
      <w:pPr>
        <w:ind w:right="180"/>
        <w:spacing w:after="0" w:line="257" w:lineRule="auto"/>
        <w:rPr>
          <w:sz w:val="20"/>
          <w:szCs w:val="20"/>
          <w:color w:val="auto"/>
        </w:rPr>
      </w:pPr>
      <w:r>
        <w:rPr>
          <w:rFonts w:ascii="Arial" w:cs="Arial" w:eastAsia="Arial" w:hAnsi="Arial"/>
          <w:sz w:val="19"/>
          <w:szCs w:val="19"/>
          <w:color w:val="auto"/>
        </w:rPr>
        <w:t>"Despite this challenging quarter, we remain disciplined and committed to the strategy and initiatives of which we have spoken previously. Since we repositioned DXL in fiscal 2019, we have grown comparable sales by more than 25% and more than doubled our Adjusted EBITDA margin rate. This trajectory supports our strong belief in the longer-term opportunity for DXL in the men’s big &amp; tall apparel category. This belief in our future is emboldened by our strong financial position. We have no debt and $60 million of cash, and over $150 million of stockholders' equity, which provides a greater opportunity to invest and drive our strategic initiatives, which include opening productive new stores, deploying a new web platform, launching a brand awareness campaign, and pursuing greater exclusive merchandise collaborations and alliances,” said Harvey Kanter, President, and Chief Executive Officer.</w:t>
      </w:r>
    </w:p>
    <w:p>
      <w:pPr>
        <w:spacing w:after="0" w:line="7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"As we look forward to fiscal 2024, we need to drive share of voice, build greater awareness, and generate trial. We know if consumers experience DXL, given our conversion, repeat rates, Lifetime Value, and net promoter scores, we will win and grow market share. That being said, we will be both pragmatic and thoughtful about the investments we make in the context of market challenges. We will determine appropriate investment levels as the landscape becomes clearer. We remain incredibly enthusiastic about our prospects and the opportunity to serve a big &amp; tall consumer who needs and wants something better than any other retailer has to offer,” Kanter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Our Future Growth Strategy</w:t>
      </w:r>
    </w:p>
    <w:p>
      <w:pPr>
        <w:spacing w:after="0" w:line="11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We believe we can capture a greater share of what we estimate is a $23.0 billion total addressable market in the domestic men’s big &amp; tall apparel category. Since 2019, we have further strengthened and fortified our balance sheet which gives us the financial flexibility to execute our plans. We remain relentlessly focused on controlling what we can control, which includes a commitment to meaningfully accelerate the growth trajectory of the company by focusing on four specific growth objectives:</w:t>
      </w:r>
    </w:p>
    <w:p>
      <w:pPr>
        <w:spacing w:after="0" w:line="83"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i w:val="1"/>
          <w:iCs w:val="1"/>
          <w:u w:val="single" w:color="auto"/>
          <w:color w:val="auto"/>
        </w:rPr>
        <w:t>Store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We opened our first new DXL store since 2018 in Queens, NY. We expect to open two more stores by the end of 2023</w:t>
      </w:r>
      <w:r>
        <w:rPr>
          <w:rFonts w:ascii="Arial" w:cs="Arial" w:eastAsia="Arial" w:hAnsi="Arial"/>
          <w:sz w:val="18"/>
          <w:szCs w:val="18"/>
          <w:i w:val="1"/>
          <w:iCs w:val="1"/>
          <w:color w:val="auto"/>
        </w:rPr>
        <w:t xml:space="preserve"> </w:t>
      </w:r>
      <w:r>
        <w:rPr>
          <w:rFonts w:ascii="Arial" w:cs="Arial" w:eastAsia="Arial" w:hAnsi="Arial"/>
          <w:sz w:val="18"/>
          <w:szCs w:val="18"/>
          <w:color w:val="auto"/>
        </w:rPr>
        <w:t>and ten more stores in 2024. We have converted seven Casual Males stores to DXL this year and expect to convert three more by the end of 2023. Over the next three to five years, we believe we could potentially open 50 net new stores across the country.</w:t>
      </w:r>
    </w:p>
    <w:p>
      <w:pPr>
        <w:spacing w:after="0" w:line="44"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i w:val="1"/>
          <w:iCs w:val="1"/>
          <w:u w:val="single" w:color="auto"/>
          <w:color w:val="auto"/>
        </w:rPr>
        <w:t>Website Replatform:</w:t>
      </w:r>
      <w:r>
        <w:rPr>
          <w:rFonts w:ascii="Arial" w:cs="Arial" w:eastAsia="Arial" w:hAnsi="Arial"/>
          <w:sz w:val="20"/>
          <w:szCs w:val="20"/>
          <w:i w:val="1"/>
          <w:iCs w:val="1"/>
          <w:color w:val="auto"/>
        </w:rPr>
        <w:t xml:space="preserve"> </w:t>
      </w:r>
      <w:r>
        <w:rPr>
          <w:rFonts w:ascii="Arial" w:cs="Arial" w:eastAsia="Arial" w:hAnsi="Arial"/>
          <w:sz w:val="20"/>
          <w:szCs w:val="20"/>
          <w:color w:val="auto"/>
        </w:rPr>
        <w:t>We are upgrading our website from legacy infrastructure to a modern commerce platform, with features and</w:t>
      </w:r>
      <w:r>
        <w:rPr>
          <w:rFonts w:ascii="Arial" w:cs="Arial" w:eastAsia="Arial" w:hAnsi="Arial"/>
          <w:sz w:val="20"/>
          <w:szCs w:val="20"/>
          <w:i w:val="1"/>
          <w:iCs w:val="1"/>
          <w:color w:val="auto"/>
        </w:rPr>
        <w:t xml:space="preserve"> </w:t>
      </w:r>
      <w:r>
        <w:rPr>
          <w:rFonts w:ascii="Arial" w:cs="Arial" w:eastAsia="Arial" w:hAnsi="Arial"/>
          <w:sz w:val="20"/>
          <w:szCs w:val="20"/>
          <w:color w:val="auto"/>
        </w:rPr>
        <w:t>functionality launching throughout 2024. We believe this modernization will offer immediate performance improvements and customer experience benefits, while positioning us to deliver a greater pace of change in the future.</w:t>
      </w:r>
    </w:p>
    <w:p>
      <w:pPr>
        <w:spacing w:after="0" w:line="7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i w:val="1"/>
          <w:iCs w:val="1"/>
          <w:u w:val="single" w:color="auto"/>
          <w:color w:val="auto"/>
        </w:rPr>
        <w:t>Marketing &amp; Brand Building</w:t>
      </w:r>
      <w:r>
        <w:rPr>
          <w:rFonts w:ascii="Arial" w:cs="Arial" w:eastAsia="Arial" w:hAnsi="Arial"/>
          <w:sz w:val="20"/>
          <w:szCs w:val="20"/>
          <w:color w:val="auto"/>
        </w:rPr>
        <w:t>: We have begun our search for a creative agency to develop, build, and execute a campaign that will drive an</w:t>
      </w:r>
      <w:r>
        <w:rPr>
          <w:rFonts w:ascii="Arial" w:cs="Arial" w:eastAsia="Arial" w:hAnsi="Arial"/>
          <w:sz w:val="20"/>
          <w:szCs w:val="20"/>
          <w:i w:val="1"/>
          <w:iCs w:val="1"/>
          <w:color w:val="auto"/>
        </w:rPr>
        <w:t xml:space="preserve"> </w:t>
      </w:r>
      <w:r>
        <w:rPr>
          <w:rFonts w:ascii="Arial" w:cs="Arial" w:eastAsia="Arial" w:hAnsi="Arial"/>
          <w:sz w:val="20"/>
          <w:szCs w:val="20"/>
          <w:color w:val="auto"/>
        </w:rPr>
        <w:t>emotional connection to the brand and drive brand awareness. We are targeting a campaign launch for late Spring 2024 and we are prepared to conservatively spend another 1.0% to 2.0% of sales to initially fund that initiative and, with results, fund our marketing and brand building initiatives at greater levels over time.</w:t>
      </w:r>
    </w:p>
    <w:p>
      <w:pPr>
        <w:spacing w:after="0" w:line="8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i w:val="1"/>
          <w:iCs w:val="1"/>
          <w:u w:val="single" w:color="auto"/>
          <w:color w:val="auto"/>
        </w:rPr>
        <w:t>Alliances &amp; Collaborations:</w:t>
      </w:r>
      <w:r>
        <w:rPr>
          <w:rFonts w:ascii="Arial" w:cs="Arial" w:eastAsia="Arial" w:hAnsi="Arial"/>
          <w:sz w:val="20"/>
          <w:szCs w:val="20"/>
          <w:i w:val="1"/>
          <w:iCs w:val="1"/>
          <w:color w:val="auto"/>
        </w:rPr>
        <w:t xml:space="preserve"> </w:t>
      </w:r>
      <w:r>
        <w:rPr>
          <w:rFonts w:ascii="Arial" w:cs="Arial" w:eastAsia="Arial" w:hAnsi="Arial"/>
          <w:sz w:val="20"/>
          <w:szCs w:val="20"/>
          <w:color w:val="auto"/>
        </w:rPr>
        <w:t>We launched a new collaboration with UNTUCKit and added two more iconic brands to our assortment with</w:t>
      </w:r>
      <w:r>
        <w:rPr>
          <w:rFonts w:ascii="Arial" w:cs="Arial" w:eastAsia="Arial" w:hAnsi="Arial"/>
          <w:sz w:val="20"/>
          <w:szCs w:val="20"/>
          <w:i w:val="1"/>
          <w:iCs w:val="1"/>
          <w:color w:val="auto"/>
        </w:rPr>
        <w:t xml:space="preserve"> </w:t>
      </w:r>
      <w:r>
        <w:rPr>
          <w:rFonts w:ascii="Arial" w:cs="Arial" w:eastAsia="Arial" w:hAnsi="Arial"/>
          <w:sz w:val="20"/>
          <w:szCs w:val="20"/>
          <w:color w:val="auto"/>
        </w:rPr>
        <w:t>Faherty and Hugo Boss in the third quarter. All three programs have exceeded our initial expectations and we will look for door expansions in all three for 2024.</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Third Quarter Results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Total sales for the third quarter of fiscal 2023 were $119.2 million, as compared to $129.7 million in the third quarter of fiscal 2022.</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Comparable sales for the third quarter decreased 6.7% with comparable sales from our stores down 8.1% and our direct business down 3.2%.</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The remainder of the decrease was due to sales from closed stores and a decrease in non-comparable sales.</w:t>
      </w:r>
    </w:p>
    <w:p>
      <w:pPr>
        <w:spacing w:after="0" w:line="9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During the third quarter, we saw a further slowdown in store traffic and dollars per transaction as consumer spending continued to be negatively impacted by the economy and inflationary pressures. Sales were particularly softer in categories that outperformed last year due to a resurgence of back-to-work and social events. The decrease of 3.2% in the direct business was primarily due to a decrease in marketplace sales. The DXL website, which was down 1.5%, performed better as a result of improvements in email marketing and growth from our mobile app.</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For the third quarter of fiscal 2023, our gross margin rate, inclusive of occupancy costs, was 47.5% as compared to a gross margin rate of 50.0% for the third quarter of fiscal 2022.</w:t>
      </w:r>
    </w:p>
    <w:p>
      <w:pPr>
        <w:spacing w:after="0" w:line="69"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Our gross margin rate decreased by 250-basis points, with a decrease in merchandise margin of 110-basis points and an increase of 140-basis points in occupancy costs primarily due to the deleveraging of sales and increased rents as a result of lease extensions. The decrease in merchandise margin of 110-basis points was due to continued cost pressures on certain private-label merchandise, much of which we continued to absorb rather than passing on to the customer through price increases. We also experienced increased shipping costs related to direct-to-consumer shipments and costs related to our loyalty program with more sales tendered with loyalty certificates, as compared to the third quarter of fiscal 2022. These cost increases were partially offset by lower inbound freight costs. For the year, we expect gross margin rates to be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 w:name="page6"/>
    <w:bookmarkEnd w:id="5"/>
    <w:p>
      <w:pPr>
        <w:ind w:right="620"/>
        <w:spacing w:after="0" w:line="260" w:lineRule="auto"/>
        <w:rPr>
          <w:sz w:val="20"/>
          <w:szCs w:val="20"/>
          <w:color w:val="auto"/>
        </w:rPr>
      </w:pPr>
      <w:r>
        <w:rPr>
          <w:rFonts w:ascii="Arial" w:cs="Arial" w:eastAsia="Arial" w:hAnsi="Arial"/>
          <w:sz w:val="20"/>
          <w:szCs w:val="20"/>
          <w:color w:val="auto"/>
        </w:rPr>
        <w:t>approximately 180-basis points lower than fiscal 2022, of which approximately half of this decrease being attributable to the expected deleveraging of occupancy costs on the lower sales base.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a percentage of sales, SG&amp;A (selling, general and administrative) expenses for the third quarter of fiscal 2023 were 40.2% as compared to 37.3% for the third quarter of fiscal 2022.</w:t>
      </w:r>
    </w:p>
    <w:p>
      <w:pPr>
        <w:spacing w:after="0" w:line="9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On a dollar basis, SG&amp;A expenses decreased by $0.4 million as compared to the third quarter of fiscal 2022. The decrease was primarily due to a decrease in store payroll and performance-based incentive accruals, partially offset by an increase in payroll-related costs from new positions added in the past year to support our long-range growth initiatives.</w:t>
      </w:r>
    </w:p>
    <w:p>
      <w:pPr>
        <w:spacing w:after="0" w:line="11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22.5% of sales in the third quarter of fiscal 2023 as compared to 21.6% of sales in the third quarter of fiscal 2022. Corporate Support Costs, which include the distribution center and corporate overhead costs, represented 17.7% of sales in the third quarter of fiscal 2023 as compared to 15.7% of sales in the third quarter of fiscal 2022. Marketing costs were 6.3% of sales for the third quarter of fiscal 2023 as compared to 5.9% of sales for the third quarter of fiscal 2022. For fiscal 2023, marketing costs are expected to be approximately 5.7% of sales.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from Termination of SERP Plan</w:t>
      </w:r>
    </w:p>
    <w:p>
      <w:pPr>
        <w:spacing w:after="0" w:line="10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During the third quarter of fiscal 2023, the Company terminated its frozen Supplemental Executive Retirement Plan ("SERP"), taking advantage of the current high-interest rate environment. We completed the termination in the third quarter through the purchase of an annuity. We made a cash contribution to the plan in the third quarter of $0.4 million and recognized a charge of $0.1 million, representing the loss on settlement.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 (Expense), Net</w:t>
      </w:r>
    </w:p>
    <w:p>
      <w:pPr>
        <w:spacing w:after="0" w:line="10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Net interest income for the third quarter of fiscal 2023 was $0.6 million, as compared to interest expense of $0.1 million for the third quarter of fiscal 2022. For the third quarter of fiscal 2023, interest income was earned from investments in U.S. government-backed investments and money market accounts. Interest costs for both periods were minimal because we had no outstanding debt and no borrowings under our credit facility during either period.</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10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As a result of releasing substantially all of the valuation allowance against our deferred tax assets during fiscal 2022, we have returned to a normal tax provision for fiscal 2023. Our tax provision for income taxes for interim periods is determined using an estimate of our annual effective tax rate, adjusted for discrete items, if any. Each quarter, we update our estimate of the annual effective tax rate and make a year-to-date adjustment to the provision.</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the third quarter of fiscal 2023, the effective tax rate was 30.2%. For the third quarter of fiscal 2022, the effective tax rate was 16.6% and primarily reflected a $2.0 million discrete tax expense to adjust the release of valuation allowance.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48"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For the third quarter of fiscal 2023, net income was $4.0 million, or $0.06 per diluted share, as compared to net income for the third quarter of fiscal 2022 of $10.5 million, or $0.16 per diluted share.</w:t>
      </w:r>
    </w:p>
    <w:p>
      <w:pPr>
        <w:spacing w:after="0" w:line="6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On a non-GAAP basis, assuming a normalized tax rate of 27% and adjusting for the loss on termination of the retirement plans and asset impairment (gain), if any, adjusted net income for the third quarter of fiscal 2023 was $4.2 million, or $0.07 per diluted share, as compared to $9.2 million, or $0.14 per diluted share, for the third quarter of fiscal 2022.</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jc w:val="center"/>
        <w:ind w:right="-19"/>
        <w:spacing w:after="0" w:line="238" w:lineRule="auto"/>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 w:name="page7"/>
    <w:bookmarkEnd w:id="6"/>
    <w:p>
      <w:pPr>
        <w:ind w:right="320"/>
        <w:spacing w:after="0" w:line="260" w:lineRule="auto"/>
        <w:rPr>
          <w:sz w:val="20"/>
          <w:szCs w:val="20"/>
          <w:color w:val="auto"/>
        </w:rPr>
      </w:pPr>
      <w:r>
        <w:rPr>
          <w:rFonts w:ascii="Arial" w:cs="Arial" w:eastAsia="Arial" w:hAnsi="Arial"/>
          <w:sz w:val="20"/>
          <w:szCs w:val="20"/>
          <w:color w:val="auto"/>
        </w:rPr>
        <w:t>Adjusted EBITDA, a non-GAAP measure, for the third quarter of fiscal 2023 was $8.6 million, as compared to $16.4 million for the third quarter of fiscal 2022.</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3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Cash flow from operations for the first nine months of fiscal 2023 was $33.1 million as compared to $30.2 million for the first nine months of fiscal 2022. Free cash flow, a non-GAAP measure, was $22.7 million for the first nine months of fiscal 2023 as compared to $22.3 million for the first nine months of fiscal 2022. The increase in free cash flow was primarily due to a decrease in merchandise purchases as we continue to drive more productive inventory utilization partially offset by a decrease in operating income.</w:t>
      </w:r>
    </w:p>
    <w:p>
      <w:pPr>
        <w:spacing w:after="0" w:line="109" w:lineRule="exact"/>
        <w:rPr>
          <w:sz w:val="20"/>
          <w:szCs w:val="20"/>
          <w:color w:val="auto"/>
        </w:rPr>
      </w:pPr>
    </w:p>
    <w:p>
      <w:pPr>
        <w:ind w:right="580"/>
        <w:spacing w:after="0" w:line="316" w:lineRule="auto"/>
        <w:rPr>
          <w:sz w:val="20"/>
          <w:szCs w:val="20"/>
          <w:color w:val="auto"/>
        </w:rPr>
      </w:pPr>
      <w:r>
        <w:rPr>
          <w:rFonts w:ascii="Arial" w:cs="Arial" w:eastAsia="Arial" w:hAnsi="Arial"/>
          <w:sz w:val="18"/>
          <w:szCs w:val="18"/>
          <w:color w:val="auto"/>
        </w:rPr>
        <w:t>We expect our capital expenditures to range from $15.5 million to $17.5 million in fiscal 2023, of which approximately $7.8 million is discretionary spending for new or improved stores with the remaining for non-discretionary, infrastructure improvements.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gridSpan w:val="5"/>
          </w:tcPr>
          <w:p>
            <w:pPr>
              <w:jc w:val="right"/>
              <w:ind w:right="1840"/>
              <w:spacing w:after="0"/>
              <w:rPr>
                <w:sz w:val="20"/>
                <w:szCs w:val="20"/>
                <w:color w:val="auto"/>
              </w:rPr>
            </w:pPr>
            <w:r>
              <w:rPr>
                <w:rFonts w:ascii="Arial" w:cs="Arial" w:eastAsia="Arial" w:hAnsi="Arial"/>
                <w:sz w:val="14"/>
                <w:szCs w:val="14"/>
                <w:color w:val="auto"/>
              </w:rPr>
              <w:t>For the nine months ended</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4"/>
                <w:szCs w:val="14"/>
                <w:color w:val="auto"/>
              </w:rPr>
              <w:t>October 28, 2023</w:t>
            </w:r>
          </w:p>
        </w:tc>
        <w:tc>
          <w:tcPr>
            <w:tcW w:w="380" w:type="dxa"/>
            <w:vAlign w:val="bottom"/>
          </w:tcPr>
          <w:p>
            <w:pPr>
              <w:spacing w:after="0"/>
              <w:rPr>
                <w:sz w:val="15"/>
                <w:szCs w:val="15"/>
                <w:color w:val="auto"/>
              </w:rPr>
            </w:pPr>
          </w:p>
        </w:tc>
        <w:tc>
          <w:tcPr>
            <w:tcW w:w="2380" w:type="dxa"/>
            <w:vAlign w:val="bottom"/>
            <w:gridSpan w:val="2"/>
          </w:tcPr>
          <w:p>
            <w:pPr>
              <w:jc w:val="right"/>
              <w:ind w:right="1080"/>
              <w:spacing w:after="0"/>
              <w:rPr>
                <w:sz w:val="20"/>
                <w:szCs w:val="20"/>
                <w:color w:val="auto"/>
              </w:rPr>
            </w:pPr>
            <w:r>
              <w:rPr>
                <w:rFonts w:ascii="Arial" w:cs="Arial" w:eastAsia="Arial" w:hAnsi="Arial"/>
                <w:sz w:val="14"/>
                <w:szCs w:val="14"/>
                <w:color w:val="auto"/>
              </w:rPr>
              <w:t>October 29, 2022</w:t>
            </w:r>
          </w:p>
        </w:tc>
      </w:tr>
      <w:tr>
        <w:trPr>
          <w:trHeight w:val="169"/>
        </w:trPr>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36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380" w:type="dxa"/>
            <w:vAlign w:val="bottom"/>
            <w:shd w:val="clear" w:color="auto" w:fill="CFF0FC"/>
          </w:tcPr>
          <w:p>
            <w:pPr>
              <w:spacing w:after="0"/>
              <w:rPr>
                <w:sz w:val="14"/>
                <w:szCs w:val="14"/>
                <w:color w:val="auto"/>
              </w:rPr>
            </w:pPr>
          </w:p>
        </w:tc>
      </w:tr>
      <w:tr>
        <w:trPr>
          <w:trHeight w:val="175"/>
        </w:trPr>
        <w:tc>
          <w:tcPr>
            <w:tcW w:w="602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5"/>
                <w:szCs w:val="15"/>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4"/>
                <w:szCs w:val="14"/>
                <w:color w:val="auto"/>
              </w:rPr>
              <w:t>(10.4 )</w:t>
            </w:r>
          </w:p>
        </w:tc>
        <w:tc>
          <w:tcPr>
            <w:tcW w:w="380" w:type="dxa"/>
            <w:vAlign w:val="bottom"/>
          </w:tcPr>
          <w:p>
            <w:pPr>
              <w:spacing w:after="0"/>
              <w:rPr>
                <w:sz w:val="15"/>
                <w:szCs w:val="15"/>
                <w:color w:val="auto"/>
              </w:rPr>
            </w:pPr>
          </w:p>
        </w:tc>
        <w:tc>
          <w:tcPr>
            <w:tcW w:w="2380" w:type="dxa"/>
            <w:vAlign w:val="bottom"/>
            <w:gridSpan w:val="2"/>
          </w:tcPr>
          <w:p>
            <w:pPr>
              <w:jc w:val="right"/>
              <w:ind w:right="320"/>
              <w:spacing w:after="0"/>
              <w:rPr>
                <w:sz w:val="20"/>
                <w:szCs w:val="20"/>
                <w:color w:val="auto"/>
              </w:rPr>
            </w:pPr>
            <w:r>
              <w:rPr>
                <w:rFonts w:ascii="Arial" w:cs="Arial" w:eastAsia="Arial" w:hAnsi="Arial"/>
                <w:sz w:val="14"/>
                <w:szCs w:val="14"/>
                <w:color w:val="auto"/>
              </w:rPr>
              <w:t>(7.9 )</w:t>
            </w:r>
          </w:p>
        </w:tc>
      </w:tr>
      <w:tr>
        <w:trPr>
          <w:trHeight w:val="209"/>
        </w:trPr>
        <w:tc>
          <w:tcPr>
            <w:tcW w:w="60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w:t>
            </w:r>
          </w:p>
        </w:tc>
        <w:tc>
          <w:tcPr>
            <w:tcW w:w="3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18084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8480" cy="18859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Adjusted net income, adjusted net income per diluted share, adjusted EBITDA, adjusted EBITDA margin and free cash flow are non-GAAP financial measures. Please see “Non-GAAP Measures” below and reconciliations of these non-GAAP measures to the comparable GAAP measures that follow in the tables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340"/>
        <w:spacing w:after="0" w:line="269" w:lineRule="auto"/>
        <w:rPr>
          <w:sz w:val="20"/>
          <w:szCs w:val="20"/>
          <w:color w:val="auto"/>
        </w:rPr>
      </w:pPr>
      <w:r>
        <w:rPr>
          <w:rFonts w:ascii="Arial" w:cs="Arial" w:eastAsia="Arial" w:hAnsi="Arial"/>
          <w:sz w:val="19"/>
          <w:szCs w:val="19"/>
          <w:color w:val="auto"/>
        </w:rPr>
        <w:t>As of October 28, 2023, we had cash and investments of $60.4 million as compared to $23.5 million as of October 29, 2022, with no outstanding debt in either period. We did not have any borrowings under our credit facility during the third quarter and, as of October 28, 2023, the availability under our credit facility was $87.6 million, as compared to $90.2 million as of October 29, 2022.</w:t>
      </w:r>
    </w:p>
    <w:p>
      <w:pPr>
        <w:spacing w:after="0" w:line="6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As of October 28, 2023, our inventory decreased approximately $7.0 million to $99.9 million, as compared to $106.8 million as of October 29, 2022. Based on the sales trends we started to see in March 2023, we began taking proactive measures to manage our inventory and adjust our receipt plan. At October 28, 2023, our clearance inventory was 9.7% of our total inventory, as compared to 6.7% at October 29, 2022 and still below our historical benchmark of approximately 10.0%.</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Stock Repurchase Program</w:t>
      </w:r>
    </w:p>
    <w:p>
      <w:pPr>
        <w:spacing w:after="0" w:line="114"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In March 2023, our Board of Directors approved a stock repurchase program. Under the stock repurchase program, we were initially authorized to repurchase up to $15.0 million of our common stock through open market and privately negotiated transactions. On November 15, 2023, our Board amended the program, effective today, to increase the authorization from $15.0 million to $25.0 million.</w:t>
      </w:r>
    </w:p>
    <w:p>
      <w:pPr>
        <w:spacing w:after="0" w:line="44"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 The Company expects to finance any repurchases from cash generated from operations.</w:t>
      </w:r>
    </w:p>
    <w:p>
      <w:pPr>
        <w:jc w:val="center"/>
        <w:spacing w:after="0" w:line="219" w:lineRule="auto"/>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 w:name="page8"/>
    <w:bookmarkEnd w:id="7"/>
    <w:p>
      <w:pPr>
        <w:ind w:right="80"/>
        <w:spacing w:after="0" w:line="385" w:lineRule="auto"/>
        <w:rPr>
          <w:sz w:val="20"/>
          <w:szCs w:val="20"/>
          <w:color w:val="auto"/>
        </w:rPr>
      </w:pPr>
      <w:r>
        <w:rPr>
          <w:rFonts w:ascii="Arial" w:cs="Arial" w:eastAsia="Arial" w:hAnsi="Arial"/>
          <w:sz w:val="16"/>
          <w:szCs w:val="16"/>
          <w:color w:val="auto"/>
        </w:rPr>
        <w:t>During the first nine months of fiscal 2023, we completed the stock repurchase plan with the repurchase of 3.1 million shares at an aggregate cost, including fees, of $14.9 million, or an average cost of $4.81 per share. Shares of repurchased common stock are held as treasury stock.</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our retail square footage since the end of fiscal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180" w:type="dxa"/>
            <w:vAlign w:val="bottom"/>
            <w:gridSpan w:val="4"/>
          </w:tcPr>
          <w:p>
            <w:pPr>
              <w:jc w:val="right"/>
              <w:ind w:right="339"/>
              <w:spacing w:after="0"/>
              <w:rPr>
                <w:sz w:val="20"/>
                <w:szCs w:val="20"/>
                <w:color w:val="auto"/>
              </w:rPr>
            </w:pPr>
            <w:r>
              <w:rPr>
                <w:rFonts w:ascii="Arial" w:cs="Arial" w:eastAsia="Arial" w:hAnsi="Arial"/>
                <w:sz w:val="16"/>
                <w:szCs w:val="16"/>
                <w:color w:val="auto"/>
              </w:rPr>
              <w:t>At October 28, 2023</w:t>
            </w:r>
          </w:p>
        </w:tc>
        <w:tc>
          <w:tcPr>
            <w:tcW w:w="120" w:type="dxa"/>
            <w:vAlign w:val="bottom"/>
          </w:tcPr>
          <w:p>
            <w:pPr>
              <w:spacing w:after="0"/>
              <w:rPr>
                <w:sz w:val="18"/>
                <w:szCs w:val="18"/>
                <w:color w:val="auto"/>
              </w:rPr>
            </w:pPr>
          </w:p>
        </w:tc>
        <w:tc>
          <w:tcPr>
            <w:tcW w:w="2180" w:type="dxa"/>
            <w:vAlign w:val="bottom"/>
            <w:gridSpan w:val="3"/>
          </w:tcPr>
          <w:p>
            <w:pPr>
              <w:jc w:val="right"/>
              <w:ind w:right="519"/>
              <w:spacing w:after="0"/>
              <w:rPr>
                <w:sz w:val="20"/>
                <w:szCs w:val="20"/>
                <w:color w:val="auto"/>
              </w:rPr>
            </w:pPr>
            <w:r>
              <w:rPr>
                <w:rFonts w:ascii="Arial" w:cs="Arial" w:eastAsia="Arial" w:hAnsi="Arial"/>
                <w:sz w:val="16"/>
                <w:szCs w:val="16"/>
                <w:color w:val="auto"/>
              </w:rPr>
              <w:t>Year End 2022</w:t>
            </w:r>
          </w:p>
        </w:tc>
        <w:tc>
          <w:tcPr>
            <w:tcW w:w="100" w:type="dxa"/>
            <w:vAlign w:val="bottom"/>
          </w:tcPr>
          <w:p>
            <w:pPr>
              <w:spacing w:after="0"/>
              <w:rPr>
                <w:sz w:val="18"/>
                <w:szCs w:val="18"/>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6"/>
                <w:szCs w:val="16"/>
                <w:color w:val="auto"/>
              </w:rPr>
              <w:t>Year End 2021</w:t>
            </w:r>
          </w:p>
        </w:tc>
        <w:tc>
          <w:tcPr>
            <w:tcW w:w="100" w:type="dxa"/>
            <w:vAlign w:val="bottom"/>
          </w:tcPr>
          <w:p>
            <w:pPr>
              <w:spacing w:after="0"/>
              <w:rPr>
                <w:sz w:val="18"/>
                <w:szCs w:val="18"/>
                <w:color w:val="auto"/>
              </w:rPr>
            </w:pPr>
          </w:p>
        </w:tc>
        <w:tc>
          <w:tcPr>
            <w:tcW w:w="2280" w:type="dxa"/>
            <w:vAlign w:val="bottom"/>
            <w:gridSpan w:val="4"/>
          </w:tcPr>
          <w:p>
            <w:pPr>
              <w:ind w:left="600"/>
              <w:spacing w:after="0"/>
              <w:rPr>
                <w:sz w:val="20"/>
                <w:szCs w:val="20"/>
                <w:color w:val="auto"/>
              </w:rPr>
            </w:pPr>
            <w:r>
              <w:rPr>
                <w:rFonts w:ascii="Arial" w:cs="Arial" w:eastAsia="Arial" w:hAnsi="Arial"/>
                <w:sz w:val="16"/>
                <w:szCs w:val="16"/>
                <w:color w:val="auto"/>
              </w:rPr>
              <w:t>Year End 2020</w:t>
            </w:r>
          </w:p>
        </w:tc>
      </w:tr>
      <w:tr>
        <w:trPr>
          <w:trHeight w:val="216"/>
        </w:trPr>
        <w:tc>
          <w:tcPr>
            <w:tcW w:w="216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89"/>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 of</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Sq Ft.</w:t>
            </w:r>
          </w:p>
        </w:tc>
      </w:tr>
      <w:tr>
        <w:trPr>
          <w:trHeight w:val="219"/>
        </w:trPr>
        <w:tc>
          <w:tcPr>
            <w:tcW w:w="2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center"/>
              <w:ind w:left="239"/>
              <w:spacing w:after="0"/>
              <w:rPr>
                <w:sz w:val="20"/>
                <w:szCs w:val="20"/>
                <w:color w:val="auto"/>
              </w:rPr>
            </w:pPr>
            <w:r>
              <w:rPr>
                <w:rFonts w:ascii="Arial" w:cs="Arial" w:eastAsia="Arial" w:hAnsi="Arial"/>
                <w:sz w:val="16"/>
                <w:szCs w:val="16"/>
                <w:color w:val="auto"/>
                <w:w w:val="86"/>
              </w:rPr>
              <w:t>Stores</w:t>
            </w:r>
          </w:p>
        </w:tc>
        <w:tc>
          <w:tcPr>
            <w:tcW w:w="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DXL retail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226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1,694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1,663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1,678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9"/>
                <w:szCs w:val="19"/>
                <w:color w:val="auto"/>
              </w:rPr>
            </w:pPr>
          </w:p>
        </w:tc>
      </w:tr>
      <w:tr>
        <w:trPr>
          <w:trHeight w:val="239"/>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20"/>
                <w:szCs w:val="20"/>
                <w:color w:val="auto"/>
              </w:rPr>
            </w:pPr>
          </w:p>
        </w:tc>
      </w:tr>
      <w:tr>
        <w:trPr>
          <w:trHeight w:val="22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CMXL retail</w:t>
            </w:r>
          </w:p>
        </w:tc>
        <w:tc>
          <w:tcPr>
            <w:tcW w:w="280" w:type="dxa"/>
            <w:vAlign w:val="bottom"/>
          </w:tcPr>
          <w:p>
            <w:pPr>
              <w:jc w:val="right"/>
              <w:spacing w:after="0"/>
              <w:rPr>
                <w:sz w:val="20"/>
                <w:szCs w:val="20"/>
                <w:color w:val="auto"/>
              </w:rPr>
            </w:pPr>
            <w:r>
              <w:rPr>
                <w:rFonts w:ascii="Arial" w:cs="Arial" w:eastAsia="Arial" w:hAnsi="Arial"/>
                <w:sz w:val="16"/>
                <w:szCs w:val="16"/>
                <w:color w:val="auto"/>
              </w:rPr>
              <w:t>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r>
      <w:tr>
        <w:trPr>
          <w:trHeight w:val="239"/>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20"/>
                <w:szCs w:val="20"/>
                <w:color w:val="auto"/>
              </w:rPr>
            </w:pPr>
          </w:p>
        </w:tc>
      </w:tr>
      <w:tr>
        <w:trPr>
          <w:trHeight w:val="21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282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1,899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1,892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1,930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-724535</wp:posOffset>
            </wp:positionV>
            <wp:extent cx="768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-724535</wp:posOffset>
            </wp:positionV>
            <wp:extent cx="7683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-724535</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-724535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-724535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-724535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-724535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-724535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9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During the third quarter of fiscal 2023, we opened a new DXL store in Queens, New York and expect to open two additional new stores with one in the Cincinnati market and one in the Los Angeles market by the end of fiscal 2023. During the first nine months of fiscal 2023, we completed the conversion of seven Casual Male stores to the DXL store format and completed the remodel of one existing DXL store. By the end of fiscal 2023, we expect to have opened a total of 3 new DXL stores and 10 Casual Male-to-DXL conversion stores and to have begun construction on at least 5 DXL remodels. Over the next three to five years, we believe we could potentially open 50 net new DXL stores across the country, which could average 6,000 square feet or 300,000 sq. ft. in total, a 15% increase over our current square footage.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Digital Commerce Information</w:t>
      </w:r>
    </w:p>
    <w:p>
      <w:pPr>
        <w:spacing w:after="0" w:line="14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We distribute our national brands and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third quarter of fiscal 2023, our direct sales were $36.2 million, or 30.4% of retail segment sales, as compared to $37.9 million, or 29.2% of retail segment sales in the third quarter of fiscal 2022.</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Based on our results for the third quarter of fiscal 2023 and given the persisting economic pressures that are impacting consumer spending, we are revising our full year guidance. For fiscal 2023, we expect sales to be approximately $520.0 million to $530.0 million, net income to be approximately $0.39 to $0.46 per diluted share and adjusted EBITDA margin to be approximately 10.0% to 11.0%. Adjusting for the expected loss on the termination of the retirement plans, we expect adjusted net income to be approximately $0.45 to $0.52 per diluted share.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hold a conference call to review its financial results on Friday, November 17, 2023, at 9:00 a.m. ET.</w:t>
      </w:r>
    </w:p>
    <w:p>
      <w:pPr>
        <w:spacing w:after="0" w:line="21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 xml:space="preserve">To participate in the live webcast, please pre-register at: </w:t>
      </w:r>
      <w:r>
        <w:rPr>
          <w:rFonts w:ascii="Arial" w:cs="Arial" w:eastAsia="Arial" w:hAnsi="Arial"/>
          <w:sz w:val="16"/>
          <w:szCs w:val="16"/>
          <w:color w:val="auto"/>
        </w:rPr>
        <w:t>https://register.vevent.com/register/BI07bdb256778248b784758fb683dd7914</w:t>
      </w:r>
      <w:r>
        <w:rPr>
          <w:rFonts w:ascii="Arial" w:cs="Arial" w:eastAsia="Arial" w:hAnsi="Arial"/>
          <w:sz w:val="20"/>
          <w:szCs w:val="20"/>
          <w:color w:val="auto"/>
        </w:rPr>
        <w:t xml:space="preserve"> Upon registering, you will be emailed a dial-in number, and unique PIN.</w:t>
      </w:r>
    </w:p>
    <w:p>
      <w:pPr>
        <w:spacing w:after="0" w:line="177"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For listen-only, please join and register at: https://edge.media-server.com/mmc/p/2gjvzeh9. An archived version of the webcast may be accessed by visiting the "Events" section of the Company's investor relations website for up to one year.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8" w:name="page9"/>
    <w:bookmarkEnd w:id="8"/>
    <w:p>
      <w:pPr>
        <w:ind w:right="6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adjusted net income, adjusted net income per diluted share, adjusted EBITDA, adjusted EBITDA margin, and free cash flow. The presentation of these non-GAAP measures is not in accordance with GAAP and should not be considered superior to or as a substitute for net income, net income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7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Adjusted net income and adjusted net income per diluted share is calculated by excluding any asset impairment charge (gain) and the loss from the termination of the retirement plans, subtracting the actual income tax provision (benefit) and applying an effective tax rate of 27%.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194"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Adjusted EBITDA is calculated as earnings before interest, taxes, depreciation and amortization and adjusted for the loss from the termination of the retirement plans and asset impairment charge (gain),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0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i w:val="1"/>
          <w:iCs w:val="1"/>
          <w:color w:val="auto"/>
        </w:rPr>
        <w:t>Certain statements and information contained in this press release constitute forward-looking statements under the federal securities laws, including statements regarding our guidance for fiscal 2023, including expected sales, net income,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 w:name="page10"/>
    <w:bookmarkEnd w:id="9"/>
    <w:p>
      <w:pPr>
        <w:ind w:right="20"/>
        <w:spacing w:after="0" w:line="269" w:lineRule="auto"/>
        <w:rPr>
          <w:sz w:val="20"/>
          <w:szCs w:val="20"/>
          <w:color w:val="auto"/>
        </w:rPr>
      </w:pPr>
      <w:r>
        <w:rPr>
          <w:rFonts w:ascii="Arial" w:cs="Arial" w:eastAsia="Arial" w:hAnsi="Arial"/>
          <w:sz w:val="18"/>
          <w:szCs w:val="18"/>
          <w:i w:val="1"/>
          <w:iCs w:val="1"/>
          <w:color w:val="auto"/>
        </w:rPr>
        <w:t>gross margin and adjusted EBITDA margin; expected sales trends for fiscal 2023; marketing costs for fiscal 2023; expected capital expenditures in fiscal 2023; expected store openings and store conversions in fiscal 2023; our long-range strategic growth plan and our ability to achieve accelerated growth in the future; the expected impact of our strategic initiatives, including with respect to raising brand awareness, store development and future alliances and collaborations; our ability to manage inventory; the timing of any repurchases under our stock repurchase program; and expected changes in our store portfolio and long-term plans for new or relocated stores. 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16, 2023, its Quarterly Reports on Form 10-Q and other filings with the Securities and Exchange Commission that set forth certain risks and uncertainties that may have an impact on future results and direction of the Company, including risks relating to: changes in consumer spending in response to economic factors; the impact of rising inflation; the Israel-Hamas conflict and the ongoing Russian invasion of Ukraine on the global economy; potential labor shortages; and the Company’s ability to execute on its digital and store strategies, ability to grow its market share, predict customer tastes and fashion trends, forecast sales growth trends and compete successfully in the United States men’s big and tall apparel market.</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9"/>
          <w:szCs w:val="19"/>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DESTINATION XL GROUP,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gridSpan w:val="5"/>
          </w:tcPr>
          <w:p>
            <w:pPr>
              <w:jc w:val="right"/>
              <w:ind w:right="100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2960" w:type="dxa"/>
            <w:vAlign w:val="bottom"/>
            <w:gridSpan w:val="5"/>
          </w:tcPr>
          <w:p>
            <w:pPr>
              <w:jc w:val="right"/>
              <w:ind w:right="780"/>
              <w:spacing w:after="0"/>
              <w:rPr>
                <w:sz w:val="20"/>
                <w:szCs w:val="20"/>
                <w:color w:val="auto"/>
              </w:rPr>
            </w:pPr>
            <w:r>
              <w:rPr>
                <w:rFonts w:ascii="Arial" w:cs="Arial" w:eastAsia="Arial" w:hAnsi="Arial"/>
                <w:sz w:val="14"/>
                <w:szCs w:val="14"/>
                <w:color w:val="auto"/>
              </w:rPr>
              <w:t>For the nine months ended</w:t>
            </w:r>
          </w:p>
        </w:tc>
      </w:tr>
      <w:tr>
        <w:trPr>
          <w:trHeight w:val="181"/>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October 28, 2023</w:t>
            </w:r>
          </w:p>
        </w:tc>
        <w:tc>
          <w:tcPr>
            <w:tcW w:w="1760" w:type="dxa"/>
            <w:vAlign w:val="bottom"/>
            <w:gridSpan w:val="3"/>
          </w:tcPr>
          <w:p>
            <w:pPr>
              <w:jc w:val="right"/>
              <w:ind w:right="680"/>
              <w:spacing w:after="0"/>
              <w:rPr>
                <w:sz w:val="20"/>
                <w:szCs w:val="20"/>
                <w:color w:val="auto"/>
              </w:rPr>
            </w:pPr>
            <w:r>
              <w:rPr>
                <w:rFonts w:ascii="Arial" w:cs="Arial" w:eastAsia="Arial" w:hAnsi="Arial"/>
                <w:sz w:val="14"/>
                <w:szCs w:val="14"/>
                <w:color w:val="auto"/>
                <w:w w:val="97"/>
              </w:rPr>
              <w:t>October 29, 2022</w:t>
            </w:r>
          </w:p>
        </w:tc>
        <w:tc>
          <w:tcPr>
            <w:tcW w:w="12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28, 2023</w:t>
            </w:r>
          </w:p>
        </w:tc>
        <w:tc>
          <w:tcPr>
            <w:tcW w:w="12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29, 2022</w:t>
            </w: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119,188</w:t>
            </w: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8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129,671</w:t>
            </w:r>
          </w:p>
        </w:tc>
        <w:tc>
          <w:tcPr>
            <w:tcW w:w="6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384,673</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401,960</w:t>
            </w:r>
          </w:p>
        </w:tc>
        <w:tc>
          <w:tcPr>
            <w:tcW w:w="220" w:type="dxa"/>
            <w:vAlign w:val="bottom"/>
            <w:shd w:val="clear" w:color="auto" w:fill="CFF0FC"/>
          </w:tcPr>
          <w:p>
            <w:pPr>
              <w:spacing w:after="0"/>
              <w:rPr>
                <w:sz w:val="19"/>
                <w:szCs w:val="19"/>
                <w:color w:val="auto"/>
              </w:rPr>
            </w:pPr>
          </w:p>
        </w:tc>
      </w:tr>
      <w:tr>
        <w:trPr>
          <w:trHeight w:val="227"/>
        </w:trPr>
        <w:tc>
          <w:tcPr>
            <w:tcW w:w="4740" w:type="dxa"/>
            <w:vAlign w:val="bottom"/>
          </w:tcPr>
          <w:p>
            <w:pPr>
              <w:ind w:left="20"/>
              <w:spacing w:after="0"/>
              <w:rPr>
                <w:sz w:val="20"/>
                <w:szCs w:val="20"/>
                <w:color w:val="auto"/>
              </w:rPr>
            </w:pPr>
            <w:r>
              <w:rPr>
                <w:rFonts w:ascii="Arial" w:cs="Arial" w:eastAsia="Arial" w:hAnsi="Arial"/>
                <w:sz w:val="16"/>
                <w:szCs w:val="16"/>
                <w:color w:val="auto"/>
              </w:rPr>
              <w:t>Cost of goods sold including occupancy</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62,577</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64,856</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196,767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197,960</w:t>
            </w:r>
          </w:p>
        </w:tc>
        <w:tc>
          <w:tcPr>
            <w:tcW w:w="220" w:type="dxa"/>
            <w:vAlign w:val="bottom"/>
          </w:tcPr>
          <w:p>
            <w:pPr>
              <w:spacing w:after="0"/>
              <w:rPr>
                <w:sz w:val="19"/>
                <w:szCs w:val="19"/>
                <w:color w:val="auto"/>
              </w:rPr>
            </w:pPr>
          </w:p>
        </w:tc>
      </w:tr>
      <w:tr>
        <w:trPr>
          <w:trHeight w:val="226"/>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56,611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64,815</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187,906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204,000</w:t>
            </w:r>
          </w:p>
        </w:tc>
        <w:tc>
          <w:tcPr>
            <w:tcW w:w="2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7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47,962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48,383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143,689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144,441</w:t>
            </w:r>
          </w:p>
        </w:tc>
        <w:tc>
          <w:tcPr>
            <w:tcW w:w="220" w:type="dxa"/>
            <w:vAlign w:val="bottom"/>
          </w:tcPr>
          <w:p>
            <w:pPr>
              <w:spacing w:after="0"/>
              <w:rPr>
                <w:sz w:val="19"/>
                <w:szCs w:val="19"/>
                <w:color w:val="auto"/>
              </w:rPr>
            </w:pPr>
          </w:p>
        </w:tc>
      </w:tr>
      <w:tr>
        <w:trPr>
          <w:trHeight w:val="239"/>
        </w:trPr>
        <w:tc>
          <w:tcPr>
            <w:tcW w:w="4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(gain) of assets</w:t>
            </w: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(398 )</w:t>
            </w:r>
          </w:p>
        </w:tc>
      </w:tr>
      <w:tr>
        <w:trPr>
          <w:trHeight w:val="227"/>
        </w:trPr>
        <w:tc>
          <w:tcPr>
            <w:tcW w:w="4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11,748</w:t>
            </w:r>
          </w:p>
        </w:tc>
        <w:tc>
          <w:tcPr>
            <w:tcW w:w="220" w:type="dxa"/>
            <w:vAlign w:val="bottom"/>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51,355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52,152</w:t>
            </w:r>
          </w:p>
        </w:tc>
        <w:tc>
          <w:tcPr>
            <w:tcW w:w="6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154,027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155,791</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26"/>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12,663</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48,209</w:t>
            </w:r>
          </w:p>
        </w:tc>
        <w:tc>
          <w:tcPr>
            <w:tcW w:w="2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on termination of retirement plans</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(57 )</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(4,231 )</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r>
      <w:tr>
        <w:trPr>
          <w:trHeight w:val="227"/>
        </w:trPr>
        <w:tc>
          <w:tcPr>
            <w:tcW w:w="47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(350 )</w:t>
            </w:r>
          </w:p>
        </w:tc>
      </w:tr>
      <w:tr>
        <w:trPr>
          <w:trHeight w:val="226"/>
        </w:trPr>
        <w:tc>
          <w:tcPr>
            <w:tcW w:w="47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Income before provision (benefit) for 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12,556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47,859</w:t>
            </w:r>
          </w:p>
        </w:tc>
        <w:tc>
          <w:tcPr>
            <w:tcW w:w="220" w:type="dxa"/>
            <w:vAlign w:val="bottom"/>
          </w:tcPr>
          <w:p>
            <w:pPr>
              <w:spacing w:after="0"/>
              <w:rPr>
                <w:sz w:val="19"/>
                <w:szCs w:val="19"/>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2,083</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(32,944 )</w:t>
            </w:r>
          </w:p>
        </w:tc>
      </w:tr>
      <w:tr>
        <w:trPr>
          <w:trHeight w:val="226"/>
        </w:trPr>
        <w:tc>
          <w:tcPr>
            <w:tcW w:w="47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r>
      <w:tr>
        <w:trPr>
          <w:trHeight w:val="26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4,020</w:t>
            </w:r>
          </w:p>
        </w:tc>
        <w:tc>
          <w:tcPr>
            <w:tcW w:w="3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10,473</w:t>
            </w:r>
          </w:p>
        </w:tc>
        <w:tc>
          <w:tcPr>
            <w:tcW w:w="6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22,620</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80,803</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10"/>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per share:</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3"/>
        </w:trPr>
        <w:tc>
          <w:tcPr>
            <w:tcW w:w="4740" w:type="dxa"/>
            <w:vAlign w:val="bottom"/>
          </w:tcPr>
          <w:p>
            <w:pPr>
              <w:ind w:left="10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0.07</w:t>
            </w:r>
          </w:p>
        </w:tc>
        <w:tc>
          <w:tcPr>
            <w:tcW w:w="30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0.17</w:t>
            </w:r>
          </w:p>
        </w:tc>
        <w:tc>
          <w:tcPr>
            <w:tcW w:w="6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20"/>
                <w:szCs w:val="20"/>
                <w:color w:val="auto"/>
              </w:rPr>
            </w:pPr>
          </w:p>
        </w:tc>
      </w:tr>
      <w:tr>
        <w:trPr>
          <w:trHeight w:val="253"/>
        </w:trPr>
        <w:tc>
          <w:tcPr>
            <w:tcW w:w="47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CFF0FC"/>
          </w:tcPr>
          <w:p>
            <w:pPr>
              <w:spacing w:after="0"/>
              <w:rPr>
                <w:sz w:val="21"/>
                <w:szCs w:val="21"/>
                <w:color w:val="auto"/>
              </w:rPr>
            </w:pPr>
          </w:p>
        </w:tc>
      </w:tr>
      <w:tr>
        <w:trPr>
          <w:trHeight w:val="243"/>
        </w:trPr>
        <w:tc>
          <w:tcPr>
            <w:tcW w:w="4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20"/>
        </w:trPr>
        <w:tc>
          <w:tcPr>
            <w:tcW w:w="4740" w:type="dxa"/>
            <w:vAlign w:val="bottom"/>
          </w:tcPr>
          <w:p>
            <w:pPr>
              <w:ind w:left="20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60,169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62,016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61,612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62,928</w:t>
            </w:r>
          </w:p>
        </w:tc>
        <w:tc>
          <w:tcPr>
            <w:tcW w:w="220" w:type="dxa"/>
            <w:vAlign w:val="bottom"/>
          </w:tcPr>
          <w:p>
            <w:pPr>
              <w:spacing w:after="0"/>
              <w:rPr>
                <w:sz w:val="19"/>
                <w:szCs w:val="19"/>
                <w:color w:val="auto"/>
              </w:rPr>
            </w:pPr>
          </w:p>
        </w:tc>
      </w:tr>
      <w:tr>
        <w:trPr>
          <w:trHeight w:val="239"/>
        </w:trPr>
        <w:tc>
          <w:tcPr>
            <w:tcW w:w="4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63,464</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66,229</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64,995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67,106</w:t>
            </w:r>
          </w:p>
        </w:tc>
        <w:tc>
          <w:tcPr>
            <w:tcW w:w="2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-2716530</wp:posOffset>
            </wp:positionV>
            <wp:extent cx="7683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-2716530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-2716530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-2716530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-1534160</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-1534160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-1534160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-1534160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-1233805</wp:posOffset>
            </wp:positionV>
            <wp:extent cx="3180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0080" cy="17145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8"/>
          <w:szCs w:val="18"/>
          <w:color w:val="auto"/>
        </w:rPr>
        <w:t>DESTINATION XL GROUP, INC.</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BALANCE SHEETS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October 28, 2023, January 28, 2023 and October 29, 2022</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October 28,</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January 28,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October 29,</w:t>
            </w:r>
          </w:p>
        </w:tc>
        <w:tc>
          <w:tcPr>
            <w:tcW w:w="100" w:type="dxa"/>
            <w:vAlign w:val="bottom"/>
          </w:tcPr>
          <w:p>
            <w:pPr>
              <w:spacing w:after="0"/>
              <w:rPr>
                <w:sz w:val="15"/>
                <w:szCs w:val="15"/>
                <w:color w:val="auto"/>
              </w:rPr>
            </w:pPr>
          </w:p>
        </w:tc>
      </w:tr>
      <w:tr>
        <w:trPr>
          <w:trHeight w:val="181"/>
        </w:trPr>
        <w:tc>
          <w:tcPr>
            <w:tcW w:w="5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40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10,723</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23,485</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49,632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99,858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93,004</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106,816</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10,287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39,062</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39,617</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139,907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124,356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125,903</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22,223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31,455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33,480</w:t>
            </w:r>
          </w:p>
        </w:tc>
        <w:tc>
          <w:tcPr>
            <w:tcW w:w="100" w:type="dxa"/>
            <w:vAlign w:val="bottom"/>
          </w:tcPr>
          <w:p>
            <w:pPr>
              <w:spacing w:after="0"/>
              <w:rPr>
                <w:sz w:val="20"/>
                <w:szCs w:val="20"/>
                <w:color w:val="auto"/>
              </w:rPr>
            </w:pPr>
          </w:p>
        </w:tc>
      </w:tr>
      <w:tr>
        <w:trPr>
          <w:trHeight w:val="249"/>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372,660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350,598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340,537</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28,256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27,548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41,581</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38,821</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160,340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144,241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147,708</w:t>
            </w:r>
          </w:p>
        </w:tc>
        <w:tc>
          <w:tcPr>
            <w:tcW w:w="100" w:type="dxa"/>
            <w:vAlign w:val="bottom"/>
          </w:tcPr>
          <w:p>
            <w:pPr>
              <w:spacing w:after="0"/>
              <w:rPr>
                <w:sz w:val="20"/>
                <w:szCs w:val="20"/>
                <w:color w:val="auto"/>
              </w:rPr>
            </w:pPr>
          </w:p>
        </w:tc>
      </w:tr>
      <w:tr>
        <w:trPr>
          <w:trHeight w:val="249"/>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150,767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137,228</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44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372,660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350,598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340,537</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-1456690</wp:posOffset>
            </wp:positionV>
            <wp:extent cx="7683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-1456690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768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i w:val="1"/>
          <w:iCs w:val="1"/>
          <w:color w:val="auto"/>
        </w:rPr>
        <w:t>CERTAIN COLUMNS IN THE FOLLOWING TABLES MAY NOT FOOT DUE TO ROUNDING</w:t>
      </w:r>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GAAP TO NON-GAAP RECONCILIATION OF ADJUSTED NET INCOME AND ADJUSTED NET INCOME PER DILUTED SHARE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color w:val="auto"/>
                <w:w w:val="92"/>
              </w:rPr>
              <w:t>For the three months ended</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7"/>
          </w:tcPr>
          <w:p>
            <w:pPr>
              <w:jc w:val="right"/>
              <w:ind w:right="200"/>
              <w:spacing w:after="0"/>
              <w:rPr>
                <w:sz w:val="20"/>
                <w:szCs w:val="20"/>
                <w:color w:val="auto"/>
              </w:rPr>
            </w:pPr>
            <w:r>
              <w:rPr>
                <w:rFonts w:ascii="Arial" w:cs="Arial" w:eastAsia="Arial" w:hAnsi="Arial"/>
                <w:sz w:val="14"/>
                <w:szCs w:val="14"/>
                <w:color w:val="auto"/>
                <w:w w:val="94"/>
              </w:rPr>
              <w:t>For the nine months ended</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color w:val="auto"/>
                <w:w w:val="90"/>
              </w:rPr>
              <w:t>October 28, 2023</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color w:val="auto"/>
                <w:w w:val="99"/>
              </w:rPr>
              <w:t>October 29, 2022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color w:val="auto"/>
                <w:w w:val="97"/>
              </w:rPr>
              <w:t>October 28, 2023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color w:val="auto"/>
                <w:w w:val="96"/>
              </w:rPr>
              <w:t>October 29, 2022</w:t>
            </w:r>
          </w:p>
        </w:tc>
        <w:tc>
          <w:tcPr>
            <w:tcW w:w="10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88"/>
              <w:spacing w:after="0" w:line="137" w:lineRule="exact"/>
              <w:rPr>
                <w:sz w:val="20"/>
                <w:szCs w:val="20"/>
                <w:color w:val="auto"/>
              </w:rPr>
            </w:pPr>
            <w:r>
              <w:rPr>
                <w:rFonts w:ascii="Arial" w:cs="Arial" w:eastAsia="Arial" w:hAnsi="Arial"/>
                <w:sz w:val="14"/>
                <w:szCs w:val="14"/>
                <w:color w:val="auto"/>
                <w:w w:val="82"/>
              </w:rPr>
              <w:t>Per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Per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Per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8"/>
              <w:spacing w:after="0" w:line="137" w:lineRule="exact"/>
              <w:rPr>
                <w:sz w:val="20"/>
                <w:szCs w:val="20"/>
                <w:color w:val="auto"/>
              </w:rPr>
            </w:pPr>
            <w:r>
              <w:rPr>
                <w:rFonts w:ascii="Arial" w:cs="Arial" w:eastAsia="Arial" w:hAnsi="Arial"/>
                <w:sz w:val="14"/>
                <w:szCs w:val="14"/>
                <w:color w:val="auto"/>
                <w:w w:val="91"/>
              </w:rPr>
              <w:t>Per</w:t>
            </w:r>
          </w:p>
        </w:tc>
        <w:tc>
          <w:tcPr>
            <w:tcW w:w="10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diluted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diluted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5"/>
              </w:rPr>
              <w:t>share</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share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5"/>
              </w:rPr>
              <w:t>share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5"/>
              </w:rPr>
              <w:t>share</w:t>
            </w:r>
          </w:p>
        </w:tc>
        <w:tc>
          <w:tcPr>
            <w:tcW w:w="10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3"/>
              </w:rPr>
              <w:t>(in millions, except per share data)</w:t>
            </w: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Net income (GAAP basis)</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 for impairment (gain) of assets</w:t>
            </w:r>
          </w:p>
        </w:tc>
        <w:tc>
          <w:tcPr>
            <w:tcW w:w="5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(0.4 )</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840" w:type="dxa"/>
            <w:vAlign w:val="bottom"/>
            <w:gridSpan w:val="3"/>
          </w:tcPr>
          <w:p>
            <w:pPr>
              <w:ind w:left="20"/>
              <w:spacing w:after="0"/>
              <w:rPr>
                <w:sz w:val="20"/>
                <w:szCs w:val="20"/>
                <w:color w:val="auto"/>
              </w:rPr>
            </w:pPr>
            <w:r>
              <w:rPr>
                <w:rFonts w:ascii="Arial" w:cs="Arial" w:eastAsia="Arial" w:hAnsi="Arial"/>
                <w:sz w:val="14"/>
                <w:szCs w:val="14"/>
                <w:color w:val="auto"/>
              </w:rPr>
              <w:t>Add back loss on termination of retirement plans</w:t>
            </w:r>
          </w:p>
        </w:tc>
        <w:tc>
          <w:tcPr>
            <w:tcW w:w="5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 actual income tax provision (benefit)</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(32.9 )</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840" w:type="dxa"/>
            <w:vAlign w:val="bottom"/>
            <w:gridSpan w:val="3"/>
          </w:tcPr>
          <w:p>
            <w:pPr>
              <w:ind w:left="20"/>
              <w:spacing w:after="0"/>
              <w:rPr>
                <w:sz w:val="20"/>
                <w:szCs w:val="20"/>
                <w:color w:val="auto"/>
              </w:rPr>
            </w:pPr>
            <w:r>
              <w:rPr>
                <w:rFonts w:ascii="Arial" w:cs="Arial" w:eastAsia="Arial" w:hAnsi="Arial"/>
                <w:sz w:val="14"/>
                <w:szCs w:val="14"/>
                <w:color w:val="auto"/>
                <w:w w:val="99"/>
              </w:rPr>
              <w:t>Add income tax provision, assuming a normal tax rate of 27%</w:t>
            </w:r>
          </w:p>
        </w:tc>
        <w:tc>
          <w:tcPr>
            <w:tcW w:w="5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(1.6 )</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(9.5 )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(12.8 )</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Adjusted net income (non-GAAP basis)</w:t>
            </w:r>
          </w:p>
        </w:tc>
        <w:tc>
          <w:tcPr>
            <w:tcW w:w="500" w:type="dxa"/>
            <w:vAlign w:val="bottom"/>
            <w:tcBorders>
              <w:top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3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0.14</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0.40</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w:t>
            </w:r>
          </w:p>
        </w:tc>
        <w:tc>
          <w:tcPr>
            <w:tcW w:w="2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FF0FC"/>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384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w w:val="97"/>
              </w:rPr>
              <w:t>Weighted average number of common shares outstanding on a</w:t>
            </w: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diluted basis</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FF0FC"/>
          </w:tcPr>
          <w:p>
            <w:pPr>
              <w:spacing w:after="0"/>
              <w:rPr>
                <w:sz w:val="15"/>
                <w:szCs w:val="15"/>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5"/>
          </w:tcPr>
          <w:p>
            <w:pPr>
              <w:jc w:val="right"/>
              <w:ind w:right="90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960" w:type="dxa"/>
            <w:vAlign w:val="bottom"/>
            <w:gridSpan w:val="5"/>
          </w:tcPr>
          <w:p>
            <w:pPr>
              <w:jc w:val="right"/>
              <w:ind w:right="880"/>
              <w:spacing w:after="0"/>
              <w:rPr>
                <w:sz w:val="20"/>
                <w:szCs w:val="20"/>
                <w:color w:val="auto"/>
              </w:rPr>
            </w:pPr>
            <w:r>
              <w:rPr>
                <w:rFonts w:ascii="Arial" w:cs="Arial" w:eastAsia="Arial" w:hAnsi="Arial"/>
                <w:sz w:val="14"/>
                <w:szCs w:val="14"/>
                <w:color w:val="auto"/>
              </w:rPr>
              <w:t>For the nine months ended</w:t>
            </w: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color w:val="auto"/>
                <w:w w:val="94"/>
              </w:rPr>
              <w:t>October 28, 2023</w:t>
            </w:r>
          </w:p>
        </w:tc>
        <w:tc>
          <w:tcPr>
            <w:tcW w:w="12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29, 2022</w:t>
            </w:r>
          </w:p>
        </w:tc>
        <w:tc>
          <w:tcPr>
            <w:tcW w:w="10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October 28, 2023</w:t>
            </w:r>
          </w:p>
        </w:tc>
        <w:tc>
          <w:tcPr>
            <w:tcW w:w="14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29, 2022</w:t>
            </w:r>
          </w:p>
        </w:tc>
      </w:tr>
      <w:tr>
        <w:trPr>
          <w:trHeight w:val="155"/>
        </w:trPr>
        <w:tc>
          <w:tcPr>
            <w:tcW w:w="20" w:type="dxa"/>
            <w:vAlign w:val="bottom"/>
          </w:tcPr>
          <w:p>
            <w:pPr>
              <w:spacing w:after="0"/>
              <w:rPr>
                <w:sz w:val="13"/>
                <w:szCs w:val="13"/>
                <w:color w:val="auto"/>
              </w:rPr>
            </w:pPr>
          </w:p>
        </w:tc>
        <w:tc>
          <w:tcPr>
            <w:tcW w:w="50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75"/>
        </w:trPr>
        <w:tc>
          <w:tcPr>
            <w:tcW w:w="20" w:type="dxa"/>
            <w:vAlign w:val="bottom"/>
            <w:shd w:val="clear" w:color="auto" w:fill="CFF0FC"/>
          </w:tcPr>
          <w:p>
            <w:pPr>
              <w:spacing w:after="0"/>
              <w:rPr>
                <w:sz w:val="15"/>
                <w:szCs w:val="15"/>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(GAAP basis)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w:t>
            </w:r>
          </w:p>
        </w:tc>
        <w:tc>
          <w:tcPr>
            <w:tcW w:w="220" w:type="dxa"/>
            <w:vAlign w:val="bottom"/>
            <w:shd w:val="clear" w:color="auto" w:fill="CFF0FC"/>
          </w:tcPr>
          <w:p>
            <w:pPr>
              <w:spacing w:after="0"/>
              <w:rPr>
                <w:sz w:val="15"/>
                <w:szCs w:val="15"/>
                <w:color w:val="auto"/>
              </w:rPr>
            </w:pPr>
          </w:p>
        </w:tc>
      </w:tr>
      <w:tr>
        <w:trPr>
          <w:trHeight w:val="176"/>
        </w:trPr>
        <w:tc>
          <w:tcPr>
            <w:tcW w:w="5020" w:type="dxa"/>
            <w:vAlign w:val="bottom"/>
            <w:gridSpan w:val="3"/>
          </w:tcPr>
          <w:p>
            <w:pPr>
              <w:ind w:left="20"/>
              <w:spacing w:after="0"/>
              <w:rPr>
                <w:sz w:val="20"/>
                <w:szCs w:val="20"/>
                <w:color w:val="auto"/>
              </w:rPr>
            </w:pPr>
            <w:r>
              <w:rPr>
                <w:rFonts w:ascii="Arial" w:cs="Arial" w:eastAsia="Arial" w:hAnsi="Arial"/>
                <w:sz w:val="14"/>
                <w:szCs w:val="14"/>
                <w:color w:val="auto"/>
              </w:rPr>
              <w:t>Add back:</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5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Impairment (gain) of assets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(0.4 )</w:t>
            </w:r>
          </w:p>
        </w:tc>
      </w:tr>
      <w:tr>
        <w:trPr>
          <w:trHeight w:val="175"/>
        </w:trPr>
        <w:tc>
          <w:tcPr>
            <w:tcW w:w="5020" w:type="dxa"/>
            <w:vAlign w:val="bottom"/>
            <w:gridSpan w:val="3"/>
          </w:tcPr>
          <w:p>
            <w:pPr>
              <w:ind w:left="20"/>
              <w:spacing w:after="0"/>
              <w:rPr>
                <w:sz w:val="20"/>
                <w:szCs w:val="20"/>
                <w:color w:val="auto"/>
              </w:rPr>
            </w:pPr>
            <w:r>
              <w:rPr>
                <w:rFonts w:ascii="Arial" w:cs="Arial" w:eastAsia="Arial" w:hAnsi="Arial"/>
                <w:sz w:val="14"/>
                <w:szCs w:val="14"/>
                <w:color w:val="auto"/>
              </w:rPr>
              <w:t>Loss on termination of retirement plans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76"/>
        </w:trPr>
        <w:tc>
          <w:tcPr>
            <w:tcW w:w="5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Provision (benefit) for income taxes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(32.9 )</w:t>
            </w:r>
          </w:p>
        </w:tc>
      </w:tr>
      <w:tr>
        <w:trPr>
          <w:trHeight w:val="175"/>
        </w:trPr>
        <w:tc>
          <w:tcPr>
            <w:tcW w:w="5020" w:type="dxa"/>
            <w:vAlign w:val="bottom"/>
            <w:gridSpan w:val="3"/>
          </w:tcPr>
          <w:p>
            <w:pPr>
              <w:ind w:left="20"/>
              <w:spacing w:after="0"/>
              <w:rPr>
                <w:sz w:val="20"/>
                <w:szCs w:val="20"/>
                <w:color w:val="auto"/>
              </w:rPr>
            </w:pPr>
            <w:r>
              <w:rPr>
                <w:rFonts w:ascii="Arial" w:cs="Arial" w:eastAsia="Arial" w:hAnsi="Arial"/>
                <w:sz w:val="14"/>
                <w:szCs w:val="14"/>
                <w:color w:val="auto"/>
              </w:rPr>
              <w:t>Interest (income) expense</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(0.6 )</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(1.4 )</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5"/>
                <w:szCs w:val="15"/>
                <w:color w:val="auto"/>
              </w:rPr>
            </w:pPr>
          </w:p>
        </w:tc>
      </w:tr>
      <w:tr>
        <w:trPr>
          <w:trHeight w:val="175"/>
        </w:trPr>
        <w:tc>
          <w:tcPr>
            <w:tcW w:w="50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3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Borders>
              <w:bottom w:val="single" w:sz="8" w:color="CFF0FC"/>
            </w:tcBorders>
            <w:shd w:val="clear" w:color="auto" w:fill="CFF0FC"/>
          </w:tcPr>
          <w:p>
            <w:pPr>
              <w:spacing w:after="0"/>
              <w:rPr>
                <w:sz w:val="15"/>
                <w:szCs w:val="15"/>
                <w:color w:val="auto"/>
              </w:rPr>
            </w:pPr>
          </w:p>
        </w:tc>
      </w:tr>
      <w:tr>
        <w:trPr>
          <w:trHeight w:val="169"/>
        </w:trPr>
        <w:tc>
          <w:tcPr>
            <w:tcW w:w="5020" w:type="dxa"/>
            <w:vAlign w:val="bottom"/>
            <w:gridSpan w:val="3"/>
          </w:tcPr>
          <w:p>
            <w:pPr>
              <w:ind w:left="20"/>
              <w:spacing w:after="0"/>
              <w:rPr>
                <w:sz w:val="20"/>
                <w:szCs w:val="20"/>
                <w:color w:val="auto"/>
              </w:rPr>
            </w:pPr>
            <w:r>
              <w:rPr>
                <w:rFonts w:ascii="Arial" w:cs="Arial" w:eastAsia="Arial" w:hAnsi="Arial"/>
                <w:sz w:val="14"/>
                <w:szCs w:val="14"/>
                <w:color w:val="auto"/>
              </w:rPr>
              <w:t>Adjusted EBITDA (non-GAAP basis)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3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2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r>
      <w:tr>
        <w:trPr>
          <w:trHeight w:val="175"/>
        </w:trPr>
        <w:tc>
          <w:tcPr>
            <w:tcW w:w="5020" w:type="dxa"/>
            <w:vAlign w:val="bottom"/>
            <w:gridSpan w:val="3"/>
          </w:tcPr>
          <w:p>
            <w:pPr>
              <w:ind w:left="20"/>
              <w:spacing w:after="0"/>
              <w:rPr>
                <w:sz w:val="20"/>
                <w:szCs w:val="20"/>
                <w:color w:val="auto"/>
              </w:rPr>
            </w:pPr>
            <w:r>
              <w:rPr>
                <w:rFonts w:ascii="Arial" w:cs="Arial" w:eastAsia="Arial" w:hAnsi="Arial"/>
                <w:sz w:val="14"/>
                <w:szCs w:val="14"/>
                <w:color w:val="auto"/>
              </w:rPr>
              <w:t>Sales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119.2</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384.7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402.0</w:t>
            </w:r>
          </w:p>
        </w:tc>
        <w:tc>
          <w:tcPr>
            <w:tcW w:w="220" w:type="dxa"/>
            <w:vAlign w:val="bottom"/>
          </w:tcPr>
          <w:p>
            <w:pPr>
              <w:spacing w:after="0"/>
              <w:rPr>
                <w:sz w:val="15"/>
                <w:szCs w:val="15"/>
                <w:color w:val="auto"/>
              </w:rPr>
            </w:pPr>
          </w:p>
        </w:tc>
      </w:tr>
      <w:tr>
        <w:trPr>
          <w:trHeight w:val="175"/>
        </w:trPr>
        <w:tc>
          <w:tcPr>
            <w:tcW w:w="5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Adjusted EBITDA margin (non-GAAP), as a percentage of sales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7.3 %</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12.7 %</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11.5 %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-479425</wp:posOffset>
            </wp:positionV>
            <wp:extent cx="7747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-479425</wp:posOffset>
            </wp:positionV>
            <wp:extent cx="6858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-479425</wp:posOffset>
            </wp:positionV>
            <wp:extent cx="6858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-479425</wp:posOffset>
            </wp:positionV>
            <wp:extent cx="6858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gridSpan w:val="5"/>
          </w:tcPr>
          <w:p>
            <w:pPr>
              <w:jc w:val="right"/>
              <w:ind w:right="1840"/>
              <w:spacing w:after="0"/>
              <w:rPr>
                <w:sz w:val="20"/>
                <w:szCs w:val="20"/>
                <w:color w:val="auto"/>
              </w:rPr>
            </w:pPr>
            <w:r>
              <w:rPr>
                <w:rFonts w:ascii="Arial" w:cs="Arial" w:eastAsia="Arial" w:hAnsi="Arial"/>
                <w:sz w:val="14"/>
                <w:szCs w:val="14"/>
                <w:color w:val="auto"/>
              </w:rPr>
              <w:t>For the nine months ended</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4"/>
                <w:szCs w:val="14"/>
                <w:color w:val="auto"/>
              </w:rPr>
              <w:t>October 28, 2023</w:t>
            </w:r>
          </w:p>
        </w:tc>
        <w:tc>
          <w:tcPr>
            <w:tcW w:w="380" w:type="dxa"/>
            <w:vAlign w:val="bottom"/>
          </w:tcPr>
          <w:p>
            <w:pPr>
              <w:spacing w:after="0"/>
              <w:rPr>
                <w:sz w:val="15"/>
                <w:szCs w:val="15"/>
                <w:color w:val="auto"/>
              </w:rPr>
            </w:pPr>
          </w:p>
        </w:tc>
        <w:tc>
          <w:tcPr>
            <w:tcW w:w="2380" w:type="dxa"/>
            <w:vAlign w:val="bottom"/>
            <w:gridSpan w:val="2"/>
          </w:tcPr>
          <w:p>
            <w:pPr>
              <w:jc w:val="right"/>
              <w:ind w:right="1080"/>
              <w:spacing w:after="0"/>
              <w:rPr>
                <w:sz w:val="20"/>
                <w:szCs w:val="20"/>
                <w:color w:val="auto"/>
              </w:rPr>
            </w:pPr>
            <w:r>
              <w:rPr>
                <w:rFonts w:ascii="Arial" w:cs="Arial" w:eastAsia="Arial" w:hAnsi="Arial"/>
                <w:sz w:val="14"/>
                <w:szCs w:val="14"/>
                <w:color w:val="auto"/>
              </w:rPr>
              <w:t>October 29, 2022</w:t>
            </w:r>
          </w:p>
        </w:tc>
      </w:tr>
      <w:tr>
        <w:trPr>
          <w:trHeight w:val="223"/>
        </w:trPr>
        <w:tc>
          <w:tcPr>
            <w:tcW w:w="6020" w:type="dxa"/>
            <w:vAlign w:val="bottom"/>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360" w:type="dxa"/>
            <w:vAlign w:val="bottom"/>
          </w:tcPr>
          <w:p>
            <w:pPr>
              <w:spacing w:after="0"/>
              <w:rPr>
                <w:sz w:val="19"/>
                <w:szCs w:val="19"/>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380" w:type="dxa"/>
            <w:vAlign w:val="bottom"/>
          </w:tcPr>
          <w:p>
            <w:pPr>
              <w:spacing w:after="0"/>
              <w:rPr>
                <w:sz w:val="19"/>
                <w:szCs w:val="19"/>
                <w:color w:val="auto"/>
              </w:rPr>
            </w:pPr>
          </w:p>
        </w:tc>
      </w:tr>
      <w:tr>
        <w:trPr>
          <w:trHeight w:val="216"/>
        </w:trPr>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(10.4 )</w:t>
            </w:r>
          </w:p>
        </w:tc>
        <w:tc>
          <w:tcPr>
            <w:tcW w:w="38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(7.9 )</w:t>
            </w:r>
          </w:p>
        </w:tc>
      </w:tr>
      <w:tr>
        <w:trPr>
          <w:trHeight w:val="183"/>
        </w:trPr>
        <w:tc>
          <w:tcPr>
            <w:tcW w:w="6020" w:type="dxa"/>
            <w:vAlign w:val="bottom"/>
            <w:tcBorders>
              <w:top w:val="single" w:sz="8" w:color="CFF0FC"/>
            </w:tcBorders>
          </w:tcPr>
          <w:p>
            <w:pPr>
              <w:ind w:left="120"/>
              <w:spacing w:after="0"/>
              <w:rPr>
                <w:sz w:val="20"/>
                <w:szCs w:val="20"/>
                <w:color w:val="auto"/>
              </w:rPr>
            </w:pPr>
            <w:r>
              <w:rPr>
                <w:rFonts w:ascii="Arial" w:cs="Arial" w:eastAsia="Arial" w:hAnsi="Arial"/>
                <w:sz w:val="14"/>
                <w:szCs w:val="14"/>
                <w:color w:val="auto"/>
              </w:rPr>
              <w:t>Free Cash Flow (non-GAAP basis)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36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380" w:type="dxa"/>
            <w:vAlign w:val="bottom"/>
            <w:tcBorders>
              <w:top w:val="single" w:sz="8" w:color="CFF0FC"/>
            </w:tcBorders>
          </w:tcPr>
          <w:p>
            <w:pPr>
              <w:spacing w:after="0"/>
              <w:rPr>
                <w:sz w:val="15"/>
                <w:szCs w:val="15"/>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-153670</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-153670</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FISCAL 2023 FORECAST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GAAP TO NON-GAAP ADJUSTED EBITDA AND ADJUSTED EBITDA MARGIN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ADJUSTED NET INCOME AND ADJUSTED NET INCOME PER SHARE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color w:val="auto"/>
              </w:rPr>
              <w:t>Projected</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Fiscal 2023</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7700" w:type="dxa"/>
            <w:vAlign w:val="bottom"/>
            <w:gridSpan w:val="3"/>
          </w:tcPr>
          <w:p>
            <w:pPr>
              <w:ind w:left="20"/>
              <w:spacing w:after="0" w:line="155" w:lineRule="exact"/>
              <w:rPr>
                <w:sz w:val="20"/>
                <w:szCs w:val="20"/>
                <w:color w:val="auto"/>
              </w:rPr>
            </w:pPr>
            <w:r>
              <w:rPr>
                <w:rFonts w:ascii="Arial" w:cs="Arial" w:eastAsia="Arial" w:hAnsi="Arial"/>
                <w:sz w:val="14"/>
                <w:szCs w:val="14"/>
                <w:i w:val="1"/>
                <w:iCs w:val="1"/>
                <w:color w:val="auto"/>
              </w:rPr>
              <w:t>(in millions, except per share data and percentages)</w:t>
            </w: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i w:val="1"/>
                <w:iCs w:val="1"/>
                <w:color w:val="auto"/>
              </w:rPr>
              <w:t>per diluted share</w:t>
            </w:r>
          </w:p>
        </w:tc>
        <w:tc>
          <w:tcPr>
            <w:tcW w:w="100" w:type="dxa"/>
            <w:vAlign w:val="bottom"/>
          </w:tcPr>
          <w:p>
            <w:pPr>
              <w:spacing w:after="0"/>
              <w:rPr>
                <w:sz w:val="14"/>
                <w:szCs w:val="14"/>
                <w:color w:val="auto"/>
              </w:rPr>
            </w:pPr>
          </w:p>
        </w:tc>
      </w:tr>
      <w:tr>
        <w:trPr>
          <w:trHeight w:val="175"/>
        </w:trPr>
        <w:tc>
          <w:tcPr>
            <w:tcW w:w="20" w:type="dxa"/>
            <w:vAlign w:val="bottom"/>
            <w:shd w:val="clear" w:color="auto" w:fill="CFF0FC"/>
          </w:tcPr>
          <w:p>
            <w:pPr>
              <w:spacing w:after="0"/>
              <w:rPr>
                <w:sz w:val="15"/>
                <w:szCs w:val="15"/>
                <w:color w:val="auto"/>
              </w:rPr>
            </w:pPr>
          </w:p>
        </w:tc>
        <w:tc>
          <w:tcPr>
            <w:tcW w:w="3000" w:type="dxa"/>
            <w:vAlign w:val="bottom"/>
            <w:tcBorders>
              <w:top w:val="single" w:sz="8" w:color="auto"/>
            </w:tcBorders>
            <w:shd w:val="clear" w:color="auto" w:fill="CFF0FC"/>
          </w:tcPr>
          <w:p>
            <w:pPr>
              <w:spacing w:after="0"/>
              <w:rPr>
                <w:sz w:val="15"/>
                <w:szCs w:val="15"/>
                <w:color w:val="auto"/>
              </w:rPr>
            </w:pPr>
          </w:p>
        </w:tc>
        <w:tc>
          <w:tcPr>
            <w:tcW w:w="468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 (GAAP basis)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$24.9 - $29.5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w:t>
            </w: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Loss from termination of retirement plans</w:t>
            </w:r>
          </w:p>
        </w:tc>
        <w:tc>
          <w:tcPr>
            <w:tcW w:w="166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9.2 - 10.9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Interest income, net</w:t>
            </w:r>
          </w:p>
        </w:tc>
        <w:tc>
          <w:tcPr>
            <w:tcW w:w="1780" w:type="dxa"/>
            <w:vAlign w:val="bottom"/>
            <w:gridSpan w:val="2"/>
          </w:tcPr>
          <w:p>
            <w:pPr>
              <w:jc w:val="right"/>
              <w:ind w:right="60"/>
              <w:spacing w:after="0"/>
              <w:rPr>
                <w:sz w:val="20"/>
                <w:szCs w:val="20"/>
                <w:color w:val="auto"/>
              </w:rPr>
            </w:pPr>
            <w:r>
              <w:rPr>
                <w:rFonts w:ascii="Arial" w:cs="Arial" w:eastAsia="Arial" w:hAnsi="Arial"/>
                <w:sz w:val="14"/>
                <w:szCs w:val="14"/>
                <w:color w:val="auto"/>
              </w:rPr>
              <w:t>(1.9 )</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9"/>
        </w:trPr>
        <w:tc>
          <w:tcPr>
            <w:tcW w:w="77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EBITDA (non-GAAP basis)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$52.2 - $58.5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3000" w:type="dxa"/>
            <w:vAlign w:val="bottom"/>
            <w:shd w:val="clear" w:color="auto" w:fill="CFF0FC"/>
          </w:tcPr>
          <w:p>
            <w:pPr>
              <w:spacing w:after="0"/>
              <w:rPr>
                <w:sz w:val="13"/>
                <w:szCs w:val="13"/>
                <w:color w:val="auto"/>
              </w:rPr>
            </w:pPr>
          </w:p>
        </w:tc>
        <w:tc>
          <w:tcPr>
            <w:tcW w:w="468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Sales (53-week basis)</w:t>
            </w:r>
          </w:p>
        </w:tc>
        <w:tc>
          <w:tcPr>
            <w:tcW w:w="1660" w:type="dxa"/>
            <w:vAlign w:val="bottom"/>
          </w:tcPr>
          <w:p>
            <w:pPr>
              <w:jc w:val="right"/>
              <w:spacing w:after="0"/>
              <w:rPr>
                <w:sz w:val="20"/>
                <w:szCs w:val="20"/>
                <w:color w:val="auto"/>
              </w:rPr>
            </w:pPr>
            <w:r>
              <w:rPr>
                <w:rFonts w:ascii="Arial" w:cs="Arial" w:eastAsia="Arial" w:hAnsi="Arial"/>
                <w:sz w:val="14"/>
                <w:szCs w:val="14"/>
                <w:color w:val="auto"/>
              </w:rPr>
              <w:t>$520.0 - $530.0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Adjusted EBITDA margin as a percentage of sales (non-GAAP basis)</w:t>
            </w: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10.0%-11.0%</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shd w:val="clear" w:color="auto" w:fill="CFF0FC"/>
          </w:tcPr>
          <w:p>
            <w:pPr>
              <w:spacing w:after="0"/>
              <w:rPr>
                <w:sz w:val="16"/>
                <w:szCs w:val="16"/>
                <w:color w:val="auto"/>
              </w:rPr>
            </w:pPr>
          </w:p>
        </w:tc>
        <w:tc>
          <w:tcPr>
            <w:tcW w:w="3000" w:type="dxa"/>
            <w:vAlign w:val="bottom"/>
            <w:shd w:val="clear" w:color="auto" w:fill="CFF0FC"/>
          </w:tcPr>
          <w:p>
            <w:pPr>
              <w:spacing w:after="0"/>
              <w:rPr>
                <w:sz w:val="16"/>
                <w:szCs w:val="16"/>
                <w:color w:val="auto"/>
              </w:rPr>
            </w:pPr>
          </w:p>
        </w:tc>
        <w:tc>
          <w:tcPr>
            <w:tcW w:w="468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 (GAAP basis)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$24.9 - $29.5</w:t>
            </w:r>
          </w:p>
        </w:tc>
        <w:tc>
          <w:tcPr>
            <w:tcW w:w="12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$0.39 -$0.46</w:t>
            </w:r>
          </w:p>
        </w:tc>
        <w:tc>
          <w:tcPr>
            <w:tcW w:w="100" w:type="dxa"/>
            <w:vAlign w:val="bottom"/>
          </w:tcPr>
          <w:p>
            <w:pPr>
              <w:spacing w:after="0"/>
              <w:rPr>
                <w:sz w:val="15"/>
                <w:szCs w:val="15"/>
                <w:color w:val="auto"/>
              </w:rPr>
            </w:pPr>
          </w:p>
        </w:tc>
      </w:tr>
      <w:tr>
        <w:trPr>
          <w:trHeight w:val="175"/>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w:t>
            </w: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Loss from termination of retirement plans, tax effected</w:t>
            </w:r>
          </w:p>
        </w:tc>
        <w:tc>
          <w:tcPr>
            <w:tcW w:w="16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Adjusted net income (non-GAAP basis)</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$29.1 - $33.7</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$0.45-$0.52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70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9"/>
                <w:szCs w:val="19"/>
                <w:color w:val="auto"/>
                <w:vertAlign w:val="superscript"/>
              </w:rPr>
              <w:t>(1)</w:t>
            </w: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7700" w:type="dxa"/>
            <w:vAlign w:val="bottom"/>
            <w:gridSpan w:val="3"/>
          </w:tcPr>
          <w:p>
            <w:pPr>
              <w:ind w:left="20"/>
              <w:spacing w:after="0"/>
              <w:rPr>
                <w:sz w:val="20"/>
                <w:szCs w:val="20"/>
                <w:color w:val="auto"/>
              </w:rPr>
            </w:pPr>
            <w:r>
              <w:rPr>
                <w:rFonts w:ascii="Arial" w:cs="Arial" w:eastAsia="Arial" w:hAnsi="Arial"/>
                <w:sz w:val="14"/>
                <w:szCs w:val="14"/>
                <w:i w:val="1"/>
                <w:iCs w:val="1"/>
                <w:color w:val="auto"/>
              </w:rPr>
              <w:t>(1) No share repurchases have been assumed for the fourth quarter of fiscal 2023</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-363855</wp:posOffset>
            </wp:positionV>
            <wp:extent cx="11912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91260" cy="13716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2023-11-17T06:23:19Z</dcterms:created>
  <dcterms:modified xsi:type="dcterms:W3CDTF">2023-11-17T06:23:19Z</dcterms:modified>
</cp:coreProperties>
</file>