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Pursuant to Section 13 or 15(d) of</w:t>
      </w:r>
    </w:p>
    <w:p>
      <w:pPr>
        <w:spacing w:after="0" w:line="15"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The Securities Exchange Act of 1934</w:t>
      </w:r>
    </w:p>
    <w:p>
      <w:pPr>
        <w:spacing w:after="0" w:line="112" w:lineRule="exact"/>
        <w:rPr>
          <w:sz w:val="24"/>
          <w:szCs w:val="24"/>
          <w:color w:val="auto"/>
        </w:rPr>
      </w:pPr>
    </w:p>
    <w:p>
      <w:pPr>
        <w:ind w:left="3026"/>
        <w:spacing w:after="0"/>
        <w:rPr>
          <w:sz w:val="20"/>
          <w:szCs w:val="20"/>
          <w:color w:val="auto"/>
        </w:rPr>
      </w:pPr>
      <w:r>
        <w:rPr>
          <w:rFonts w:ascii="Arial" w:cs="Arial" w:eastAsia="Arial" w:hAnsi="Arial"/>
          <w:sz w:val="18"/>
          <w:szCs w:val="18"/>
          <w:b w:val="1"/>
          <w:bCs w:val="1"/>
          <w:color w:val="auto"/>
        </w:rPr>
        <w:t>Date of Report (Date of earliest event reported): February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175895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71" w:lineRule="exact"/>
        <w:rPr>
          <w:sz w:val="24"/>
          <w:szCs w:val="24"/>
          <w:color w:val="auto"/>
        </w:rPr>
      </w:pPr>
    </w:p>
    <w:p>
      <w:pPr>
        <w:jc w:val="center"/>
        <w:ind w:right="-385"/>
        <w:spacing w:after="0"/>
        <w:rPr>
          <w:sz w:val="20"/>
          <w:szCs w:val="20"/>
          <w:color w:val="auto"/>
        </w:rPr>
      </w:pPr>
      <w:r>
        <w:rPr>
          <w:rFonts w:ascii="Arial" w:cs="Arial" w:eastAsia="Arial" w:hAnsi="Arial"/>
          <w:sz w:val="38"/>
          <w:szCs w:val="38"/>
          <w:b w:val="1"/>
          <w:bCs w:val="1"/>
          <w:color w:val="auto"/>
        </w:rPr>
        <w:t>DESTINATION XL GROUP, INC.</w:t>
      </w:r>
    </w:p>
    <w:p>
      <w:pPr>
        <w:spacing w:after="0" w:line="41"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170815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ind w:left="162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ind w:right="2380"/>
        <w:spacing w:after="0"/>
        <w:rPr>
          <w:sz w:val="20"/>
          <w:szCs w:val="20"/>
          <w:color w:val="auto"/>
        </w:rPr>
      </w:pPr>
      <w:r>
        <w:rPr>
          <w:rFonts w:ascii="Arial" w:cs="Arial" w:eastAsia="Arial" w:hAnsi="Arial"/>
          <w:sz w:val="13"/>
          <w:szCs w:val="13"/>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8" w:lineRule="exact"/>
        <w:rPr>
          <w:sz w:val="24"/>
          <w:szCs w:val="24"/>
          <w:color w:val="auto"/>
        </w:rPr>
      </w:pPr>
    </w:p>
    <w:p>
      <w:pPr>
        <w:sectPr>
          <w:pgSz w:w="11900" w:h="16838" w:orient="portrait"/>
          <w:cols w:equalWidth="0" w:num="3">
            <w:col w:w="4846" w:space="720"/>
            <w:col w:w="2960" w:space="720"/>
            <w:col w:w="1820"/>
          </w:cols>
          <w:pgMar w:left="234" w:top="291" w:right="599" w:bottom="1440" w:gutter="0" w:footer="0" w:header="0"/>
          <w:type w:val="continuous"/>
        </w:sectPr>
      </w:pPr>
    </w:p>
    <w:p>
      <w:pPr>
        <w:jc w:val="center"/>
        <w:ind w:right="89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89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786" w:space="720"/>
            <w:col w:w="2920" w:space="720"/>
            <w:col w:w="1920"/>
          </w:cols>
          <w:pgMar w:left="234" w:top="291" w:right="599" w:bottom="1440" w:gutter="0" w:footer="0" w:header="0"/>
          <w:type w:val="continuous"/>
        </w:sectPr>
      </w:pPr>
    </w:p>
    <w:p>
      <w:pPr>
        <w:ind w:left="2406"/>
        <w:spacing w:after="0"/>
        <w:rPr>
          <w:sz w:val="20"/>
          <w:szCs w:val="20"/>
          <w:color w:val="auto"/>
        </w:rPr>
      </w:pPr>
      <w:r>
        <w:rPr>
          <w:rFonts w:ascii="Arial" w:cs="Arial" w:eastAsia="Arial" w:hAnsi="Arial"/>
          <w:sz w:val="13"/>
          <w:szCs w:val="13"/>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02021</w:t>
      </w:r>
    </w:p>
    <w:p>
      <w:pPr>
        <w:spacing w:after="0" w:line="49" w:lineRule="exact"/>
        <w:rPr>
          <w:sz w:val="24"/>
          <w:szCs w:val="24"/>
          <w:color w:val="auto"/>
        </w:rPr>
      </w:pPr>
    </w:p>
    <w:p>
      <w:pPr>
        <w:sectPr>
          <w:pgSz w:w="11900" w:h="16838" w:orient="portrait"/>
          <w:cols w:equalWidth="0" w:num="2">
            <w:col w:w="8706" w:space="720"/>
            <w:col w:w="1640"/>
          </w:cols>
          <w:pgMar w:left="234" w:top="291" w:right="599" w:bottom="1440" w:gutter="0" w:footer="0" w:header="0"/>
          <w:type w:val="continuous"/>
        </w:sectPr>
      </w:pPr>
    </w:p>
    <w:p>
      <w:pPr>
        <w:ind w:left="282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8626" w:space="720"/>
            <w:col w:w="1720"/>
          </w:cols>
          <w:pgMar w:left="234" w:top="291" w:right="599" w:bottom="1440" w:gutter="0" w:footer="0" w:header="0"/>
          <w:type w:val="continuous"/>
        </w:sect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173990</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p>
      <w:pPr>
        <w:spacing w:after="0" w:line="200" w:lineRule="exact"/>
        <w:rPr>
          <w:sz w:val="24"/>
          <w:szCs w:val="24"/>
          <w:color w:val="auto"/>
        </w:rPr>
      </w:pPr>
    </w:p>
    <w:p>
      <w:pPr>
        <w:spacing w:after="0" w:line="220"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2.02 Results of Operations and Financial Condition.</w:t>
      </w:r>
    </w:p>
    <w:p>
      <w:pPr>
        <w:spacing w:after="0" w:line="90" w:lineRule="exact"/>
        <w:rPr>
          <w:sz w:val="20"/>
          <w:szCs w:val="20"/>
          <w:color w:val="auto"/>
        </w:rPr>
      </w:pPr>
    </w:p>
    <w:p>
      <w:pPr>
        <w:ind w:left="6" w:right="160"/>
        <w:spacing w:after="0" w:line="291" w:lineRule="auto"/>
        <w:rPr>
          <w:sz w:val="20"/>
          <w:szCs w:val="20"/>
          <w:color w:val="auto"/>
        </w:rPr>
      </w:pPr>
      <w:r>
        <w:rPr>
          <w:rFonts w:ascii="Arial" w:cs="Arial" w:eastAsia="Arial" w:hAnsi="Arial"/>
          <w:sz w:val="15"/>
          <w:szCs w:val="15"/>
          <w:color w:val="auto"/>
        </w:rPr>
        <w:t>On February 27, 2013, Destination XL Group, Inc. (the “Company”) issued a press release announcing preliminary results for the fourth quarter and fiscal year ending February 2, 2013 (“fiscal 2012”). A copy of this press release is attached hereto as Exhibit 99.1.</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7.01 Regulation FD Disclosure.</w:t>
      </w:r>
    </w:p>
    <w:p>
      <w:pPr>
        <w:spacing w:after="0" w:line="90" w:lineRule="exact"/>
        <w:rPr>
          <w:sz w:val="20"/>
          <w:szCs w:val="20"/>
          <w:color w:val="auto"/>
        </w:rPr>
      </w:pPr>
    </w:p>
    <w:p>
      <w:pPr>
        <w:ind w:left="6" w:right="6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 conferences beginning on February 28, 2013. A copy of the slides to be presented at those conferences is attached to this report as Exhibit 99.2 and is incorporated by reference herein.</w:t>
      </w:r>
    </w:p>
    <w:p>
      <w:pPr>
        <w:spacing w:after="0" w:line="99" w:lineRule="exact"/>
        <w:rPr>
          <w:sz w:val="20"/>
          <w:szCs w:val="20"/>
          <w:color w:val="auto"/>
        </w:rPr>
      </w:pPr>
    </w:p>
    <w:p>
      <w:pPr>
        <w:ind w:left="6" w:right="6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Presentation of Non-GAAP Measures</w:t>
      </w:r>
    </w:p>
    <w:p>
      <w:pPr>
        <w:spacing w:after="0" w:line="86" w:lineRule="exact"/>
        <w:rPr>
          <w:sz w:val="20"/>
          <w:szCs w:val="20"/>
          <w:color w:val="auto"/>
        </w:rPr>
      </w:pPr>
    </w:p>
    <w:p>
      <w:pPr>
        <w:ind w:left="6" w:right="56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24.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left="6" w:right="100"/>
        <w:spacing w:after="0" w:line="292"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2016 of $60.0-$70.0 million as estimated cash flow from operating activities of $77.0-$87.0 million, less estimated capital expenditures of $17.0 million (no discretionary store asset acquisitions are anticipated in fiscal 2016). We believe that inclusion of this non-GAAP measure helps investors gain a better understanding of projected performance, especially when comparing such results to previous periods.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90"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4"/>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440" w:type="dxa"/>
            <w:vAlign w:val="bottom"/>
          </w:tcPr>
          <w:p>
            <w:pPr>
              <w:spacing w:after="0"/>
              <w:rPr>
                <w:sz w:val="12"/>
                <w:szCs w:val="12"/>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69"/>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10840" w:type="dxa"/>
            <w:vAlign w:val="bottom"/>
            <w:gridSpan w:val="2"/>
          </w:tcPr>
          <w:p>
            <w:pPr>
              <w:ind w:left="440"/>
              <w:spacing w:after="0"/>
              <w:rPr>
                <w:sz w:val="20"/>
                <w:szCs w:val="20"/>
                <w:color w:val="auto"/>
              </w:rPr>
            </w:pPr>
            <w:r>
              <w:rPr>
                <w:rFonts w:ascii="Arial" w:cs="Arial" w:eastAsia="Arial" w:hAnsi="Arial"/>
                <w:sz w:val="15"/>
                <w:szCs w:val="15"/>
                <w:color w:val="auto"/>
              </w:rPr>
              <w:t>Press Release dated February 27, 2013</w:t>
            </w:r>
          </w:p>
        </w:tc>
      </w:tr>
      <w:tr>
        <w:trPr>
          <w:trHeight w:val="282"/>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10840" w:type="dxa"/>
            <w:vAlign w:val="bottom"/>
            <w:gridSpan w:val="2"/>
          </w:tcPr>
          <w:p>
            <w:pPr>
              <w:ind w:left="440"/>
              <w:spacing w:after="0"/>
              <w:rPr>
                <w:sz w:val="20"/>
                <w:szCs w:val="20"/>
                <w:color w:val="auto"/>
              </w:rPr>
            </w:pPr>
            <w:r>
              <w:rPr>
                <w:rFonts w:ascii="Arial" w:cs="Arial" w:eastAsia="Arial" w:hAnsi="Arial"/>
                <w:sz w:val="15"/>
                <w:szCs w:val="15"/>
                <w:color w:val="auto"/>
              </w:rPr>
              <w:t>Investor Slide Presentation dated February 28, 2013</w:t>
            </w:r>
          </w:p>
        </w:tc>
      </w:tr>
    </w:tbl>
    <w:p>
      <w:pPr>
        <w:sectPr>
          <w:pgSz w:w="11900" w:h="16838" w:orient="portrait"/>
          <w:cols w:equalWidth="0" w:num="1">
            <w:col w:w="11446"/>
          </w:cols>
          <w:pgMar w:left="234" w:top="258" w:right="21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DESTINATION XL GROUP, INC.</w:t>
      </w:r>
    </w:p>
    <w:p>
      <w:pPr>
        <w:spacing w:after="0" w:line="168" w:lineRule="exact"/>
        <w:rPr>
          <w:sz w:val="20"/>
          <w:szCs w:val="20"/>
          <w:color w:val="auto"/>
        </w:rPr>
      </w:pPr>
    </w:p>
    <w:p>
      <w:pPr>
        <w:spacing w:after="0"/>
        <w:tabs>
          <w:tab w:leader="none" w:pos="5940" w:val="left"/>
        </w:tabs>
        <w:rPr>
          <w:sz w:val="20"/>
          <w:szCs w:val="20"/>
          <w:color w:val="auto"/>
        </w:rPr>
      </w:pPr>
      <w:r>
        <w:rPr>
          <w:rFonts w:ascii="Arial" w:cs="Arial" w:eastAsia="Arial" w:hAnsi="Arial"/>
          <w:sz w:val="15"/>
          <w:szCs w:val="15"/>
          <w:color w:val="auto"/>
        </w:rPr>
        <w:t>Date: February 27, 2013</w:t>
      </w:r>
      <w:r>
        <w:rPr>
          <w:sz w:val="20"/>
          <w:szCs w:val="20"/>
          <w:color w:val="auto"/>
        </w:rPr>
        <w:tab/>
      </w:r>
      <w:r>
        <w:rPr>
          <w:rFonts w:ascii="Arial" w:cs="Arial" w:eastAsia="Arial" w:hAnsi="Arial"/>
          <w:sz w:val="14"/>
          <w:szCs w:val="14"/>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14605</wp:posOffset>
            </wp:positionV>
            <wp:extent cx="32626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2630" cy="7620"/>
                    </a:xfrm>
                    <a:prstGeom prst="rect">
                      <a:avLst/>
                    </a:prstGeom>
                    <a:noFill/>
                  </pic:spPr>
                </pic:pic>
              </a:graphicData>
            </a:graphic>
          </wp:anchor>
        </w:drawing>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Name: Dennis R. Hernreich</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Title:  Executive Vice President and Chief Financial Officer</w:t>
      </w:r>
    </w:p>
    <w:p>
      <w:pPr>
        <w:sectPr>
          <w:pgSz w:w="11900" w:h="16838" w:orient="portrait"/>
          <w:cols w:equalWidth="0" w:num="1">
            <w:col w:w="10900"/>
          </w:cols>
          <w:pgMar w:left="240" w:top="258"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268033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03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Jeff Unger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Investor Relations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(561) 482-9715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Destination XL Group, Inc. Announces Preliminary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Fourth-Quarter 2012 Results in Advance of KeyBanc Consumer Conference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Destination XL Retail Store and E-commerce Platform Deliver Increased Sales Comps;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Company to Launch DXL Marketing Campaign in Spring 2013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Following Successful Test Marketing;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Expects 2013 to be Year of Accelerated Progress in DXL Transformation;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w:t>
      </w:r>
      <w:r>
        <w:rPr>
          <w:rFonts w:ascii="Arial" w:cs="Arial" w:eastAsia="Arial" w:hAnsi="Arial"/>
          <w:sz w:val="15"/>
          <w:szCs w:val="15"/>
          <w:i w:val="1"/>
          <w:iCs w:val="1"/>
          <w:color w:val="auto"/>
        </w:rPr>
        <w:t>ull Fourth-Quarter and Full-Year Results to be Announced Friday, March 15</w:t>
      </w:r>
    </w:p>
    <w:p>
      <w:pPr>
        <w:spacing w:after="0" w:line="147" w:lineRule="exact"/>
        <w:rPr>
          <w:sz w:val="20"/>
          <w:szCs w:val="20"/>
          <w:color w:val="auto"/>
        </w:rPr>
      </w:pPr>
    </w:p>
    <w:p>
      <w:pPr>
        <w:ind w:right="440"/>
        <w:spacing w:after="0" w:line="297" w:lineRule="auto"/>
        <w:rPr>
          <w:sz w:val="20"/>
          <w:szCs w:val="20"/>
          <w:color w:val="auto"/>
        </w:rPr>
      </w:pPr>
      <w:r>
        <w:rPr>
          <w:rFonts w:ascii="Arial" w:cs="Arial" w:eastAsia="Arial" w:hAnsi="Arial"/>
          <w:sz w:val="15"/>
          <w:szCs w:val="15"/>
          <w:b w:val="1"/>
          <w:bCs w:val="1"/>
          <w:color w:val="auto"/>
        </w:rPr>
        <w:t>Canton, Mass., February 27, 2013 –</w:t>
      </w:r>
      <w:r>
        <w:rPr>
          <w:rFonts w:ascii="Arial" w:cs="Arial" w:eastAsia="Arial" w:hAnsi="Arial"/>
          <w:sz w:val="15"/>
          <w:szCs w:val="15"/>
          <w:u w:val="single" w:color="auto"/>
          <w:color w:val="auto"/>
        </w:rPr>
        <w:t>Destination XL Group, Inc.</w:t>
      </w:r>
      <w:r>
        <w:rPr>
          <w:rFonts w:ascii="Arial" w:cs="Arial" w:eastAsia="Arial" w:hAnsi="Arial"/>
          <w:sz w:val="15"/>
          <w:szCs w:val="15"/>
          <w:b w:val="1"/>
          <w:bCs w:val="1"/>
          <w:color w:val="auto"/>
        </w:rPr>
        <w:t xml:space="preserve"> </w:t>
      </w:r>
      <w:r>
        <w:rPr>
          <w:rFonts w:ascii="Arial" w:cs="Arial" w:eastAsia="Arial" w:hAnsi="Arial"/>
          <w:sz w:val="15"/>
          <w:szCs w:val="15"/>
          <w:color w:val="auto"/>
        </w:rPr>
        <w:t>(NASDAQ: DXLG), the largest retailer of big &amp; tall men’s apparel and accessories, announced today preliminary</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results for the fourth quarter of 2012.</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w:t>
      </w:r>
    </w:p>
    <w:p>
      <w:pPr>
        <w:spacing w:after="0" w:line="90" w:lineRule="exact"/>
        <w:rPr>
          <w:sz w:val="20"/>
          <w:szCs w:val="20"/>
          <w:color w:val="auto"/>
        </w:rPr>
      </w:pPr>
    </w:p>
    <w:p>
      <w:pPr>
        <w:ind w:left="880" w:right="160" w:hanging="322"/>
        <w:spacing w:after="0" w:line="276"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Comparable fourth-quarter sales increased approximately 0.5% – the Company’s 11th consecutive quarter of positive comparable sales – and total sales increased to approximately $114.9 million compared with $111.1 million in the fourth quarter of fiscal 2011. Full year comparable sales increased approximately 1.5%, and 2012 total sales were approximately $399.6 million compared with $395.9 million in 2011.</w:t>
      </w:r>
    </w:p>
    <w:p>
      <w:pPr>
        <w:spacing w:after="0" w:line="39" w:lineRule="exact"/>
        <w:rPr>
          <w:rFonts w:ascii="Arial" w:cs="Arial" w:eastAsia="Arial" w:hAnsi="Arial"/>
          <w:sz w:val="15"/>
          <w:szCs w:val="15"/>
          <w:color w:val="auto"/>
        </w:rPr>
      </w:pPr>
    </w:p>
    <w:p>
      <w:pPr>
        <w:ind w:left="880" w:right="240" w:hanging="322"/>
        <w:spacing w:after="0" w:line="276"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Comparable fourth quarter sales for Destination XL</w:t>
      </w:r>
      <w:r>
        <w:rPr>
          <w:rFonts w:ascii="Arial" w:cs="Arial" w:eastAsia="Arial" w:hAnsi="Arial"/>
          <w:sz w:val="9"/>
          <w:szCs w:val="9"/>
          <w:color w:val="auto"/>
        </w:rPr>
        <w:t>®</w:t>
      </w:r>
      <w:r>
        <w:rPr>
          <w:rFonts w:ascii="Arial" w:cs="Arial" w:eastAsia="Arial" w:hAnsi="Arial"/>
          <w:sz w:val="15"/>
          <w:szCs w:val="15"/>
          <w:color w:val="auto"/>
        </w:rPr>
        <w:t xml:space="preserve"> (DXL</w:t>
      </w:r>
      <w:r>
        <w:rPr>
          <w:rFonts w:ascii="Arial" w:cs="Arial" w:eastAsia="Arial" w:hAnsi="Arial"/>
          <w:sz w:val="9"/>
          <w:szCs w:val="9"/>
          <w:color w:val="auto"/>
        </w:rPr>
        <w:t>®</w:t>
      </w:r>
      <w:r>
        <w:rPr>
          <w:rFonts w:ascii="Arial" w:cs="Arial" w:eastAsia="Arial" w:hAnsi="Arial"/>
          <w:sz w:val="15"/>
          <w:szCs w:val="15"/>
          <w:color w:val="auto"/>
        </w:rPr>
        <w:t>) stores were up approximately 15.0%, while comparable fourth quarter sales for Casual Male XL retail and outlet stores decreased approximately 2.3%. In the quarter, the DXL stores represented approximately 18% of the Company’s comparable retail business. Comparable fourth quarter sales from the e-commerce platform increased approximately 13%.</w:t>
      </w:r>
    </w:p>
    <w:p>
      <w:pPr>
        <w:spacing w:after="0" w:line="39" w:lineRule="exact"/>
        <w:rPr>
          <w:rFonts w:ascii="Arial" w:cs="Arial" w:eastAsia="Arial" w:hAnsi="Arial"/>
          <w:sz w:val="15"/>
          <w:szCs w:val="15"/>
          <w:color w:val="auto"/>
        </w:rPr>
      </w:pPr>
    </w:p>
    <w:p>
      <w:pPr>
        <w:ind w:left="880" w:right="280" w:hanging="322"/>
        <w:spacing w:after="0" w:line="276"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Income from continuing operations, on a diluted basis, for the fourth quarter is expected to be approximately $0.08 per share, flat with adjusted income from continuing operations for the fourth quarter of 2011. Without adjusting for the reversal of the Company’s valuation allowance and trademark impairment, income from continuing operations was $0.71 per share for the fourth quarter of fiscal 2011. (See below for non-GAAP reconciliation).</w:t>
      </w:r>
    </w:p>
    <w:p>
      <w:pPr>
        <w:spacing w:after="0" w:line="39" w:lineRule="exact"/>
        <w:rPr>
          <w:rFonts w:ascii="Arial" w:cs="Arial" w:eastAsia="Arial" w:hAnsi="Arial"/>
          <w:sz w:val="15"/>
          <w:szCs w:val="15"/>
          <w:color w:val="auto"/>
        </w:rPr>
      </w:pPr>
    </w:p>
    <w:p>
      <w:pPr>
        <w:ind w:left="880" w:right="180" w:hanging="322"/>
        <w:spacing w:after="0" w:line="276"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the full year, income from continuing operations, on a diluted basis, is expected to be approximately $0.16 per share compared with adjusted income from continuing operations of $0.22 per share in 2011. Without adjusting for the reversal of the Company’s valuation allowance and trademark impairment, income from continuing operations was $0.93 per share for fiscal 2011. (See below for non-GAAP reconciliation).</w:t>
      </w:r>
    </w:p>
    <w:p>
      <w:pPr>
        <w:sectPr>
          <w:pgSz w:w="11900" w:h="16838" w:orient="portrait"/>
          <w:cols w:equalWidth="0" w:num="1">
            <w:col w:w="11440"/>
          </w:cols>
          <w:pgMar w:left="240" w:top="128" w:right="21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DXLG/2</w:t>
      </w:r>
    </w:p>
    <w:p>
      <w:pPr>
        <w:spacing w:after="0" w:line="145" w:lineRule="exact"/>
        <w:rPr>
          <w:sz w:val="20"/>
          <w:szCs w:val="20"/>
          <w:color w:val="auto"/>
        </w:rPr>
      </w:pPr>
    </w:p>
    <w:p>
      <w:pPr>
        <w:ind w:left="880" w:right="460" w:hanging="322"/>
        <w:spacing w:after="0" w:line="291"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the full year, loss from discontinued operations, associated with the Company’s exiting of its International direct business in the second quarter of fiscal 2012, is expected to be $0.04 per share for both fiscal 2012 and fiscal 2011.</w:t>
      </w:r>
    </w:p>
    <w:p>
      <w:pPr>
        <w:spacing w:after="0" w:line="28" w:lineRule="exact"/>
        <w:rPr>
          <w:rFonts w:ascii="Arial" w:cs="Arial" w:eastAsia="Arial" w:hAnsi="Arial"/>
          <w:sz w:val="15"/>
          <w:szCs w:val="15"/>
          <w:color w:val="auto"/>
        </w:rPr>
      </w:pPr>
    </w:p>
    <w:p>
      <w:pPr>
        <w:ind w:left="880" w:hanging="322"/>
        <w:spacing w:after="0" w:line="291"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 opened 14 DXL stores and closed 34 Casual Male XL stores during the fourth quarter of 2012. For the year, the Company opened 32 DXL stores, and closed 68 Casual Male XL retail and outlet stores and 2 Rochester Clothing stores.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“Our financial results for the quarter were essentially in line with our expectations,” said President and CEO David Levin. “Sales and net income growth would have been stronger but for mild winter weather that affected sales of seasonal apparel and some delays in DXL store openings. We continue to be encouraged by the success of our new DXL stores, for which we expect to report very positive comparable sales of approximately 15.6% for the full year. In addition, while our direct business decreased year-over-year due to lower catalog sales, our web sales are growing at an accelerated rate as we shift marketing dollars from catalog to digital.”</w:t>
      </w:r>
    </w:p>
    <w:p>
      <w:pPr>
        <w:spacing w:after="0" w:line="115"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“We expect 2013 to be a critical year of accelerated progress in our transformation to the DXL concept. With the acceleration of DXL store openings and Casual Male XL closings, the implementation of our new marketing campaign, and enhancements to certain aspects of our infrastructure to support the DXL rollout, we expect our SG&amp;A costs to increase approximately $17 million in 2013, which will have a negative short-term effect on 2013 earnings. At the same time, our substantial investments this year will yield vastly improved profitability and cash flow beginning in 2014. Because we will have a significantly greater number of DXL stores in operation, our new marketing campaign should have a much greater impact on our performance in 2014 and beyond,” said Levin.</w:t>
      </w:r>
    </w:p>
    <w:p>
      <w:pPr>
        <w:spacing w:after="0" w:line="115"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“During 2013 we plan to more than double the number of DXL stores in operation to between 105 to 112 by opening between 57 and 64 stores,” said Levin. “At the same time, we have an aggressive schedule to close between 110 and 119 Casual Male XL and Rochester stores. Our expected 2013 financial results include an approximate 10% increase in expenses to fund the marketing campaign as well as other necessary SG&amp;A, real estate and capital expenditure support for the accelerated DXL transformation this year.”</w:t>
      </w:r>
    </w:p>
    <w:p>
      <w:pPr>
        <w:spacing w:after="0" w:line="92"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For 2013, the Company now expects revenue to increase to a range of $415 to $420 million, with an operating margin in the range of breakeven to 0.5%, EBITDA (non-GAAP) in the range of $20 to $23 million, and EPS of approximately breakeven with a negative free cash flow such that revolver borrowing is expected to be, at the end of the year, between $10-$15 million. Following the execution of its DXL strategy in 2013, the Company expects to leverage an increasing proportion of sales from its new DXL stores, which will result in operating margins rapidly expanding to approximately 4% in 2014 and approximately 8% in 2015, on annual sales growth of approximately 10-15%. The Company’s free cash flow at the end of 2014 is anticipated to be breakeven, with $10-$15 million revolver debt while, at the end of 2015, the Company anticipates positive free cash flow such that the revolver debt will be extinguished with cash-on-hand estimated to be between $5-$10 million. Longer-term, the Company expects to grow revenues beyond $600 million and</w:t>
      </w:r>
    </w:p>
    <w:p>
      <w:pPr>
        <w:sectPr>
          <w:pgSz w:w="11900" w:h="16838" w:orient="portrait"/>
          <w:cols w:equalWidth="0" w:num="1">
            <w:col w:w="11400"/>
          </w:cols>
          <w:pgMar w:left="240" w:top="262" w:right="25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DXLG/3</w:t>
      </w:r>
    </w:p>
    <w:p>
      <w:pPr>
        <w:spacing w:after="0" w:line="145" w:lineRule="exact"/>
        <w:rPr>
          <w:sz w:val="20"/>
          <w:szCs w:val="20"/>
          <w:color w:val="auto"/>
        </w:rPr>
      </w:pPr>
    </w:p>
    <w:p>
      <w:pPr>
        <w:ind w:right="100"/>
        <w:spacing w:after="0" w:line="329" w:lineRule="auto"/>
        <w:rPr>
          <w:sz w:val="20"/>
          <w:szCs w:val="20"/>
          <w:color w:val="auto"/>
        </w:rPr>
      </w:pPr>
      <w:r>
        <w:rPr>
          <w:rFonts w:ascii="Arial" w:cs="Arial" w:eastAsia="Arial" w:hAnsi="Arial"/>
          <w:sz w:val="14"/>
          <w:szCs w:val="14"/>
          <w:color w:val="auto"/>
        </w:rPr>
        <w:t>operating margins to more than 10%, while generating free cash flow in the range of $60 to $70 million in fiscal 2016. Projection of free cash flow (non-GAAP) for fiscal 2016 is based on expected cash flow from operating activities of $77.0-$87.0 million, less expected capital expenditures of $17.0 million. See Non-GAAP measures below.</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“To accomplish our long-term financial goals, we are combining an aggressive DXL store opening schedule with a comprehensive national marketing campaign designed to define the DXL brand more clearly, expand market awareness and grow our active customer base,” said Levin. “The marketing campaign we are launching this spring is the result of the highly successful test marketing that we conducted in the fall of 2012 around the DXL brand in five geographic markets. The test marketing included TV, radio and digital advertisements which generated very positive results around brand awareness, store and web sales, traffic and new customers to the brand. Consequently, we are enthusiastic about the prospects for our marketing campaign and for the long-term profit potential generated by the DXL transformation.”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KeyBanc Capital Markets Consumer Conference</w:t>
      </w:r>
    </w:p>
    <w:p>
      <w:pPr>
        <w:spacing w:after="0" w:line="90" w:lineRule="exact"/>
        <w:rPr>
          <w:sz w:val="20"/>
          <w:szCs w:val="20"/>
          <w:color w:val="auto"/>
        </w:rPr>
      </w:pPr>
    </w:p>
    <w:p>
      <w:pPr>
        <w:ind w:right="220"/>
        <w:spacing w:after="0" w:line="329" w:lineRule="auto"/>
        <w:rPr>
          <w:sz w:val="20"/>
          <w:szCs w:val="20"/>
          <w:color w:val="auto"/>
        </w:rPr>
      </w:pPr>
      <w:r>
        <w:rPr>
          <w:rFonts w:ascii="Arial" w:cs="Arial" w:eastAsia="Arial" w:hAnsi="Arial"/>
          <w:sz w:val="14"/>
          <w:szCs w:val="14"/>
          <w:color w:val="auto"/>
        </w:rPr>
        <w:t>Management will be meeting with investors and presenting tomorrow at 10:00 a.m. ET at the 2013 KeyBanc Capital Markets Consumer Conference at the InterContinental New York Barclay in New York City. A PDF version of the updated investor presentation is available for download on the “</w:t>
      </w:r>
      <w:r>
        <w:rPr>
          <w:rFonts w:ascii="Arial" w:cs="Arial" w:eastAsia="Arial" w:hAnsi="Arial"/>
          <w:sz w:val="14"/>
          <w:szCs w:val="14"/>
          <w:u w:val="single" w:color="auto"/>
          <w:color w:val="auto"/>
        </w:rPr>
        <w:t>Investor Relations</w:t>
      </w:r>
      <w:r>
        <w:rPr>
          <w:rFonts w:ascii="Arial" w:cs="Arial" w:eastAsia="Arial" w:hAnsi="Arial"/>
          <w:sz w:val="14"/>
          <w:szCs w:val="14"/>
          <w:color w:val="auto"/>
        </w:rPr>
        <w:t>” section of Company’s website.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Fourth-Quarter 2012 Financial Results Conference Call</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The Company will release its fourth-quarter and year-end 2012 financial results before the market opens on Friday, March 15, 2013. President and Chief Executive Officer David Levin and Executive Vice President, Chief Operating Officer and Chief Financial Officer Dennis Hernreich will host a conference call to discuss the financial results and provide an outlook for 2013 the same morning at 9:00 a.m. ET.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99"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Those who wish to listen to the live webcast should visit the “</w:t>
      </w:r>
      <w:r>
        <w:rPr>
          <w:rFonts w:ascii="Arial" w:cs="Arial" w:eastAsia="Arial" w:hAnsi="Arial"/>
          <w:sz w:val="15"/>
          <w:szCs w:val="15"/>
          <w:u w:val="single" w:color="auto"/>
          <w:color w:val="auto"/>
        </w:rPr>
        <w:t>Investor Relations</w:t>
      </w:r>
      <w:r>
        <w:rPr>
          <w:rFonts w:ascii="Arial" w:cs="Arial" w:eastAsia="Arial" w:hAnsi="Arial"/>
          <w:sz w:val="15"/>
          <w:szCs w:val="15"/>
          <w:color w:val="auto"/>
        </w:rPr>
        <w:t>” section of the Company’s website. The live call also can be accessed by dialing: (888) 503-8169. For interested parties unable to participate live, an archived version of the webcast may be accessed by visiting the “</w:t>
      </w:r>
      <w:r>
        <w:rPr>
          <w:rFonts w:ascii="Arial" w:cs="Arial" w:eastAsia="Arial" w:hAnsi="Arial"/>
          <w:sz w:val="15"/>
          <w:szCs w:val="15"/>
          <w:u w:val="single" w:color="auto"/>
          <w:color w:val="auto"/>
        </w:rPr>
        <w:t>Events &amp; Presentations</w:t>
      </w:r>
      <w:r>
        <w:rPr>
          <w:rFonts w:ascii="Arial" w:cs="Arial" w:eastAsia="Arial" w:hAnsi="Arial"/>
          <w:sz w:val="15"/>
          <w:szCs w:val="15"/>
          <w:color w:val="auto"/>
        </w:rPr>
        <w:t>” section of the Company’s website for up to one year.</w:t>
      </w:r>
    </w:p>
    <w:p>
      <w:pPr>
        <w:spacing w:after="0" w:line="11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This preliminary financial information is subject to change and is based on management’s estimates derived from the information available at this time. In addition, the financial information provided has not yet been reviewed by the Company’s independent registered public accounting firm and is subject to that review and may change before filing on Form 10-K, which the Company expects to file in March 2013.</w:t>
      </w:r>
    </w:p>
    <w:p>
      <w:pPr>
        <w:sectPr>
          <w:pgSz w:w="11900" w:h="16838" w:orient="portrait"/>
          <w:cols w:equalWidth="0" w:num="1">
            <w:col w:w="11360"/>
          </w:cols>
          <w:pgMar w:left="240" w:top="262" w:right="29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DXLG/4</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Destination XL Group, Inc.</w:t>
      </w:r>
    </w:p>
    <w:p>
      <w:pPr>
        <w:spacing w:after="0" w:line="90"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Destination XL Group, Inc. is the largest multi-channel specialty retailer of big &amp; tall men’s apparel with operations throughout the United States, Canada and Europe. The retailer operates under six brands: Destination XL</w:t>
      </w:r>
      <w:r>
        <w:rPr>
          <w:rFonts w:ascii="Arial" w:cs="Arial" w:eastAsia="Arial" w:hAnsi="Arial"/>
          <w:sz w:val="9"/>
          <w:szCs w:val="9"/>
          <w:color w:val="auto"/>
        </w:rPr>
        <w:t>®</w:t>
      </w:r>
      <w:r>
        <w:rPr>
          <w:rFonts w:ascii="Arial" w:cs="Arial" w:eastAsia="Arial" w:hAnsi="Arial"/>
          <w:sz w:val="15"/>
          <w:szCs w:val="15"/>
          <w:color w:val="auto"/>
        </w:rPr>
        <w:t xml:space="preserve">, Casual Male XL, Rochester Clothing, B&amp;T Factory Direct, ShoesXL and LivingXL. Several catalogs and e-commerce sites, including </w:t>
      </w:r>
      <w:r>
        <w:rPr>
          <w:rFonts w:ascii="Arial" w:cs="Arial" w:eastAsia="Arial" w:hAnsi="Arial"/>
          <w:sz w:val="15"/>
          <w:szCs w:val="15"/>
          <w:u w:val="single" w:color="auto"/>
          <w:color w:val="auto"/>
        </w:rPr>
        <w:t>www.destinationxl.com</w:t>
      </w:r>
      <w:r>
        <w:rPr>
          <w:rFonts w:ascii="Arial" w:cs="Arial" w:eastAsia="Arial" w:hAnsi="Arial"/>
          <w:sz w:val="15"/>
          <w:szCs w:val="15"/>
          <w:color w:val="auto"/>
        </w:rPr>
        <w:t xml:space="preserve">, make up the Company’s direct-to-consumer business. With more than 2,000 private label and name 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5"/>
          <w:szCs w:val="15"/>
          <w:u w:val="single" w:color="auto"/>
          <w:color w:val="auto"/>
        </w:rPr>
        <w:t>http://investor.destinationxl.com.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Non-GAAP Measures</w:t>
      </w:r>
    </w:p>
    <w:p>
      <w:pPr>
        <w:spacing w:after="0" w:line="90"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 addition to financial measures prepared in accordance with generally accepted accounting principles (GAAP), the above discussion refers to non-GAAP adjusted income from continuing operations and adjusted income from continuing operations, per diluted share (“non-GAAP” or “adjusted”). These measures should not be considered superior to or as a substitute for income from continuing operations per diluted share and diluted earnings per share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enhances an investor’s understanding of the underlying trends in the Company’s business and provide for better comparability between different periods in different years.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Below is a table showing the reconciliation to adjusted income from continuing operations for the fourth quarter and fiscal year 2011.</w:t>
      </w:r>
    </w:p>
    <w:p>
      <w:pPr>
        <w:spacing w:after="0" w:line="157" w:lineRule="exact"/>
        <w:rPr>
          <w:sz w:val="20"/>
          <w:szCs w:val="20"/>
          <w:color w:val="auto"/>
        </w:rPr>
      </w:pPr>
    </w:p>
    <w:p>
      <w:pPr>
        <w:ind w:right="100"/>
        <w:spacing w:after="0" w:line="296" w:lineRule="auto"/>
        <w:rPr>
          <w:sz w:val="20"/>
          <w:szCs w:val="20"/>
          <w:color w:val="auto"/>
        </w:rPr>
      </w:pPr>
      <w:r>
        <w:rPr>
          <w:rFonts w:ascii="Arial" w:cs="Arial" w:eastAsia="Arial" w:hAnsi="Arial"/>
          <w:sz w:val="14"/>
          <w:szCs w:val="14"/>
          <w:color w:val="auto"/>
        </w:rPr>
        <w:t>The above discussion refers to free cash flow and EBITDA (Earnings before income taxes and depreciation and amortization), both of which are non-GAAP measures. The presentation of these non-GAAP measures are not measures determined by GAAP and should not be considered superior to or as a substitute for operating income or cash flows from operating activities or any other measure of performance derived in accordance with GAAP. In addition, all companies do not calculate non-GAAP financial measures in the same manner and, accordingly, the measures, “free cash flows” and “EBITDA”, presented in this release may not be comparable to similar measures used by other companies.</w:t>
      </w:r>
    </w:p>
    <w:p>
      <w:pPr>
        <w:spacing w:after="0" w:line="99"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The Company calculates free cash flows as cash flow from operating activities less capital expenditures and less discretionary store asset acquisitions, if applicable. For fiscal 2016, free cash flow of $60.0 to $70.0 million was calculated by subtracting forecasted capital expenditures of $17.0 million from forecasted cash flow from operating activities of $77.0-$87.0 million.</w:t>
      </w:r>
    </w:p>
    <w:p>
      <w:pPr>
        <w:spacing w:after="0" w:line="110"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The Company calculates forecasted EBITDA for fiscal 2013 of $20.0-$23.0 million as forecasted operating income of breakeven to $3.0 million plus the add-back of depreciation and amortization of $20.0 million.</w:t>
      </w:r>
    </w:p>
    <w:p>
      <w:pPr>
        <w:sectPr>
          <w:pgSz w:w="11900" w:h="16838" w:orient="portrait"/>
          <w:cols w:equalWidth="0" w:num="1">
            <w:col w:w="11360"/>
          </w:cols>
          <w:pgMar w:left="240" w:top="262" w:right="299" w:bottom="144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DXLG/5</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4"/>
          <w:szCs w:val="14"/>
          <w:i w:val="1"/>
          <w:iCs w:val="1"/>
          <w:color w:val="auto"/>
        </w:rPr>
        <w:t>Certain information contained in this press release including cash flows, operating margins, store counts, revenue and earnings expectations for the fourth quarter and full-year of fiscal 2012, full-year fiscal 2013 and longer-term, including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These factors include, without limitation, the following: the risk that additional information may arise during the Company’s close process or as a result of subsequent events that would require the Company to make adjustments to the financial information; the risk that adjustments to the Company’s financial statements may be identified through the course of the Company’s independent registered public accounting firm completing its integrated audit of the Company’s financial statements and financial controls; the risk that the Company will be unsuccessful in implementing its strategic plans with respect to store openings and closings in fiscal 2013; and the risk that such strategic plans and related marketing campaign will not have the expected impact on profitability, cash flow and performance.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 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ectPr>
          <w:pgSz w:w="11900" w:h="16838" w:orient="portrait"/>
          <w:cols w:equalWidth="0" w:num="1">
            <w:col w:w="11420"/>
          </w:cols>
          <w:pgMar w:left="240" w:top="262" w:right="239" w:bottom="1440" w:gutter="0" w:footer="0" w:header="0"/>
        </w:sectPr>
      </w:pPr>
    </w:p>
    <w:bookmarkStart w:id="8" w:name="page9"/>
    <w:bookmarkEnd w:id="8"/>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DXLG/6</w:t>
      </w:r>
    </w:p>
    <w:p>
      <w:pPr>
        <w:spacing w:after="0" w:line="141"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DESTINATION XL GROUP, INC.</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GAAP TO NON-GAAP RECONCILIATION</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OF INCOME FROM CONTINUING OPERATIONS</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Fourth quarter ended</w:t>
            </w:r>
          </w:p>
        </w:tc>
        <w:tc>
          <w:tcPr>
            <w:tcW w:w="4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w w:val="95"/>
              </w:rPr>
              <w:t>Fiscal year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w w:val="89"/>
              </w:rPr>
              <w:t>January 28, 2012</w:t>
            </w:r>
          </w:p>
        </w:tc>
        <w:tc>
          <w:tcPr>
            <w:tcW w:w="4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w w:val="99"/>
              </w:rPr>
              <w:t>January 28, 2012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Income from continuing operations, GAAP basis, before income taxes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(17,034)</w:t>
            </w:r>
          </w:p>
        </w:tc>
        <w:tc>
          <w:tcPr>
            <w:tcW w:w="4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(5,274)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40" w:type="dxa"/>
            <w:vAlign w:val="bottom"/>
            <w:gridSpan w:val="2"/>
          </w:tcPr>
          <w:p>
            <w:pPr>
              <w:spacing w:after="0"/>
              <w:rPr>
                <w:sz w:val="20"/>
                <w:szCs w:val="20"/>
                <w:color w:val="auto"/>
              </w:rPr>
            </w:pPr>
            <w:r>
              <w:rPr>
                <w:rFonts w:ascii="Arial" w:cs="Arial" w:eastAsia="Arial" w:hAnsi="Arial"/>
                <w:sz w:val="15"/>
                <w:szCs w:val="15"/>
                <w:color w:val="auto"/>
              </w:rPr>
              <w:t>Add back: Provision for trademark impairment</w:t>
            </w:r>
          </w:p>
        </w:tc>
        <w:tc>
          <w:tcPr>
            <w:tcW w:w="100" w:type="dxa"/>
            <w:vAlign w:val="bottom"/>
          </w:tcPr>
          <w:p>
            <w:pPr>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23,110</w:t>
            </w:r>
          </w:p>
        </w:tc>
        <w:tc>
          <w:tcPr>
            <w:tcW w:w="48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23,110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income from continuing operations, non-GAAP, before income taxes</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6,076</w:t>
            </w:r>
          </w:p>
        </w:tc>
        <w:tc>
          <w:tcPr>
            <w:tcW w:w="4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17,836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20" w:type="dxa"/>
            <w:vAlign w:val="bottom"/>
          </w:tcPr>
          <w:p>
            <w:pPr>
              <w:spacing w:after="0"/>
              <w:rPr>
                <w:sz w:val="20"/>
                <w:szCs w:val="20"/>
                <w:color w:val="auto"/>
              </w:rPr>
            </w:pPr>
            <w:r>
              <w:rPr>
                <w:rFonts w:ascii="Arial" w:cs="Arial" w:eastAsia="Arial" w:hAnsi="Arial"/>
                <w:sz w:val="15"/>
                <w:szCs w:val="15"/>
                <w:color w:val="auto"/>
              </w:rPr>
              <w:t>Assumed income tax provision at 40% (1)</w:t>
            </w:r>
          </w:p>
        </w:tc>
        <w:tc>
          <w:tcPr>
            <w:tcW w:w="100" w:type="dxa"/>
            <w:vAlign w:val="bottom"/>
          </w:tcPr>
          <w:p>
            <w:pPr>
              <w:spacing w:after="0"/>
              <w:rPr>
                <w:sz w:val="20"/>
                <w:szCs w:val="20"/>
                <w:color w:val="auto"/>
              </w:rPr>
            </w:pPr>
            <w:r>
              <w:rPr>
                <w:rFonts w:ascii="Arial" w:cs="Arial" w:eastAsia="Arial" w:hAnsi="Arial"/>
                <w:sz w:val="15"/>
                <w:szCs w:val="15"/>
                <w:b w:val="1"/>
                <w:bCs w:val="1"/>
                <w:color w:val="auto"/>
                <w:w w:val="95"/>
              </w:rPr>
              <w:t>$</w:t>
            </w:r>
          </w:p>
        </w:tc>
        <w:tc>
          <w:tcPr>
            <w:tcW w:w="15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(2,430)</w:t>
            </w:r>
          </w:p>
        </w:tc>
        <w:tc>
          <w:tcPr>
            <w:tcW w:w="680" w:type="dxa"/>
            <w:vAlign w:val="bottom"/>
            <w:gridSpan w:val="2"/>
          </w:tcPr>
          <w:p>
            <w:pPr>
              <w:ind w:left="420"/>
              <w:spacing w:after="0"/>
              <w:rPr>
                <w:sz w:val="20"/>
                <w:szCs w:val="20"/>
                <w:color w:val="auto"/>
              </w:rPr>
            </w:pPr>
            <w:r>
              <w:rPr>
                <w:rFonts w:ascii="Arial" w:cs="Arial" w:eastAsia="Arial" w:hAnsi="Arial"/>
                <w:sz w:val="15"/>
                <w:szCs w:val="15"/>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(7,134)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income from continuing operations, non-GAAP</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3,646</w:t>
            </w:r>
          </w:p>
        </w:tc>
        <w:tc>
          <w:tcPr>
            <w:tcW w:w="4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8440" w:type="dxa"/>
            <w:vAlign w:val="bottom"/>
            <w:gridSpan w:val="2"/>
          </w:tcPr>
          <w:p>
            <w:pPr>
              <w:spacing w:after="0"/>
              <w:rPr>
                <w:sz w:val="20"/>
                <w:szCs w:val="20"/>
                <w:color w:val="auto"/>
              </w:rPr>
            </w:pPr>
            <w:r>
              <w:rPr>
                <w:rFonts w:ascii="Arial" w:cs="Arial" w:eastAsia="Arial" w:hAnsi="Arial"/>
                <w:sz w:val="15"/>
                <w:szCs w:val="15"/>
                <w:b w:val="1"/>
                <w:bCs w:val="1"/>
                <w:color w:val="auto"/>
              </w:rPr>
              <w:t>Adjusted income from continuing operations per diluted share, non-GAAP</w:t>
            </w:r>
          </w:p>
        </w:tc>
        <w:tc>
          <w:tcPr>
            <w:tcW w:w="100" w:type="dxa"/>
            <w:vAlign w:val="bottom"/>
          </w:tcPr>
          <w:p>
            <w:pPr>
              <w:spacing w:after="0"/>
              <w:rPr>
                <w:sz w:val="20"/>
                <w:szCs w:val="20"/>
                <w:color w:val="auto"/>
              </w:rPr>
            </w:pPr>
            <w:r>
              <w:rPr>
                <w:rFonts w:ascii="Arial" w:cs="Arial" w:eastAsia="Arial" w:hAnsi="Arial"/>
                <w:sz w:val="15"/>
                <w:szCs w:val="15"/>
                <w:b w:val="1"/>
                <w:bCs w:val="1"/>
                <w:color w:val="auto"/>
                <w:w w:val="95"/>
              </w:rPr>
              <w:t>$</w:t>
            </w:r>
          </w:p>
        </w:tc>
        <w:tc>
          <w:tcPr>
            <w:tcW w:w="15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0.08</w:t>
            </w:r>
          </w:p>
        </w:tc>
        <w:tc>
          <w:tcPr>
            <w:tcW w:w="680" w:type="dxa"/>
            <w:vAlign w:val="bottom"/>
            <w:gridSpan w:val="2"/>
          </w:tcPr>
          <w:p>
            <w:pPr>
              <w:ind w:left="42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common shares outstanding on a diluted basis</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48,131</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6" w:hanging="446"/>
        <w:spacing w:after="0"/>
        <w:tabs>
          <w:tab w:leader="none" w:pos="446"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fourth quarter of fiscal 2011, the Company reversed substantially all of its valuation allowance against its deferred tax assets, which resulted in an income tax benefit of</w:t>
      </w:r>
    </w:p>
    <w:p>
      <w:pPr>
        <w:spacing w:after="0" w:line="33" w:lineRule="exact"/>
        <w:rPr>
          <w:rFonts w:ascii="Arial" w:cs="Arial" w:eastAsia="Arial" w:hAnsi="Arial"/>
          <w:sz w:val="14"/>
          <w:szCs w:val="14"/>
          <w:color w:val="auto"/>
        </w:rPr>
      </w:pPr>
    </w:p>
    <w:p>
      <w:pPr>
        <w:ind w:left="446" w:right="140"/>
        <w:spacing w:after="0" w:line="283" w:lineRule="auto"/>
        <w:rPr>
          <w:rFonts w:ascii="Arial" w:cs="Arial" w:eastAsia="Arial" w:hAnsi="Arial"/>
          <w:sz w:val="14"/>
          <w:szCs w:val="14"/>
          <w:color w:val="auto"/>
        </w:rPr>
      </w:pPr>
      <w:r>
        <w:rPr>
          <w:rFonts w:ascii="Arial" w:cs="Arial" w:eastAsia="Arial" w:hAnsi="Arial"/>
          <w:sz w:val="15"/>
          <w:szCs w:val="15"/>
          <w:color w:val="auto"/>
        </w:rPr>
        <w:t>$50.1 million for fiscal 2011. Accordingly, for comparative purposes, the non-GAAP income from continuing operations has been adjusted to assume no income tax benefit from such allowance and an assumed tax rate of 40% was used.</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DESTINATION XL GROUP, INC.</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GAAP TO NON-GAAP EPS RECONCILIATION</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Fiscal 2012</w:t>
            </w:r>
          </w:p>
        </w:tc>
        <w:tc>
          <w:tcPr>
            <w:tcW w:w="4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Fiscal 2011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8"/>
              <w:spacing w:after="0" w:line="110" w:lineRule="exact"/>
              <w:rPr>
                <w:sz w:val="20"/>
                <w:szCs w:val="20"/>
                <w:color w:val="auto"/>
              </w:rPr>
            </w:pPr>
            <w:r>
              <w:rPr>
                <w:rFonts w:ascii="Arial" w:cs="Arial" w:eastAsia="Arial" w:hAnsi="Arial"/>
                <w:sz w:val="12"/>
                <w:szCs w:val="12"/>
                <w:b w:val="1"/>
                <w:bCs w:val="1"/>
                <w:color w:val="auto"/>
                <w:w w:val="89"/>
              </w:rPr>
              <w:t>Fourth</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28"/>
              <w:spacing w:after="0" w:line="110" w:lineRule="exact"/>
              <w:rPr>
                <w:sz w:val="20"/>
                <w:szCs w:val="20"/>
                <w:color w:val="auto"/>
              </w:rPr>
            </w:pPr>
            <w:r>
              <w:rPr>
                <w:rFonts w:ascii="Arial" w:cs="Arial" w:eastAsia="Arial" w:hAnsi="Arial"/>
                <w:sz w:val="12"/>
                <w:szCs w:val="12"/>
                <w:b w:val="1"/>
                <w:bCs w:val="1"/>
                <w:color w:val="auto"/>
                <w:w w:val="88"/>
              </w:rPr>
              <w:t>Fiscal</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580"/>
              <w:spacing w:after="0" w:line="110" w:lineRule="exact"/>
              <w:rPr>
                <w:sz w:val="20"/>
                <w:szCs w:val="20"/>
                <w:color w:val="auto"/>
              </w:rPr>
            </w:pPr>
            <w:r>
              <w:rPr>
                <w:rFonts w:ascii="Arial" w:cs="Arial" w:eastAsia="Arial" w:hAnsi="Arial"/>
                <w:sz w:val="12"/>
                <w:szCs w:val="12"/>
                <w:b w:val="1"/>
                <w:bCs w:val="1"/>
                <w:color w:val="auto"/>
                <w:w w:val="89"/>
              </w:rPr>
              <w:t>Fourth</w:t>
            </w:r>
          </w:p>
        </w:tc>
        <w:tc>
          <w:tcPr>
            <w:tcW w:w="80" w:type="dxa"/>
            <w:vAlign w:val="bottom"/>
          </w:tcPr>
          <w:p>
            <w:pPr>
              <w:spacing w:after="0"/>
              <w:rPr>
                <w:sz w:val="9"/>
                <w:szCs w:val="9"/>
                <w:color w:val="auto"/>
              </w:rPr>
            </w:pPr>
          </w:p>
        </w:tc>
        <w:tc>
          <w:tcPr>
            <w:tcW w:w="42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w w:val="88"/>
              </w:rPr>
              <w:t>Fiscal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Quarter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Year</w:t>
            </w:r>
          </w:p>
        </w:tc>
        <w:tc>
          <w:tcPr>
            <w:tcW w:w="1020" w:type="dxa"/>
            <w:vAlign w:val="bottom"/>
            <w:gridSpan w:val="3"/>
          </w:tcPr>
          <w:p>
            <w:pPr>
              <w:jc w:val="right"/>
              <w:ind w:right="5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Year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Income from continuing operations, GAAP basis</w:t>
            </w:r>
          </w:p>
        </w:tc>
        <w:tc>
          <w:tcPr>
            <w:tcW w:w="1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0.08</w:t>
            </w: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center"/>
              <w:ind w:left="88"/>
              <w:spacing w:after="0"/>
              <w:rPr>
                <w:sz w:val="20"/>
                <w:szCs w:val="20"/>
                <w:color w:val="auto"/>
              </w:rPr>
            </w:pPr>
            <w:r>
              <w:rPr>
                <w:rFonts w:ascii="Arial" w:cs="Arial" w:eastAsia="Arial" w:hAnsi="Arial"/>
                <w:sz w:val="15"/>
                <w:szCs w:val="15"/>
                <w:b w:val="1"/>
                <w:bCs w:val="1"/>
                <w:color w:val="auto"/>
                <w:w w:val="88"/>
              </w:rPr>
              <w:t>0.16</w:t>
            </w: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0.71</w:t>
            </w: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6440" w:type="dxa"/>
            <w:vAlign w:val="bottom"/>
            <w:gridSpan w:val="2"/>
          </w:tcPr>
          <w:p>
            <w:pPr>
              <w:spacing w:after="0"/>
              <w:rPr>
                <w:sz w:val="20"/>
                <w:szCs w:val="20"/>
                <w:color w:val="auto"/>
              </w:rPr>
            </w:pPr>
            <w:r>
              <w:rPr>
                <w:rFonts w:ascii="Arial" w:cs="Arial" w:eastAsia="Arial" w:hAnsi="Arial"/>
                <w:sz w:val="15"/>
                <w:szCs w:val="15"/>
                <w:color w:val="auto"/>
              </w:rPr>
              <w:t>Add back: Provision for trademark impairment, tax-effected</w:t>
            </w:r>
          </w:p>
        </w:tc>
        <w:tc>
          <w:tcPr>
            <w:tcW w:w="1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center"/>
              <w:ind w:left="68"/>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0.29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0.29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income from continuing operations, non-GAAP, before income taxes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0.08</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b w:val="1"/>
                <w:bCs w:val="1"/>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b w:val="1"/>
                <w:bCs w:val="1"/>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Deduct: Valuation allowance reversal</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60"/>
              <w:spacing w:after="0"/>
              <w:rPr>
                <w:sz w:val="20"/>
                <w:szCs w:val="20"/>
                <w:color w:val="auto"/>
              </w:rPr>
            </w:pPr>
            <w:r>
              <w:rPr>
                <w:rFonts w:ascii="Arial" w:cs="Arial" w:eastAsia="Arial" w:hAnsi="Arial"/>
                <w:sz w:val="15"/>
                <w:szCs w:val="15"/>
                <w:color w:val="auto"/>
              </w:rPr>
              <w:t>(0.88)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(0.88)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Add: additional income tax provision to 40%</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center"/>
              <w:ind w:left="68"/>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(0.12)</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Adjusted income from continuing operations, non-GAAP</w:t>
            </w: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0.08</w:t>
            </w:r>
          </w:p>
        </w:tc>
        <w:tc>
          <w:tcPr>
            <w:tcW w:w="4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0.16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0.08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common shares outstanding on a diluted basis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48,504</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w w:val="87"/>
              </w:rPr>
              <w:t>48,385</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w w:val="87"/>
              </w:rPr>
              <w:t>48,131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34" w:top="262" w:right="219" w:bottom="1440" w:gutter="0" w:footer="0" w:header="0"/>
        </w:sectPr>
      </w:pPr>
    </w:p>
    <w:bookmarkStart w:id="9" w:name="page10"/>
    <w:bookmarkEnd w:id="9"/>
    <w:p>
      <w:pPr>
        <w:ind w:left="79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59625" cy="5382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59625" cy="538289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spacing w:after="0"/>
        <w:rPr>
          <w:sz w:val="20"/>
          <w:szCs w:val="20"/>
          <w:color w:val="auto"/>
        </w:rPr>
      </w:pPr>
      <w:r>
        <w:rPr>
          <w:rFonts w:ascii="Arial" w:cs="Arial" w:eastAsia="Arial" w:hAnsi="Arial"/>
          <w:sz w:val="34"/>
          <w:szCs w:val="34"/>
          <w:b w:val="1"/>
          <w:bCs w:val="1"/>
          <w:i w:val="1"/>
          <w:iCs w:val="1"/>
          <w:color w:val="1F497D"/>
        </w:rPr>
        <w:t>Generating Value on the Road to Destination XL</w:t>
      </w:r>
      <w:r>
        <w:rPr>
          <w:rFonts w:ascii="Arial" w:cs="Arial" w:eastAsia="Arial" w:hAnsi="Arial"/>
          <w:sz w:val="47"/>
          <w:szCs w:val="47"/>
          <w:b w:val="1"/>
          <w:bCs w:val="1"/>
          <w:i w:val="1"/>
          <w:iCs w:val="1"/>
          <w:color w:val="1F497D"/>
          <w:vertAlign w:val="superscript"/>
        </w:rPr>
        <w:t>®</w:t>
      </w:r>
    </w:p>
    <w:p>
      <w:pPr>
        <w:spacing w:after="0" w:line="313" w:lineRule="exact"/>
        <w:rPr>
          <w:sz w:val="20"/>
          <w:szCs w:val="20"/>
          <w:color w:val="auto"/>
        </w:rPr>
      </w:pPr>
    </w:p>
    <w:p>
      <w:pPr>
        <w:ind w:left="3020"/>
        <w:spacing w:after="0"/>
        <w:rPr>
          <w:sz w:val="20"/>
          <w:szCs w:val="20"/>
          <w:color w:val="auto"/>
        </w:rPr>
      </w:pPr>
      <w:r>
        <w:rPr>
          <w:rFonts w:ascii="Arial" w:cs="Arial" w:eastAsia="Arial" w:hAnsi="Arial"/>
          <w:sz w:val="38"/>
          <w:szCs w:val="38"/>
          <w:color w:val="898989"/>
        </w:rPr>
        <w:t>Keybanc Consumer Conference</w:t>
      </w:r>
    </w:p>
    <w:p>
      <w:pPr>
        <w:spacing w:after="0" w:line="10" w:lineRule="exact"/>
        <w:rPr>
          <w:sz w:val="20"/>
          <w:szCs w:val="20"/>
          <w:color w:val="auto"/>
        </w:rPr>
      </w:pPr>
    </w:p>
    <w:p>
      <w:pPr>
        <w:ind w:left="5060"/>
        <w:spacing w:after="0"/>
        <w:rPr>
          <w:sz w:val="20"/>
          <w:szCs w:val="20"/>
          <w:color w:val="auto"/>
        </w:rPr>
      </w:pPr>
      <w:r>
        <w:rPr>
          <w:rFonts w:ascii="Arial" w:cs="Arial" w:eastAsia="Arial" w:hAnsi="Arial"/>
          <w:sz w:val="38"/>
          <w:szCs w:val="38"/>
          <w:color w:val="898989"/>
        </w:rPr>
        <w:t>February 28,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w:t>
      </w:r>
    </w:p>
    <w:p>
      <w:pPr>
        <w:sectPr>
          <w:pgSz w:w="11900" w:h="16838" w:orient="portrait"/>
          <w:cols w:equalWidth="0" w:num="1">
            <w:col w:w="9520"/>
          </w:cols>
          <w:pgMar w:left="1440" w:top="321" w:right="939" w:bottom="1440" w:gutter="0" w:footer="0" w:header="0"/>
        </w:sectPr>
      </w:pPr>
    </w:p>
    <w:bookmarkStart w:id="10" w:name="page11"/>
    <w:bookmarkEnd w:id="10"/>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Safe Harbor</w:t>
      </w:r>
    </w:p>
    <w:p>
      <w:pPr>
        <w:spacing w:after="0" w:line="18" w:lineRule="exact"/>
        <w:rPr>
          <w:sz w:val="20"/>
          <w:szCs w:val="20"/>
          <w:color w:val="auto"/>
        </w:rPr>
      </w:pPr>
    </w:p>
    <w:p>
      <w:pPr>
        <w:ind w:right="1020"/>
        <w:spacing w:after="0" w:line="249" w:lineRule="auto"/>
        <w:rPr>
          <w:sz w:val="20"/>
          <w:szCs w:val="20"/>
          <w:color w:val="auto"/>
        </w:rPr>
      </w:pPr>
      <w:r>
        <w:rPr>
          <w:rFonts w:ascii="Arial" w:cs="Arial" w:eastAsia="Arial" w:hAnsi="Arial"/>
          <w:sz w:val="22"/>
          <w:szCs w:val="22"/>
          <w:color w:val="5F5F5F"/>
        </w:rPr>
        <w:t>Certain information contained in this presentation, including, but not limited to, cash flows, operating margins, store counts, earnings expectations for fiscal 2012 and estimates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indicated.Suchrisksanduncertaintiesmayinclude,but arenot limitedto: the failureto</w:t>
      </w:r>
    </w:p>
    <w:p>
      <w:pPr>
        <w:spacing w:after="0" w:line="5" w:lineRule="exact"/>
        <w:rPr>
          <w:sz w:val="20"/>
          <w:szCs w:val="20"/>
          <w:color w:val="auto"/>
        </w:rPr>
      </w:pPr>
    </w:p>
    <w:p>
      <w:pPr>
        <w:ind w:right="1060"/>
        <w:spacing w:after="0" w:line="249" w:lineRule="auto"/>
        <w:rPr>
          <w:sz w:val="20"/>
          <w:szCs w:val="20"/>
          <w:color w:val="auto"/>
        </w:rPr>
      </w:pPr>
      <w:r>
        <w:rPr>
          <w:rFonts w:ascii="Arial" w:cs="Arial" w:eastAsia="Arial" w:hAnsi="Arial"/>
          <w:sz w:val="22"/>
          <w:szCs w:val="22"/>
          <w:color w:val="5F5F5F"/>
        </w:rPr>
        <w:t>implement the Company's business plan for increased profitability and growth in the Company's retail stores sales and direct-to-consumer business, the failure to achieve improvementin the Company'scompetitiveposition,changesin or miscalculationof fashion trends, extreme or unseasonable weather conditions, economic downturns, a weakness in overall consumer demand, trade and security restrictions and political or financial instability 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threatsof either,or other armedconflict,on the UnitedStatesandinternationaleconomies.</w:t>
      </w:r>
    </w:p>
    <w:p>
      <w:pPr>
        <w:spacing w:after="0" w:line="1" w:lineRule="exact"/>
        <w:rPr>
          <w:sz w:val="20"/>
          <w:szCs w:val="20"/>
          <w:color w:val="auto"/>
        </w:rPr>
      </w:pPr>
    </w:p>
    <w:p>
      <w:pPr>
        <w:ind w:right="900"/>
        <w:spacing w:after="0" w:line="249" w:lineRule="auto"/>
        <w:rPr>
          <w:sz w:val="20"/>
          <w:szCs w:val="20"/>
          <w:color w:val="auto"/>
        </w:rPr>
      </w:pPr>
      <w:r>
        <w:rPr>
          <w:rFonts w:ascii="Arial" w:cs="Arial" w:eastAsia="Arial" w:hAnsi="Arial"/>
          <w:sz w:val="22"/>
          <w:szCs w:val="22"/>
          <w:color w:val="5F5F5F"/>
        </w:rPr>
        <w:t>These, and other risks and uncertainties, are detailed in the Company's Annual Report on Form 10-K filed with the Securities and Exchange Commission for the fiscal year ended January 28, 2012 filed on March 16, 2012 and other Company filings with the Securities and Exchange</w:t>
      </w:r>
    </w:p>
    <w:p>
      <w:pPr>
        <w:ind w:right="1620"/>
        <w:spacing w:after="0" w:line="258" w:lineRule="auto"/>
        <w:rPr>
          <w:sz w:val="20"/>
          <w:szCs w:val="20"/>
          <w:color w:val="auto"/>
        </w:rPr>
      </w:pPr>
      <w:r>
        <w:rPr>
          <w:rFonts w:ascii="Arial" w:cs="Arial" w:eastAsia="Arial" w:hAnsi="Arial"/>
          <w:sz w:val="22"/>
          <w:szCs w:val="22"/>
          <w:color w:val="5F5F5F"/>
        </w:rPr>
        <w:t>CommissionDestinationXLGroup,Inc..assumesno dutyto updateor reviseits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w:t>
      </w:r>
    </w:p>
    <w:p>
      <w:pPr>
        <w:sectPr>
          <w:pgSz w:w="11900" w:h="16838" w:orient="portrait"/>
          <w:cols w:equalWidth="0" w:num="1">
            <w:col w:w="10340"/>
          </w:cols>
          <w:pgMar w:left="660" w:top="1052" w:right="899" w:bottom="1440" w:gutter="0" w:footer="0" w:header="0"/>
        </w:sectPr>
      </w:pPr>
    </w:p>
    <w:bookmarkStart w:id="11" w:name="page12"/>
    <w:bookmarkEnd w:id="11"/>
    <w:p>
      <w:pPr>
        <w:spacing w:after="0"/>
        <w:rPr>
          <w:sz w:val="20"/>
          <w:szCs w:val="20"/>
          <w:color w:val="auto"/>
        </w:rPr>
      </w:pPr>
      <w:r>
        <w:rPr>
          <w:rFonts w:ascii="Arial" w:cs="Arial" w:eastAsia="Arial" w:hAnsi="Arial"/>
          <w:sz w:val="58"/>
          <w:szCs w:val="58"/>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Destination XL Group,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Largest multi-channel specialty</w:t>
      </w:r>
    </w:p>
    <w:p>
      <w:pPr>
        <w:spacing w:after="0" w:line="42"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retailer in niche men’s big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tall (B&amp;T)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Offering unique blend</w:t>
      </w:r>
    </w:p>
    <w:p>
      <w:pPr>
        <w:spacing w:after="0" w:line="42"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of wardrobe solutions</w:t>
      </w:r>
    </w:p>
    <w:p>
      <w:pPr>
        <w:spacing w:after="0" w:line="163" w:lineRule="exact"/>
        <w:rPr>
          <w:sz w:val="20"/>
          <w:szCs w:val="20"/>
          <w:color w:val="auto"/>
        </w:rPr>
      </w:pPr>
    </w:p>
    <w:p>
      <w:pPr>
        <w:ind w:left="4700"/>
        <w:spacing w:after="0"/>
        <w:rPr>
          <w:sz w:val="20"/>
          <w:szCs w:val="20"/>
          <w:color w:val="auto"/>
        </w:rPr>
      </w:pPr>
      <w:r>
        <w:rPr>
          <w:rFonts w:ascii="Arial" w:cs="Arial" w:eastAsia="Arial" w:hAnsi="Arial"/>
          <w:sz w:val="28"/>
          <w:szCs w:val="28"/>
          <w:color w:val="auto"/>
        </w:rPr>
        <w:t>Private label &amp; leading</w:t>
      </w:r>
    </w:p>
    <w:p>
      <w:pPr>
        <w:spacing w:after="0" w:line="37" w:lineRule="exact"/>
        <w:rPr>
          <w:sz w:val="20"/>
          <w:szCs w:val="20"/>
          <w:color w:val="auto"/>
        </w:rPr>
      </w:pPr>
    </w:p>
    <w:p>
      <w:pPr>
        <w:ind w:left="4700"/>
        <w:spacing w:after="0"/>
        <w:rPr>
          <w:sz w:val="20"/>
          <w:szCs w:val="20"/>
          <w:color w:val="auto"/>
        </w:rPr>
      </w:pPr>
      <w:r>
        <w:rPr>
          <w:rFonts w:ascii="Arial" w:cs="Arial" w:eastAsia="Arial" w:hAnsi="Arial"/>
          <w:sz w:val="28"/>
          <w:szCs w:val="28"/>
          <w:color w:val="auto"/>
        </w:rPr>
        <w:t>apparel name brands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w:t>
      </w:r>
    </w:p>
    <w:p>
      <w:pPr>
        <w:sectPr>
          <w:pgSz w:w="11900" w:h="16838" w:orient="portrait"/>
          <w:cols w:equalWidth="0" w:num="1">
            <w:col w:w="10140"/>
          </w:cols>
          <w:pgMar w:left="860" w:top="1077" w:right="899" w:bottom="1440" w:gutter="0" w:footer="0" w:header="0"/>
        </w:sectPr>
      </w:pPr>
    </w:p>
    <w:bookmarkStart w:id="12" w:name="page13"/>
    <w:bookmarkEnd w:id="12"/>
    <w:p>
      <w:pPr>
        <w:ind w:left="26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DXLG by the Numbers</w:t>
      </w:r>
    </w:p>
    <w:p>
      <w:pPr>
        <w:spacing w:after="0" w:line="178" w:lineRule="exact"/>
        <w:rPr>
          <w:sz w:val="20"/>
          <w:szCs w:val="20"/>
          <w:color w:val="auto"/>
        </w:rPr>
      </w:pPr>
    </w:p>
    <w:p>
      <w:pPr>
        <w:jc w:val="center"/>
        <w:ind w:left="800"/>
        <w:spacing w:after="0"/>
        <w:rPr>
          <w:sz w:val="20"/>
          <w:szCs w:val="20"/>
          <w:color w:val="auto"/>
        </w:rPr>
      </w:pPr>
      <w:r>
        <w:rPr>
          <w:rFonts w:ascii="Arial" w:cs="Arial" w:eastAsia="Arial" w:hAnsi="Arial"/>
          <w:sz w:val="56"/>
          <w:szCs w:val="56"/>
          <w:b w:val="1"/>
          <w:bCs w:val="1"/>
          <w:color w:val="558ED5"/>
        </w:rPr>
        <w:t>1.5M</w:t>
      </w:r>
      <w:r>
        <w:rPr>
          <w:rFonts w:ascii="Arial" w:cs="Arial" w:eastAsia="Arial" w:hAnsi="Arial"/>
          <w:sz w:val="18"/>
          <w:szCs w:val="18"/>
          <w:b w:val="1"/>
          <w:bCs w:val="1"/>
          <w:color w:val="000000"/>
        </w:rPr>
        <w:t>Active customers</w:t>
      </w:r>
    </w:p>
    <w:p>
      <w:pPr>
        <w:ind w:left="20"/>
        <w:spacing w:after="0" w:line="195" w:lineRule="auto"/>
        <w:rPr>
          <w:sz w:val="20"/>
          <w:szCs w:val="20"/>
          <w:color w:val="auto"/>
        </w:rPr>
      </w:pPr>
      <w:r>
        <w:rPr>
          <w:rFonts w:ascii="Arial" w:cs="Arial" w:eastAsia="Arial" w:hAnsi="Arial"/>
          <w:sz w:val="56"/>
          <w:szCs w:val="56"/>
          <w:b w:val="1"/>
          <w:bCs w:val="1"/>
          <w:color w:val="558ED5"/>
        </w:rPr>
        <w:t>80%</w:t>
      </w:r>
    </w:p>
    <w:p>
      <w:pPr>
        <w:ind w:left="180"/>
        <w:spacing w:after="0"/>
        <w:rPr>
          <w:sz w:val="20"/>
          <w:szCs w:val="20"/>
          <w:color w:val="auto"/>
        </w:rPr>
      </w:pPr>
      <w:r>
        <w:rPr>
          <w:rFonts w:ascii="Arial" w:cs="Arial" w:eastAsia="Arial" w:hAnsi="Arial"/>
          <w:sz w:val="19"/>
          <w:szCs w:val="19"/>
          <w:b w:val="1"/>
          <w:bCs w:val="1"/>
          <w:color w:val="auto"/>
        </w:rPr>
        <w:t>Retail</w:t>
      </w:r>
    </w:p>
    <w:p>
      <w:pPr>
        <w:spacing w:after="0" w:line="360" w:lineRule="exact"/>
        <w:rPr>
          <w:sz w:val="20"/>
          <w:szCs w:val="20"/>
          <w:color w:val="auto"/>
        </w:rPr>
      </w:pPr>
    </w:p>
    <w:p>
      <w:pPr>
        <w:spacing w:after="0"/>
        <w:rPr>
          <w:sz w:val="20"/>
          <w:szCs w:val="20"/>
          <w:color w:val="auto"/>
        </w:rPr>
      </w:pPr>
      <w:r>
        <w:rPr>
          <w:rFonts w:ascii="Arial" w:cs="Arial" w:eastAsia="Arial" w:hAnsi="Arial"/>
          <w:sz w:val="56"/>
          <w:szCs w:val="56"/>
          <w:b w:val="1"/>
          <w:bCs w:val="1"/>
          <w:color w:val="558ED5"/>
        </w:rPr>
        <w:t>20%</w:t>
      </w:r>
    </w:p>
    <w:p>
      <w:pPr>
        <w:ind w:left="180"/>
        <w:spacing w:after="0"/>
        <w:rPr>
          <w:sz w:val="20"/>
          <w:szCs w:val="20"/>
          <w:color w:val="auto"/>
        </w:rPr>
      </w:pPr>
      <w:r>
        <w:rPr>
          <w:rFonts w:ascii="Arial" w:cs="Arial" w:eastAsia="Arial" w:hAnsi="Arial"/>
          <w:sz w:val="19"/>
          <w:szCs w:val="19"/>
          <w:b w:val="1"/>
          <w:bCs w:val="1"/>
          <w:color w:val="auto"/>
        </w:rPr>
        <w:t>Direct</w:t>
      </w:r>
    </w:p>
    <w:p>
      <w:pPr>
        <w:spacing w:after="0" w:line="5" w:lineRule="exact"/>
        <w:rPr>
          <w:sz w:val="20"/>
          <w:szCs w:val="20"/>
          <w:color w:val="auto"/>
        </w:rPr>
      </w:pPr>
    </w:p>
    <w:p>
      <w:pPr>
        <w:jc w:val="right"/>
        <w:ind w:right="1100"/>
        <w:spacing w:after="0"/>
        <w:rPr>
          <w:sz w:val="20"/>
          <w:szCs w:val="20"/>
          <w:color w:val="auto"/>
        </w:rPr>
      </w:pPr>
      <w:r>
        <w:rPr>
          <w:rFonts w:ascii="Arial" w:cs="Arial" w:eastAsia="Arial" w:hAnsi="Arial"/>
          <w:sz w:val="56"/>
          <w:szCs w:val="56"/>
          <w:b w:val="1"/>
          <w:bCs w:val="1"/>
          <w:color w:val="558ED5"/>
        </w:rPr>
        <w:t xml:space="preserve">90% </w:t>
      </w:r>
      <w:r>
        <w:rPr>
          <w:rFonts w:ascii="Arial" w:cs="Arial" w:eastAsia="Arial" w:hAnsi="Arial"/>
          <w:sz w:val="18"/>
          <w:szCs w:val="18"/>
          <w:b w:val="1"/>
          <w:bCs w:val="1"/>
          <w:color w:val="000000"/>
        </w:rPr>
        <w:t>Enrolled in loyalty program</w:t>
      </w:r>
    </w:p>
    <w:p>
      <w:pPr>
        <w:spacing w:after="0" w:line="200" w:lineRule="exact"/>
        <w:rPr>
          <w:sz w:val="20"/>
          <w:szCs w:val="20"/>
          <w:color w:val="auto"/>
        </w:rPr>
      </w:pPr>
    </w:p>
    <w:p>
      <w:pPr>
        <w:spacing w:after="0" w:line="342"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1160" w:type="dxa"/>
            <w:vAlign w:val="bottom"/>
            <w:vMerge w:val="restart"/>
          </w:tcPr>
          <w:p>
            <w:pPr>
              <w:jc w:val="right"/>
              <w:spacing w:after="0"/>
              <w:rPr>
                <w:sz w:val="20"/>
                <w:szCs w:val="20"/>
                <w:color w:val="auto"/>
              </w:rPr>
            </w:pPr>
            <w:r>
              <w:rPr>
                <w:rFonts w:ascii="Arial" w:cs="Arial" w:eastAsia="Arial" w:hAnsi="Arial"/>
                <w:sz w:val="56"/>
                <w:szCs w:val="56"/>
                <w:b w:val="1"/>
                <w:bCs w:val="1"/>
                <w:color w:val="558ED5"/>
                <w:w w:val="98"/>
              </w:rPr>
              <w:t>85%</w:t>
            </w:r>
          </w:p>
        </w:tc>
        <w:tc>
          <w:tcPr>
            <w:tcW w:w="2380" w:type="dxa"/>
            <w:vAlign w:val="bottom"/>
          </w:tcPr>
          <w:p>
            <w:pPr>
              <w:jc w:val="center"/>
              <w:ind w:right="486"/>
              <w:spacing w:after="0"/>
              <w:rPr>
                <w:sz w:val="20"/>
                <w:szCs w:val="20"/>
                <w:color w:val="auto"/>
              </w:rPr>
            </w:pPr>
            <w:r>
              <w:rPr>
                <w:rFonts w:ascii="Arial" w:cs="Arial" w:eastAsia="Arial" w:hAnsi="Arial"/>
                <w:sz w:val="19"/>
                <w:szCs w:val="19"/>
                <w:b w:val="1"/>
                <w:bCs w:val="1"/>
                <w:color w:val="auto"/>
                <w:w w:val="90"/>
              </w:rPr>
              <w:t>Highest rated retailer</w:t>
            </w:r>
          </w:p>
        </w:tc>
        <w:tc>
          <w:tcPr>
            <w:tcW w:w="880" w:type="dxa"/>
            <w:vAlign w:val="bottom"/>
            <w:vMerge w:val="restart"/>
          </w:tcPr>
          <w:p>
            <w:pPr>
              <w:jc w:val="right"/>
              <w:spacing w:after="0"/>
              <w:rPr>
                <w:sz w:val="20"/>
                <w:szCs w:val="20"/>
                <w:color w:val="auto"/>
              </w:rPr>
            </w:pPr>
            <w:r>
              <w:rPr>
                <w:rFonts w:ascii="Arial" w:cs="Arial" w:eastAsia="Arial" w:hAnsi="Arial"/>
                <w:sz w:val="56"/>
                <w:szCs w:val="56"/>
                <w:b w:val="1"/>
                <w:bCs w:val="1"/>
                <w:color w:val="558ED5"/>
              </w:rPr>
              <w:t>6</w:t>
            </w: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2380" w:type="dxa"/>
            <w:vAlign w:val="bottom"/>
          </w:tcPr>
          <w:p>
            <w:pPr>
              <w:jc w:val="center"/>
              <w:ind w:right="426"/>
              <w:spacing w:after="0"/>
              <w:rPr>
                <w:sz w:val="20"/>
                <w:szCs w:val="20"/>
                <w:color w:val="auto"/>
              </w:rPr>
            </w:pPr>
            <w:r>
              <w:rPr>
                <w:rFonts w:ascii="Arial" w:cs="Arial" w:eastAsia="Arial" w:hAnsi="Arial"/>
                <w:sz w:val="19"/>
                <w:szCs w:val="19"/>
                <w:b w:val="1"/>
                <w:bCs w:val="1"/>
                <w:color w:val="auto"/>
                <w:w w:val="92"/>
              </w:rPr>
              <w:t>in 2011 CSI</w:t>
            </w: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2380" w:type="dxa"/>
            <w:vAlign w:val="bottom"/>
          </w:tcPr>
          <w:p>
            <w:pPr>
              <w:jc w:val="center"/>
              <w:ind w:right="446"/>
              <w:spacing w:after="0"/>
              <w:rPr>
                <w:sz w:val="20"/>
                <w:szCs w:val="20"/>
                <w:color w:val="auto"/>
              </w:rPr>
            </w:pPr>
            <w:r>
              <w:rPr>
                <w:rFonts w:ascii="Arial" w:cs="Arial" w:eastAsia="Arial" w:hAnsi="Arial"/>
                <w:sz w:val="19"/>
                <w:szCs w:val="19"/>
                <w:b w:val="1"/>
                <w:bCs w:val="1"/>
                <w:color w:val="auto"/>
                <w:w w:val="88"/>
              </w:rPr>
              <w:t>Customer Survey</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Customer</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Satisfaction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80"/>
        <w:spacing w:after="0"/>
        <w:rPr>
          <w:sz w:val="20"/>
          <w:szCs w:val="20"/>
          <w:color w:val="auto"/>
        </w:rPr>
      </w:pPr>
      <w:r>
        <w:rPr>
          <w:rFonts w:ascii="Arial" w:cs="Arial" w:eastAsia="Arial" w:hAnsi="Arial"/>
          <w:sz w:val="56"/>
          <w:szCs w:val="56"/>
          <w:b w:val="1"/>
          <w:bCs w:val="1"/>
          <w:color w:val="558ED5"/>
        </w:rPr>
        <w:t>412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Stores</w:t>
      </w:r>
    </w:p>
    <w:p>
      <w:pPr>
        <w:spacing w:after="0" w:line="4404" w:lineRule="exact"/>
        <w:rPr>
          <w:sz w:val="20"/>
          <w:szCs w:val="20"/>
          <w:color w:val="auto"/>
        </w:rPr>
      </w:pPr>
    </w:p>
    <w:p>
      <w:pPr>
        <w:sectPr>
          <w:pgSz w:w="11900" w:h="16838" w:orient="portrait"/>
          <w:cols w:equalWidth="0" w:num="2">
            <w:col w:w="8320" w:space="720"/>
            <w:col w:w="1160"/>
          </w:cols>
          <w:pgMar w:left="780" w:top="1052" w:right="919" w:bottom="1440" w:gutter="0" w:footer="0" w:header="0"/>
        </w:sectPr>
      </w:pPr>
    </w:p>
    <w:p>
      <w:pPr>
        <w:spacing w:after="0" w:line="203" w:lineRule="exact"/>
        <w:rPr>
          <w:sz w:val="20"/>
          <w:szCs w:val="20"/>
          <w:color w:val="auto"/>
        </w:rPr>
      </w:pPr>
    </w:p>
    <w:p>
      <w:pPr>
        <w:ind w:left="10100"/>
        <w:spacing w:after="0"/>
        <w:rPr>
          <w:sz w:val="20"/>
          <w:szCs w:val="20"/>
          <w:color w:val="auto"/>
        </w:rPr>
      </w:pPr>
      <w:r>
        <w:rPr>
          <w:rFonts w:ascii="Arial" w:cs="Arial" w:eastAsia="Arial" w:hAnsi="Arial"/>
          <w:sz w:val="17"/>
          <w:szCs w:val="17"/>
          <w:color w:val="898989"/>
        </w:rPr>
        <w:t>4</w:t>
      </w:r>
    </w:p>
    <w:p>
      <w:pPr>
        <w:sectPr>
          <w:pgSz w:w="11900" w:h="16838" w:orient="portrait"/>
          <w:cols w:equalWidth="0" w:num="1">
            <w:col w:w="10200"/>
          </w:cols>
          <w:pgMar w:left="780" w:top="1052" w:right="9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0"/>
        <w:spacing w:after="0"/>
        <w:rPr>
          <w:sz w:val="20"/>
          <w:szCs w:val="20"/>
          <w:color w:val="auto"/>
        </w:rPr>
      </w:pPr>
      <w:r>
        <w:rPr>
          <w:rFonts w:ascii="Arial" w:cs="Arial" w:eastAsia="Arial" w:hAnsi="Arial"/>
          <w:sz w:val="28"/>
          <w:szCs w:val="28"/>
          <w:color w:val="auto"/>
        </w:rPr>
        <w:t>Males with a waist size 42”and</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28"/>
          <w:szCs w:val="28"/>
          <w:color w:val="auto"/>
        </w:rPr>
        <w:t>greater (35M men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Arial" w:cs="Arial" w:eastAsia="Arial" w:hAnsi="Arial"/>
          <w:sz w:val="28"/>
          <w:szCs w:val="28"/>
          <w:color w:val="auto"/>
        </w:rPr>
        <w:t>Determined by physical</w:t>
      </w:r>
    </w:p>
    <w:p>
      <w:pPr>
        <w:spacing w:after="0" w:line="37"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characteristic, not demographic.</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Not dependent on age, income,</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race or nationality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60"/>
        <w:spacing w:after="0"/>
        <w:rPr>
          <w:sz w:val="20"/>
          <w:szCs w:val="20"/>
          <w:color w:val="auto"/>
        </w:rPr>
      </w:pPr>
      <w:r>
        <w:rPr>
          <w:rFonts w:ascii="Arial" w:cs="Arial" w:eastAsia="Arial" w:hAnsi="Arial"/>
          <w:sz w:val="28"/>
          <w:szCs w:val="28"/>
          <w:color w:val="auto"/>
        </w:rPr>
        <w:t>Seeking greater selection in size.</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Values convenience, selection</w:t>
      </w:r>
    </w:p>
    <w:p>
      <w:pPr>
        <w:spacing w:after="0" w:line="13"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and fit over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5</w:t>
      </w:r>
    </w:p>
    <w:p>
      <w:pPr>
        <w:sectPr>
          <w:pgSz w:w="11900" w:h="16838" w:orient="portrait"/>
          <w:cols w:equalWidth="0" w:num="1">
            <w:col w:w="9960"/>
          </w:cols>
          <w:pgMar w:left="1040" w:top="1052" w:right="899" w:bottom="1440" w:gutter="0" w:footer="0" w:header="0"/>
        </w:sectPr>
      </w:pPr>
    </w:p>
    <w:bookmarkStart w:id="14" w:name="page15"/>
    <w:bookmarkEnd w:id="14"/>
    <w:p>
      <w:pPr>
        <w:spacing w:after="0"/>
        <w:rPr>
          <w:sz w:val="20"/>
          <w:szCs w:val="20"/>
          <w:color w:val="auto"/>
        </w:rPr>
      </w:pPr>
      <w:r>
        <w:rPr>
          <w:rFonts w:ascii="Arial" w:cs="Arial" w:eastAsia="Arial" w:hAnsi="Arial"/>
          <w:sz w:val="59"/>
          <w:szCs w:val="5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Our Current Casual Male XL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6</w:t>
      </w:r>
    </w:p>
    <w:p>
      <w:pPr>
        <w:sectPr>
          <w:pgSz w:w="11900" w:h="16838" w:orient="portrait"/>
          <w:cols w:equalWidth="0" w:num="1">
            <w:col w:w="9940"/>
          </w:cols>
          <w:pgMar w:left="960" w:top="946" w:right="999" w:bottom="1440" w:gutter="0" w:footer="0" w:header="0"/>
        </w:sectPr>
      </w:pPr>
    </w:p>
    <w:bookmarkStart w:id="15" w:name="page16"/>
    <w:bookmarkEnd w:id="1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What Our Customer Wants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329"/>
        </w:trPr>
        <w:tc>
          <w:tcPr>
            <w:tcW w:w="1880" w:type="dxa"/>
            <w:vAlign w:val="bottom"/>
          </w:tcPr>
          <w:p>
            <w:pPr>
              <w:jc w:val="center"/>
              <w:ind w:right="579"/>
              <w:spacing w:after="0"/>
              <w:rPr>
                <w:sz w:val="20"/>
                <w:szCs w:val="20"/>
                <w:color w:val="auto"/>
              </w:rPr>
            </w:pPr>
            <w:r>
              <w:rPr>
                <w:rFonts w:ascii="Arial" w:cs="Arial" w:eastAsia="Arial" w:hAnsi="Arial"/>
                <w:sz w:val="28"/>
                <w:szCs w:val="28"/>
                <w:b w:val="1"/>
                <w:bCs w:val="1"/>
                <w:color w:val="auto"/>
                <w:w w:val="94"/>
              </w:rPr>
              <w:t>Large</w:t>
            </w:r>
          </w:p>
        </w:tc>
        <w:tc>
          <w:tcPr>
            <w:tcW w:w="2980" w:type="dxa"/>
            <w:vAlign w:val="bottom"/>
            <w:vMerge w:val="restart"/>
          </w:tcPr>
          <w:p>
            <w:pPr>
              <w:ind w:left="800"/>
              <w:spacing w:after="0"/>
              <w:rPr>
                <w:sz w:val="20"/>
                <w:szCs w:val="20"/>
                <w:color w:val="auto"/>
              </w:rPr>
            </w:pPr>
            <w:r>
              <w:rPr>
                <w:rFonts w:ascii="Arial" w:cs="Arial" w:eastAsia="Arial" w:hAnsi="Arial"/>
                <w:sz w:val="28"/>
                <w:szCs w:val="28"/>
                <w:b w:val="1"/>
                <w:bCs w:val="1"/>
                <w:color w:val="auto"/>
              </w:rPr>
              <w:t>More brand</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1"/>
              </w:rPr>
              <w:t>On-site</w:t>
            </w:r>
          </w:p>
        </w:tc>
        <w:tc>
          <w:tcPr>
            <w:tcW w:w="2140" w:type="dxa"/>
            <w:vAlign w:val="bottom"/>
            <w:vMerge w:val="restart"/>
          </w:tcPr>
          <w:p>
            <w:pPr>
              <w:jc w:val="center"/>
              <w:ind w:left="599"/>
              <w:spacing w:after="0"/>
              <w:rPr>
                <w:sz w:val="20"/>
                <w:szCs w:val="20"/>
                <w:color w:val="auto"/>
              </w:rPr>
            </w:pPr>
            <w:r>
              <w:rPr>
                <w:rFonts w:ascii="Arial" w:cs="Arial" w:eastAsia="Arial" w:hAnsi="Arial"/>
                <w:sz w:val="28"/>
                <w:szCs w:val="28"/>
                <w:b w:val="1"/>
                <w:bCs w:val="1"/>
                <w:color w:val="auto"/>
                <w:w w:val="96"/>
              </w:rPr>
              <w:t>Bright</w:t>
            </w:r>
          </w:p>
        </w:tc>
        <w:tc>
          <w:tcPr>
            <w:tcW w:w="0" w:type="dxa"/>
            <w:vAlign w:val="bottom"/>
          </w:tcPr>
          <w:p>
            <w:pPr>
              <w:spacing w:after="0"/>
              <w:rPr>
                <w:sz w:val="1"/>
                <w:szCs w:val="1"/>
                <w:color w:val="auto"/>
              </w:rPr>
            </w:pPr>
          </w:p>
        </w:tc>
      </w:tr>
      <w:tr>
        <w:trPr>
          <w:trHeight w:val="176"/>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8"/>
              </w:rPr>
              <w:t>changing</w:t>
            </w:r>
          </w:p>
        </w:tc>
        <w:tc>
          <w:tcPr>
            <w:tcW w:w="298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vMerge w:val="restart"/>
          </w:tcPr>
          <w:p>
            <w:pPr>
              <w:ind w:left="900"/>
              <w:spacing w:after="0"/>
              <w:rPr>
                <w:sz w:val="20"/>
                <w:szCs w:val="20"/>
                <w:color w:val="auto"/>
              </w:rPr>
            </w:pPr>
            <w:r>
              <w:rPr>
                <w:rFonts w:ascii="Arial" w:cs="Arial" w:eastAsia="Arial" w:hAnsi="Arial"/>
                <w:sz w:val="28"/>
                <w:szCs w:val="28"/>
                <w:b w:val="1"/>
                <w:bCs w:val="1"/>
                <w:color w:val="auto"/>
              </w:rPr>
              <w:t>selections</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4"/>
              </w:rPr>
              <w:t>tailoring</w:t>
            </w:r>
          </w:p>
        </w:tc>
        <w:tc>
          <w:tcPr>
            <w:tcW w:w="2140" w:type="dxa"/>
            <w:vAlign w:val="bottom"/>
            <w:vMerge w:val="restart"/>
          </w:tcPr>
          <w:p>
            <w:pPr>
              <w:jc w:val="center"/>
              <w:ind w:left="579"/>
              <w:spacing w:after="0"/>
              <w:rPr>
                <w:sz w:val="20"/>
                <w:szCs w:val="20"/>
                <w:color w:val="auto"/>
              </w:rPr>
            </w:pPr>
            <w:r>
              <w:rPr>
                <w:rFonts w:ascii="Arial" w:cs="Arial" w:eastAsia="Arial" w:hAnsi="Arial"/>
                <w:sz w:val="28"/>
                <w:szCs w:val="28"/>
                <w:b w:val="1"/>
                <w:bCs w:val="1"/>
                <w:color w:val="auto"/>
                <w:w w:val="89"/>
              </w:rPr>
              <w:t>atmosphere</w:t>
            </w:r>
          </w:p>
        </w:tc>
        <w:tc>
          <w:tcPr>
            <w:tcW w:w="0" w:type="dxa"/>
            <w:vAlign w:val="bottom"/>
          </w:tcPr>
          <w:p>
            <w:pPr>
              <w:spacing w:after="0"/>
              <w:rPr>
                <w:sz w:val="1"/>
                <w:szCs w:val="1"/>
                <w:color w:val="auto"/>
              </w:rPr>
            </w:pPr>
          </w:p>
        </w:tc>
      </w:tr>
      <w:tr>
        <w:trPr>
          <w:trHeight w:val="203"/>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6"/>
              </w:rPr>
              <w:t>rooms</w:t>
            </w:r>
          </w:p>
        </w:tc>
        <w:tc>
          <w:tcPr>
            <w:tcW w:w="298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341"/>
        </w:trPr>
        <w:tc>
          <w:tcPr>
            <w:tcW w:w="2080" w:type="dxa"/>
            <w:vAlign w:val="bottom"/>
          </w:tcPr>
          <w:p>
            <w:pPr>
              <w:jc w:val="center"/>
              <w:ind w:right="739"/>
              <w:spacing w:after="0"/>
              <w:rPr>
                <w:sz w:val="20"/>
                <w:szCs w:val="20"/>
                <w:color w:val="auto"/>
              </w:rPr>
            </w:pPr>
            <w:r>
              <w:rPr>
                <w:rFonts w:ascii="Arial" w:cs="Arial" w:eastAsia="Arial" w:hAnsi="Arial"/>
                <w:sz w:val="28"/>
                <w:szCs w:val="28"/>
                <w:b w:val="1"/>
                <w:bCs w:val="1"/>
                <w:color w:val="auto"/>
                <w:w w:val="83"/>
              </w:rPr>
              <w:t>Suggested</w:t>
            </w:r>
          </w:p>
        </w:tc>
        <w:tc>
          <w:tcPr>
            <w:tcW w:w="3100" w:type="dxa"/>
            <w:vAlign w:val="bottom"/>
            <w:vMerge w:val="restart"/>
          </w:tcPr>
          <w:p>
            <w:pPr>
              <w:ind w:left="860"/>
              <w:spacing w:after="0"/>
              <w:rPr>
                <w:sz w:val="20"/>
                <w:szCs w:val="20"/>
                <w:color w:val="auto"/>
              </w:rPr>
            </w:pPr>
            <w:r>
              <w:rPr>
                <w:rFonts w:ascii="Arial" w:cs="Arial" w:eastAsia="Arial" w:hAnsi="Arial"/>
                <w:sz w:val="28"/>
                <w:szCs w:val="28"/>
                <w:b w:val="1"/>
                <w:bCs w:val="1"/>
                <w:color w:val="auto"/>
              </w:rPr>
              <w:t>Wide aisles</w:t>
            </w: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7"/>
              </w:rPr>
              <w:t>One-stop</w:t>
            </w:r>
          </w:p>
        </w:tc>
        <w:tc>
          <w:tcPr>
            <w:tcW w:w="0" w:type="dxa"/>
            <w:vAlign w:val="bottom"/>
          </w:tcPr>
          <w:p>
            <w:pPr>
              <w:spacing w:after="0"/>
              <w:rPr>
                <w:sz w:val="1"/>
                <w:szCs w:val="1"/>
                <w:color w:val="auto"/>
              </w:rPr>
            </w:pPr>
          </w:p>
        </w:tc>
      </w:tr>
      <w:tr>
        <w:trPr>
          <w:trHeight w:val="353"/>
        </w:trPr>
        <w:tc>
          <w:tcPr>
            <w:tcW w:w="2080" w:type="dxa"/>
            <w:vAlign w:val="bottom"/>
          </w:tcPr>
          <w:p>
            <w:pPr>
              <w:jc w:val="center"/>
              <w:ind w:right="679"/>
              <w:spacing w:after="0"/>
              <w:rPr>
                <w:sz w:val="20"/>
                <w:szCs w:val="20"/>
                <w:color w:val="auto"/>
              </w:rPr>
            </w:pPr>
            <w:r>
              <w:rPr>
                <w:rFonts w:ascii="Arial" w:cs="Arial" w:eastAsia="Arial" w:hAnsi="Arial"/>
                <w:sz w:val="28"/>
                <w:szCs w:val="28"/>
                <w:b w:val="1"/>
                <w:bCs w:val="1"/>
                <w:color w:val="auto"/>
                <w:w w:val="93"/>
              </w:rPr>
              <w:t>wardrobe</w:t>
            </w:r>
          </w:p>
        </w:tc>
        <w:tc>
          <w:tcPr>
            <w:tcW w:w="3100" w:type="dxa"/>
            <w:vAlign w:val="bottom"/>
            <w:vMerge w:val="continue"/>
          </w:tcPr>
          <w:p>
            <w:pPr>
              <w:spacing w:after="0"/>
              <w:rPr>
                <w:sz w:val="24"/>
                <w:szCs w:val="24"/>
                <w:color w:val="auto"/>
              </w:rPr>
            </w:pP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5"/>
              </w:rPr>
              <w:t>shopping</w:t>
            </w:r>
          </w:p>
        </w:tc>
        <w:tc>
          <w:tcPr>
            <w:tcW w:w="0" w:type="dxa"/>
            <w:vAlign w:val="bottom"/>
          </w:tcPr>
          <w:p>
            <w:pPr>
              <w:spacing w:after="0"/>
              <w:rPr>
                <w:sz w:val="1"/>
                <w:szCs w:val="1"/>
                <w:color w:val="auto"/>
              </w:rPr>
            </w:pPr>
          </w:p>
        </w:tc>
      </w:tr>
      <w:tr>
        <w:trPr>
          <w:trHeight w:val="367"/>
        </w:trPr>
        <w:tc>
          <w:tcPr>
            <w:tcW w:w="2080" w:type="dxa"/>
            <w:vAlign w:val="bottom"/>
          </w:tcPr>
          <w:p>
            <w:pPr>
              <w:jc w:val="center"/>
              <w:ind w:right="759"/>
              <w:spacing w:after="0"/>
              <w:rPr>
                <w:sz w:val="20"/>
                <w:szCs w:val="20"/>
                <w:color w:val="auto"/>
              </w:rPr>
            </w:pPr>
            <w:r>
              <w:rPr>
                <w:rFonts w:ascii="Arial" w:cs="Arial" w:eastAsia="Arial" w:hAnsi="Arial"/>
                <w:sz w:val="28"/>
                <w:szCs w:val="28"/>
                <w:b w:val="1"/>
                <w:bCs w:val="1"/>
                <w:color w:val="auto"/>
                <w:w w:val="85"/>
              </w:rPr>
              <w:t>solutions</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7</w:t>
      </w:r>
    </w:p>
    <w:p>
      <w:pPr>
        <w:sectPr>
          <w:pgSz w:w="11900" w:h="16838" w:orient="portrait"/>
          <w:cols w:equalWidth="0" w:num="1">
            <w:col w:w="9960"/>
          </w:cols>
          <w:pgMar w:left="1040" w:top="1052" w:right="899" w:bottom="1440" w:gutter="0" w:footer="0" w:header="0"/>
        </w:sectPr>
      </w:pPr>
    </w:p>
    <w:bookmarkStart w:id="16" w:name="page17"/>
    <w:bookmarkEnd w:id="16"/>
    <w:p>
      <w:pPr>
        <w:spacing w:after="0"/>
        <w:rPr>
          <w:sz w:val="20"/>
          <w:szCs w:val="20"/>
          <w:color w:val="auto"/>
        </w:rPr>
      </w:pPr>
      <w:r>
        <w:rPr>
          <w:rFonts w:ascii="Arial" w:cs="Arial" w:eastAsia="Arial" w:hAnsi="Arial"/>
          <w:sz w:val="62"/>
          <w:szCs w:val="62"/>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Responding with Destination XL</w:t>
      </w:r>
      <w:r>
        <w:rPr>
          <w:rFonts w:ascii="Arial" w:cs="Arial" w:eastAsia="Arial" w:hAnsi="Arial"/>
          <w:sz w:val="84"/>
          <w:szCs w:val="84"/>
          <w:b w:val="1"/>
          <w:bCs w:val="1"/>
          <w:color w:val="5F5F5F"/>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89"/>
        </w:trPr>
        <w:tc>
          <w:tcPr>
            <w:tcW w:w="4440" w:type="dxa"/>
            <w:vAlign w:val="bottom"/>
          </w:tcPr>
          <w:p>
            <w:pPr>
              <w:ind w:left="300"/>
              <w:spacing w:after="0"/>
              <w:rPr>
                <w:sz w:val="20"/>
                <w:szCs w:val="20"/>
                <w:color w:val="auto"/>
              </w:rPr>
            </w:pPr>
            <w:r>
              <w:rPr>
                <w:rFonts w:ascii="Arial" w:cs="Arial" w:eastAsia="Arial" w:hAnsi="Arial"/>
                <w:sz w:val="25"/>
                <w:szCs w:val="25"/>
                <w:b w:val="1"/>
                <w:bCs w:val="1"/>
                <w:color w:val="558ED5"/>
              </w:rPr>
              <w:t>2010</w:t>
            </w:r>
          </w:p>
        </w:tc>
        <w:tc>
          <w:tcPr>
            <w:tcW w:w="4480" w:type="dxa"/>
            <w:vAlign w:val="bottom"/>
          </w:tcPr>
          <w:p>
            <w:pPr>
              <w:jc w:val="center"/>
              <w:ind w:right="2276"/>
              <w:spacing w:after="0"/>
              <w:rPr>
                <w:sz w:val="20"/>
                <w:szCs w:val="20"/>
                <w:color w:val="auto"/>
              </w:rPr>
            </w:pPr>
            <w:r>
              <w:rPr>
                <w:rFonts w:ascii="Arial" w:cs="Arial" w:eastAsia="Arial" w:hAnsi="Arial"/>
                <w:sz w:val="25"/>
                <w:szCs w:val="25"/>
                <w:b w:val="1"/>
                <w:bCs w:val="1"/>
                <w:color w:val="558ED5"/>
                <w:w w:val="97"/>
              </w:rPr>
              <w:t>2012</w:t>
            </w:r>
          </w:p>
        </w:tc>
      </w:tr>
      <w:tr>
        <w:trPr>
          <w:trHeight w:val="251"/>
        </w:trPr>
        <w:tc>
          <w:tcPr>
            <w:tcW w:w="4440" w:type="dxa"/>
            <w:vAlign w:val="bottom"/>
          </w:tcPr>
          <w:p>
            <w:pPr>
              <w:spacing w:after="0" w:line="251" w:lineRule="exact"/>
              <w:rPr>
                <w:sz w:val="20"/>
                <w:szCs w:val="20"/>
                <w:color w:val="auto"/>
              </w:rPr>
            </w:pPr>
            <w:r>
              <w:rPr>
                <w:rFonts w:ascii="Arial" w:cs="Arial" w:eastAsia="Arial" w:hAnsi="Arial"/>
                <w:sz w:val="22"/>
                <w:szCs w:val="22"/>
                <w:color w:val="auto"/>
              </w:rPr>
              <w:t>Opened 4 DXL</w:t>
            </w:r>
          </w:p>
        </w:tc>
        <w:tc>
          <w:tcPr>
            <w:tcW w:w="4480" w:type="dxa"/>
            <w:vAlign w:val="bottom"/>
          </w:tcPr>
          <w:p>
            <w:pPr>
              <w:jc w:val="center"/>
              <w:ind w:right="2316"/>
              <w:spacing w:after="0"/>
              <w:rPr>
                <w:sz w:val="20"/>
                <w:szCs w:val="20"/>
                <w:color w:val="auto"/>
              </w:rPr>
            </w:pPr>
            <w:r>
              <w:rPr>
                <w:rFonts w:ascii="Arial" w:cs="Arial" w:eastAsia="Arial" w:hAnsi="Arial"/>
                <w:sz w:val="19"/>
                <w:szCs w:val="19"/>
                <w:color w:val="auto"/>
                <w:w w:val="99"/>
              </w:rPr>
              <w:t>Opened 32</w:t>
            </w:r>
          </w:p>
        </w:tc>
      </w:tr>
      <w:tr>
        <w:trPr>
          <w:trHeight w:val="285"/>
        </w:trPr>
        <w:tc>
          <w:tcPr>
            <w:tcW w:w="4440" w:type="dxa"/>
            <w:vAlign w:val="bottom"/>
          </w:tcPr>
          <w:p>
            <w:pPr>
              <w:ind w:left="20"/>
              <w:spacing w:after="0"/>
              <w:rPr>
                <w:sz w:val="20"/>
                <w:szCs w:val="20"/>
                <w:color w:val="auto"/>
              </w:rPr>
            </w:pPr>
            <w:r>
              <w:rPr>
                <w:rFonts w:ascii="Arial" w:cs="Arial" w:eastAsia="Arial" w:hAnsi="Arial"/>
                <w:sz w:val="22"/>
                <w:szCs w:val="22"/>
                <w:color w:val="auto"/>
              </w:rPr>
              <w:t>concept stores</w:t>
            </w:r>
          </w:p>
        </w:tc>
        <w:tc>
          <w:tcPr>
            <w:tcW w:w="4480" w:type="dxa"/>
            <w:vAlign w:val="bottom"/>
          </w:tcPr>
          <w:p>
            <w:pPr>
              <w:jc w:val="center"/>
              <w:ind w:right="2276"/>
              <w:spacing w:after="0"/>
              <w:rPr>
                <w:sz w:val="20"/>
                <w:szCs w:val="20"/>
                <w:color w:val="auto"/>
              </w:rPr>
            </w:pPr>
            <w:r>
              <w:rPr>
                <w:rFonts w:ascii="Arial" w:cs="Arial" w:eastAsia="Arial" w:hAnsi="Arial"/>
                <w:sz w:val="19"/>
                <w:szCs w:val="19"/>
                <w:color w:val="auto"/>
                <w:w w:val="99"/>
              </w:rPr>
              <w:t>DXL stores</w:t>
            </w:r>
          </w:p>
        </w:tc>
      </w:tr>
      <w:tr>
        <w:trPr>
          <w:trHeight w:val="785"/>
        </w:trPr>
        <w:tc>
          <w:tcPr>
            <w:tcW w:w="4440" w:type="dxa"/>
            <w:vAlign w:val="bottom"/>
          </w:tcPr>
          <w:p>
            <w:pPr>
              <w:ind w:left="3000"/>
              <w:spacing w:after="0"/>
              <w:rPr>
                <w:sz w:val="20"/>
                <w:szCs w:val="20"/>
                <w:color w:val="auto"/>
              </w:rPr>
            </w:pPr>
            <w:r>
              <w:rPr>
                <w:rFonts w:ascii="Arial" w:cs="Arial" w:eastAsia="Arial" w:hAnsi="Arial"/>
                <w:sz w:val="25"/>
                <w:szCs w:val="25"/>
                <w:b w:val="1"/>
                <w:bCs w:val="1"/>
                <w:color w:val="558ED5"/>
              </w:rPr>
              <w:t>2011</w:t>
            </w:r>
          </w:p>
        </w:tc>
        <w:tc>
          <w:tcPr>
            <w:tcW w:w="4480" w:type="dxa"/>
            <w:vAlign w:val="bottom"/>
          </w:tcPr>
          <w:p>
            <w:pPr>
              <w:jc w:val="right"/>
              <w:ind w:right="336"/>
              <w:spacing w:after="0"/>
              <w:rPr>
                <w:sz w:val="20"/>
                <w:szCs w:val="20"/>
                <w:color w:val="auto"/>
              </w:rPr>
            </w:pPr>
            <w:r>
              <w:rPr>
                <w:rFonts w:ascii="Arial" w:cs="Arial" w:eastAsia="Arial" w:hAnsi="Arial"/>
                <w:sz w:val="25"/>
                <w:szCs w:val="25"/>
                <w:b w:val="1"/>
                <w:bCs w:val="1"/>
                <w:color w:val="558ED5"/>
              </w:rPr>
              <w:t>2013</w:t>
            </w:r>
          </w:p>
        </w:tc>
      </w:tr>
      <w:tr>
        <w:trPr>
          <w:trHeight w:val="270"/>
        </w:trPr>
        <w:tc>
          <w:tcPr>
            <w:tcW w:w="4440" w:type="dxa"/>
            <w:vAlign w:val="bottom"/>
          </w:tcPr>
          <w:p>
            <w:pPr>
              <w:ind w:left="2840"/>
              <w:spacing w:after="0"/>
              <w:rPr>
                <w:sz w:val="20"/>
                <w:szCs w:val="20"/>
                <w:color w:val="auto"/>
              </w:rPr>
            </w:pPr>
            <w:r>
              <w:rPr>
                <w:rFonts w:ascii="Arial" w:cs="Arial" w:eastAsia="Arial" w:hAnsi="Arial"/>
                <w:sz w:val="22"/>
                <w:szCs w:val="22"/>
                <w:color w:val="auto"/>
              </w:rPr>
              <w:t>Opened 12</w:t>
            </w:r>
          </w:p>
        </w:tc>
        <w:tc>
          <w:tcPr>
            <w:tcW w:w="4480" w:type="dxa"/>
            <w:vAlign w:val="bottom"/>
          </w:tcPr>
          <w:p>
            <w:pPr>
              <w:jc w:val="center"/>
              <w:ind w:left="2996"/>
              <w:spacing w:after="0"/>
              <w:rPr>
                <w:sz w:val="20"/>
                <w:szCs w:val="20"/>
                <w:color w:val="auto"/>
              </w:rPr>
            </w:pPr>
            <w:r>
              <w:rPr>
                <w:rFonts w:ascii="Arial" w:cs="Arial" w:eastAsia="Arial" w:hAnsi="Arial"/>
                <w:sz w:val="19"/>
                <w:szCs w:val="19"/>
                <w:color w:val="auto"/>
                <w:w w:val="99"/>
              </w:rPr>
              <w:t>Expect to Open</w:t>
            </w:r>
          </w:p>
        </w:tc>
      </w:tr>
      <w:tr>
        <w:trPr>
          <w:trHeight w:val="285"/>
        </w:trPr>
        <w:tc>
          <w:tcPr>
            <w:tcW w:w="4440" w:type="dxa"/>
            <w:vAlign w:val="bottom"/>
          </w:tcPr>
          <w:p>
            <w:pPr>
              <w:ind w:left="2860"/>
              <w:spacing w:after="0"/>
              <w:rPr>
                <w:sz w:val="20"/>
                <w:szCs w:val="20"/>
                <w:color w:val="auto"/>
              </w:rPr>
            </w:pPr>
            <w:r>
              <w:rPr>
                <w:rFonts w:ascii="Arial" w:cs="Arial" w:eastAsia="Arial" w:hAnsi="Arial"/>
                <w:sz w:val="22"/>
                <w:szCs w:val="22"/>
                <w:color w:val="auto"/>
              </w:rPr>
              <w:t>DXL stores</w:t>
            </w:r>
          </w:p>
        </w:tc>
        <w:tc>
          <w:tcPr>
            <w:tcW w:w="4480" w:type="dxa"/>
            <w:vAlign w:val="bottom"/>
          </w:tcPr>
          <w:p>
            <w:pPr>
              <w:ind w:left="3180"/>
              <w:spacing w:after="0"/>
              <w:rPr>
                <w:sz w:val="20"/>
                <w:szCs w:val="20"/>
                <w:color w:val="auto"/>
              </w:rPr>
            </w:pPr>
            <w:r>
              <w:rPr>
                <w:rFonts w:ascii="Arial" w:cs="Arial" w:eastAsia="Arial" w:hAnsi="Arial"/>
                <w:sz w:val="19"/>
                <w:szCs w:val="19"/>
                <w:color w:val="auto"/>
                <w:w w:val="97"/>
              </w:rPr>
              <w:t>~60 DXL stores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28"/>
          <w:szCs w:val="28"/>
          <w:color w:val="auto"/>
        </w:rPr>
        <w:t>Opportunity for accelerated growth and profitability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8</w:t>
      </w:r>
    </w:p>
    <w:p>
      <w:pPr>
        <w:sectPr>
          <w:pgSz w:w="11900" w:h="16838" w:orient="portrait"/>
          <w:cols w:equalWidth="0" w:num="1">
            <w:col w:w="10260"/>
          </w:cols>
          <w:pgMar w:left="740" w:top="794" w:right="8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360"/>
        <w:spacing w:after="0"/>
        <w:rPr>
          <w:sz w:val="20"/>
          <w:szCs w:val="20"/>
          <w:color w:val="auto"/>
        </w:rPr>
      </w:pPr>
      <w:r>
        <w:rPr>
          <w:rFonts w:ascii="Arial" w:cs="Arial" w:eastAsia="Arial" w:hAnsi="Arial"/>
          <w:sz w:val="17"/>
          <w:szCs w:val="17"/>
          <w:color w:val="898989"/>
        </w:rPr>
        <w:t>9</w:t>
      </w:r>
    </w:p>
    <w:p>
      <w:pPr>
        <w:sectPr>
          <w:pgSz w:w="11900" w:h="16838" w:orient="portrait"/>
          <w:cols w:equalWidth="0" w:num="1">
            <w:col w:w="9460"/>
          </w:cols>
          <w:pgMar w:left="144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10</w:t>
      </w:r>
    </w:p>
    <w:p>
      <w:pPr>
        <w:sectPr>
          <w:pgSz w:w="11900" w:h="16838" w:orient="portrait"/>
          <w:cols w:equalWidth="0" w:num="1">
            <w:col w:w="9460"/>
          </w:cols>
          <w:pgMar w:left="144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11</w:t>
      </w:r>
    </w:p>
    <w:p>
      <w:pPr>
        <w:sectPr>
          <w:pgSz w:w="11900" w:h="16838" w:orient="portrait"/>
          <w:cols w:equalWidth="0" w:num="1">
            <w:col w:w="9460"/>
          </w:cols>
          <w:pgMar w:left="1440" w:top="1440" w:right="9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12</w:t>
      </w:r>
    </w:p>
    <w:p>
      <w:pPr>
        <w:sectPr>
          <w:pgSz w:w="11900" w:h="16838" w:orient="portrait"/>
          <w:cols w:equalWidth="0" w:num="1">
            <w:col w:w="9460"/>
          </w:cols>
          <w:pgMar w:left="1440" w:top="1440" w:right="9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13</w:t>
      </w:r>
    </w:p>
    <w:p>
      <w:pPr>
        <w:sectPr>
          <w:pgSz w:w="11900" w:h="16838" w:orient="portrait"/>
          <w:cols w:equalWidth="0" w:num="1">
            <w:col w:w="9460"/>
          </w:cols>
          <w:pgMar w:left="1440" w:top="1440" w:right="999" w:bottom="1440" w:gutter="0" w:footer="0" w:header="0"/>
        </w:sectPr>
      </w:pPr>
    </w:p>
    <w:bookmarkStart w:id="22" w:name="page23"/>
    <w:bookmarkEnd w:id="22"/>
    <w:p>
      <w:pPr>
        <w:spacing w:after="0"/>
        <w:rPr>
          <w:sz w:val="20"/>
          <w:szCs w:val="20"/>
          <w:color w:val="auto"/>
        </w:rPr>
      </w:pPr>
      <w:r>
        <w:rPr>
          <w:rFonts w:ascii="Arial" w:cs="Arial" w:eastAsia="Arial" w:hAnsi="Arial"/>
          <w:sz w:val="60"/>
          <w:szCs w:val="60"/>
          <w:b w:val="1"/>
          <w:bCs w:val="1"/>
          <w:color w:val="595959"/>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Large Selection of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14</w:t>
      </w:r>
    </w:p>
    <w:p>
      <w:pPr>
        <w:sectPr>
          <w:pgSz w:w="11900" w:h="16838" w:orient="portrait"/>
          <w:cols w:equalWidth="0" w:num="1">
            <w:col w:w="9580"/>
          </w:cols>
          <w:pgMar w:left="1420" w:top="770" w:right="899" w:bottom="1440" w:gutter="0" w:footer="0" w:header="0"/>
        </w:sectPr>
      </w:pPr>
    </w:p>
    <w:bookmarkStart w:id="23" w:name="page24"/>
    <w:bookmarkEnd w:id="23"/>
    <w:p>
      <w:pPr>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Casual Male XL vs. Destination XL</w:t>
      </w:r>
      <w:r>
        <w:rPr>
          <w:rFonts w:ascii="Arial" w:cs="Arial" w:eastAsia="Arial" w:hAnsi="Arial"/>
          <w:sz w:val="76"/>
          <w:szCs w:val="76"/>
          <w:b w:val="1"/>
          <w:bCs w:val="1"/>
          <w:color w:val="5F5F5F"/>
          <w:vertAlign w:val="superscript"/>
        </w:rPr>
        <w:t>®</w:t>
      </w:r>
    </w:p>
    <w:p>
      <w:pPr>
        <w:sectPr>
          <w:pgSz w:w="11900" w:h="16838" w:orient="portrait"/>
          <w:cols w:equalWidth="0" w:num="1">
            <w:col w:w="10360"/>
          </w:cols>
          <w:pgMar w:left="640" w:top="104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60"/>
        <w:spacing w:after="0"/>
        <w:rPr>
          <w:sz w:val="20"/>
          <w:szCs w:val="20"/>
          <w:color w:val="auto"/>
        </w:rPr>
      </w:pPr>
      <w:r>
        <w:rPr>
          <w:rFonts w:ascii="Arial" w:cs="Arial" w:eastAsia="Arial" w:hAnsi="Arial"/>
          <w:sz w:val="28"/>
          <w:szCs w:val="28"/>
          <w:color w:val="auto"/>
        </w:rPr>
        <w:t>Average</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28"/>
          <w:szCs w:val="28"/>
          <w:b w:val="1"/>
          <w:bCs w:val="1"/>
          <w:color w:val="558ED5"/>
        </w:rPr>
        <w:t>Store size</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Sales per sq. ft.</w:t>
      </w:r>
    </w:p>
    <w:p>
      <w:pPr>
        <w:spacing w:after="0" w:line="242"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Build out costs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8"/>
          <w:szCs w:val="28"/>
          <w:b w:val="1"/>
          <w:bCs w:val="1"/>
          <w:color w:val="558ED5"/>
        </w:rPr>
        <w:t>Occupancy costs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28"/>
          <w:szCs w:val="28"/>
          <w:b w:val="1"/>
          <w:bCs w:val="1"/>
          <w:color w:val="558ED5"/>
        </w:rPr>
        <w:t>Dollars per</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28"/>
          <w:szCs w:val="28"/>
          <w:b w:val="1"/>
          <w:bCs w:val="1"/>
          <w:color w:val="558ED5"/>
        </w:rPr>
        <w:t>transaction</w:t>
      </w:r>
    </w:p>
    <w:p>
      <w:pPr>
        <w:spacing w:after="0" w:line="157" w:lineRule="exact"/>
        <w:rPr>
          <w:sz w:val="20"/>
          <w:szCs w:val="20"/>
          <w:color w:val="auto"/>
        </w:rPr>
      </w:pPr>
    </w:p>
    <w:p>
      <w:pPr>
        <w:jc w:val="center"/>
        <w:ind w:left="20"/>
        <w:spacing w:after="0"/>
        <w:rPr>
          <w:sz w:val="20"/>
          <w:szCs w:val="20"/>
          <w:color w:val="auto"/>
        </w:rPr>
      </w:pPr>
      <w:r>
        <w:rPr>
          <w:rFonts w:ascii="Arial" w:cs="Arial" w:eastAsia="Arial" w:hAnsi="Arial"/>
          <w:sz w:val="28"/>
          <w:szCs w:val="28"/>
          <w:b w:val="1"/>
          <w:bCs w:val="1"/>
          <w:color w:val="558ED5"/>
        </w:rPr>
        <w:t>Style choices</w:t>
      </w:r>
    </w:p>
    <w:p>
      <w:pPr>
        <w:spacing w:after="0" w:line="242" w:lineRule="exact"/>
        <w:rPr>
          <w:sz w:val="20"/>
          <w:szCs w:val="20"/>
          <w:color w:val="auto"/>
        </w:rPr>
      </w:pPr>
    </w:p>
    <w:p>
      <w:pPr>
        <w:jc w:val="center"/>
        <w:ind w:left="80"/>
        <w:spacing w:after="0"/>
        <w:rPr>
          <w:sz w:val="20"/>
          <w:szCs w:val="20"/>
          <w:color w:val="auto"/>
        </w:rPr>
      </w:pPr>
      <w:r>
        <w:rPr>
          <w:rFonts w:ascii="Arial" w:cs="Arial" w:eastAsia="Arial" w:hAnsi="Arial"/>
          <w:sz w:val="26"/>
          <w:szCs w:val="26"/>
          <w:b w:val="1"/>
          <w:bCs w:val="1"/>
          <w:color w:val="558ED5"/>
        </w:rPr>
        <w:t>Private label brands</w:t>
      </w:r>
    </w:p>
    <w:p>
      <w:pPr>
        <w:spacing w:after="0" w:line="265" w:lineRule="exact"/>
        <w:rPr>
          <w:sz w:val="20"/>
          <w:szCs w:val="20"/>
          <w:color w:val="auto"/>
        </w:rPr>
      </w:pPr>
    </w:p>
    <w:p>
      <w:pPr>
        <w:jc w:val="center"/>
        <w:ind w:left="20"/>
        <w:spacing w:after="0"/>
        <w:rPr>
          <w:sz w:val="20"/>
          <w:szCs w:val="20"/>
          <w:color w:val="auto"/>
        </w:rPr>
      </w:pPr>
      <w:r>
        <w:rPr>
          <w:rFonts w:ascii="Arial" w:cs="Arial" w:eastAsia="Arial" w:hAnsi="Arial"/>
          <w:sz w:val="28"/>
          <w:szCs w:val="28"/>
          <w:b w:val="1"/>
          <w:bCs w:val="1"/>
          <w:color w:val="558ED5"/>
        </w:rPr>
        <w:t>Name brands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9"/>
        </w:trPr>
        <w:tc>
          <w:tcPr>
            <w:tcW w:w="1780" w:type="dxa"/>
            <w:vAlign w:val="bottom"/>
          </w:tcPr>
          <w:p>
            <w:pPr>
              <w:spacing w:after="0"/>
              <w:rPr>
                <w:sz w:val="20"/>
                <w:szCs w:val="20"/>
                <w:color w:val="auto"/>
              </w:rPr>
            </w:pPr>
            <w:r>
              <w:rPr>
                <w:rFonts w:ascii="Arial" w:cs="Arial" w:eastAsia="Arial" w:hAnsi="Arial"/>
                <w:sz w:val="28"/>
                <w:szCs w:val="28"/>
                <w:color w:val="auto"/>
              </w:rPr>
              <w:t>3,400 sq. ft.</w:t>
            </w:r>
          </w:p>
        </w:tc>
        <w:tc>
          <w:tcPr>
            <w:tcW w:w="2780" w:type="dxa"/>
            <w:vAlign w:val="bottom"/>
          </w:tcPr>
          <w:p>
            <w:pPr>
              <w:ind w:left="880"/>
              <w:spacing w:after="0"/>
              <w:rPr>
                <w:sz w:val="20"/>
                <w:szCs w:val="20"/>
                <w:color w:val="auto"/>
              </w:rPr>
            </w:pPr>
            <w:r>
              <w:rPr>
                <w:rFonts w:ascii="Arial" w:cs="Arial" w:eastAsia="Arial" w:hAnsi="Arial"/>
                <w:sz w:val="28"/>
                <w:szCs w:val="28"/>
                <w:color w:val="auto"/>
              </w:rPr>
              <w:t>8,400 sq. ft.</w:t>
            </w:r>
          </w:p>
        </w:tc>
      </w:tr>
      <w:tr>
        <w:trPr>
          <w:trHeight w:val="576"/>
        </w:trPr>
        <w:tc>
          <w:tcPr>
            <w:tcW w:w="1780" w:type="dxa"/>
            <w:vAlign w:val="bottom"/>
          </w:tcPr>
          <w:p>
            <w:pPr>
              <w:jc w:val="center"/>
              <w:ind w:right="319"/>
              <w:spacing w:after="0"/>
              <w:rPr>
                <w:sz w:val="20"/>
                <w:szCs w:val="20"/>
                <w:color w:val="auto"/>
              </w:rPr>
            </w:pPr>
            <w:r>
              <w:rPr>
                <w:rFonts w:ascii="Arial" w:cs="Arial" w:eastAsia="Arial" w:hAnsi="Arial"/>
                <w:sz w:val="28"/>
                <w:szCs w:val="28"/>
                <w:color w:val="auto"/>
                <w:w w:val="89"/>
              </w:rPr>
              <w:t>$166</w:t>
            </w:r>
          </w:p>
        </w:tc>
        <w:tc>
          <w:tcPr>
            <w:tcW w:w="2780" w:type="dxa"/>
            <w:vAlign w:val="bottom"/>
          </w:tcPr>
          <w:p>
            <w:pPr>
              <w:ind w:left="420"/>
              <w:spacing w:after="0"/>
              <w:rPr>
                <w:sz w:val="20"/>
                <w:szCs w:val="20"/>
                <w:color w:val="auto"/>
              </w:rPr>
            </w:pPr>
            <w:r>
              <w:rPr>
                <w:rFonts w:ascii="Arial" w:cs="Arial" w:eastAsia="Arial" w:hAnsi="Arial"/>
                <w:sz w:val="28"/>
                <w:szCs w:val="28"/>
                <w:color w:val="auto"/>
                <w:w w:val="90"/>
              </w:rPr>
              <w:t xml:space="preserve">$147 </w:t>
            </w:r>
            <w:r>
              <w:rPr>
                <w:rFonts w:ascii="Arial" w:cs="Arial" w:eastAsia="Arial" w:hAnsi="Arial"/>
                <w:sz w:val="28"/>
                <w:szCs w:val="28"/>
                <w:i w:val="1"/>
                <w:iCs w:val="1"/>
                <w:color w:val="auto"/>
                <w:w w:val="90"/>
              </w:rPr>
              <w:t>($230 by 2016)</w:t>
            </w:r>
          </w:p>
        </w:tc>
      </w:tr>
      <w:tr>
        <w:trPr>
          <w:trHeight w:val="564"/>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$50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94"/>
              </w:rPr>
              <w:t>$70</w:t>
            </w:r>
          </w:p>
        </w:tc>
      </w:tr>
      <w:tr>
        <w:trPr>
          <w:trHeight w:val="564"/>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$30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94"/>
              </w:rPr>
              <w:t>$30</w:t>
            </w:r>
          </w:p>
        </w:tc>
      </w:tr>
      <w:tr>
        <w:trPr>
          <w:trHeight w:val="682"/>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$97</w:t>
            </w:r>
          </w:p>
        </w:tc>
        <w:tc>
          <w:tcPr>
            <w:tcW w:w="2780" w:type="dxa"/>
            <w:vAlign w:val="bottom"/>
          </w:tcPr>
          <w:p>
            <w:pPr>
              <w:jc w:val="right"/>
              <w:ind w:right="819"/>
              <w:spacing w:after="0"/>
              <w:rPr>
                <w:sz w:val="20"/>
                <w:szCs w:val="20"/>
                <w:color w:val="auto"/>
              </w:rPr>
            </w:pPr>
            <w:r>
              <w:rPr>
                <w:rFonts w:ascii="Arial" w:cs="Arial" w:eastAsia="Arial" w:hAnsi="Arial"/>
                <w:sz w:val="28"/>
                <w:szCs w:val="28"/>
                <w:color w:val="auto"/>
              </w:rPr>
              <w:t>$137</w:t>
            </w:r>
          </w:p>
        </w:tc>
      </w:tr>
      <w:tr>
        <w:trPr>
          <w:trHeight w:val="682"/>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600</w:t>
            </w:r>
          </w:p>
        </w:tc>
        <w:tc>
          <w:tcPr>
            <w:tcW w:w="2780" w:type="dxa"/>
            <w:vAlign w:val="bottom"/>
          </w:tcPr>
          <w:p>
            <w:pPr>
              <w:jc w:val="right"/>
              <w:ind w:right="779"/>
              <w:spacing w:after="0"/>
              <w:rPr>
                <w:sz w:val="20"/>
                <w:szCs w:val="20"/>
                <w:color w:val="auto"/>
              </w:rPr>
            </w:pPr>
            <w:r>
              <w:rPr>
                <w:rFonts w:ascii="Arial" w:cs="Arial" w:eastAsia="Arial" w:hAnsi="Arial"/>
                <w:sz w:val="28"/>
                <w:szCs w:val="28"/>
                <w:color w:val="auto"/>
              </w:rPr>
              <w:t>2,000</w:t>
            </w:r>
          </w:p>
        </w:tc>
      </w:tr>
      <w:tr>
        <w:trPr>
          <w:trHeight w:val="564"/>
        </w:trPr>
        <w:tc>
          <w:tcPr>
            <w:tcW w:w="1780" w:type="dxa"/>
            <w:vAlign w:val="bottom"/>
          </w:tcPr>
          <w:p>
            <w:pPr>
              <w:jc w:val="right"/>
              <w:ind w:right="839"/>
              <w:spacing w:after="0"/>
              <w:rPr>
                <w:sz w:val="20"/>
                <w:szCs w:val="20"/>
                <w:color w:val="auto"/>
              </w:rPr>
            </w:pPr>
            <w:r>
              <w:rPr>
                <w:rFonts w:ascii="Arial" w:cs="Arial" w:eastAsia="Arial" w:hAnsi="Arial"/>
                <w:sz w:val="28"/>
                <w:szCs w:val="28"/>
                <w:color w:val="auto"/>
              </w:rPr>
              <w:t>10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15</w:t>
            </w:r>
          </w:p>
        </w:tc>
      </w:tr>
      <w:tr>
        <w:trPr>
          <w:trHeight w:val="564"/>
        </w:trPr>
        <w:tc>
          <w:tcPr>
            <w:tcW w:w="1780" w:type="dxa"/>
            <w:vAlign w:val="bottom"/>
          </w:tcPr>
          <w:p>
            <w:pPr>
              <w:jc w:val="right"/>
              <w:ind w:right="919"/>
              <w:spacing w:after="0"/>
              <w:rPr>
                <w:sz w:val="20"/>
                <w:szCs w:val="20"/>
                <w:color w:val="auto"/>
              </w:rPr>
            </w:pPr>
            <w:r>
              <w:rPr>
                <w:rFonts w:ascii="Arial" w:cs="Arial" w:eastAsia="Arial" w:hAnsi="Arial"/>
                <w:sz w:val="28"/>
                <w:szCs w:val="28"/>
                <w:color w:val="auto"/>
              </w:rPr>
              <w:t>8</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30</w:t>
            </w:r>
          </w:p>
        </w:tc>
      </w:tr>
    </w:tbl>
    <w:p>
      <w:pPr>
        <w:spacing w:after="0" w:line="200" w:lineRule="exact"/>
        <w:rPr>
          <w:sz w:val="20"/>
          <w:szCs w:val="20"/>
          <w:color w:val="auto"/>
        </w:rPr>
      </w:pPr>
    </w:p>
    <w:p>
      <w:pPr>
        <w:sectPr>
          <w:pgSz w:w="11900" w:h="16838" w:orient="portrait"/>
          <w:cols w:equalWidth="0" w:num="2">
            <w:col w:w="2980" w:space="720"/>
            <w:col w:w="6660"/>
          </w:cols>
          <w:pgMar w:left="640" w:top="1041" w:right="899" w:bottom="1440" w:gutter="0" w:footer="0" w:header="0"/>
          <w:type w:val="continuous"/>
        </w:sectPr>
      </w:pPr>
    </w:p>
    <w:p>
      <w:pPr>
        <w:spacing w:after="0" w:line="75" w:lineRule="exact"/>
        <w:rPr>
          <w:sz w:val="20"/>
          <w:szCs w:val="20"/>
          <w:color w:val="auto"/>
        </w:rPr>
      </w:pPr>
    </w:p>
    <w:p>
      <w:pPr>
        <w:ind w:left="10160"/>
        <w:spacing w:after="0"/>
        <w:rPr>
          <w:sz w:val="20"/>
          <w:szCs w:val="20"/>
          <w:color w:val="auto"/>
        </w:rPr>
      </w:pPr>
      <w:r>
        <w:rPr>
          <w:rFonts w:ascii="Arial" w:cs="Arial" w:eastAsia="Arial" w:hAnsi="Arial"/>
          <w:sz w:val="17"/>
          <w:szCs w:val="17"/>
          <w:color w:val="898989"/>
        </w:rPr>
        <w:t>15</w:t>
      </w:r>
    </w:p>
    <w:p>
      <w:pPr>
        <w:sectPr>
          <w:pgSz w:w="11900" w:h="16838" w:orient="portrait"/>
          <w:cols w:equalWidth="0" w:num="1">
            <w:col w:w="10360"/>
          </w:cols>
          <w:pgMar w:left="640" w:top="1041" w:right="8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Market Consolidation to DXL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340" w:type="dxa"/>
        <w:tblCellMar>
          <w:top w:w="0" w:type="dxa"/>
          <w:left w:w="0" w:type="dxa"/>
          <w:bottom w:w="0" w:type="dxa"/>
          <w:right w:w="0" w:type="dxa"/>
        </w:tblCellMar>
      </w:tblPr>
      <w:tr>
        <w:trPr>
          <w:trHeight w:val="198"/>
        </w:trPr>
        <w:tc>
          <w:tcPr>
            <w:tcW w:w="1700" w:type="dxa"/>
            <w:vAlign w:val="bottom"/>
            <w:vMerge w:val="restart"/>
          </w:tcPr>
          <w:p>
            <w:pPr>
              <w:spacing w:after="0"/>
              <w:rPr>
                <w:sz w:val="20"/>
                <w:szCs w:val="20"/>
                <w:color w:val="auto"/>
              </w:rPr>
            </w:pPr>
            <w:r>
              <w:rPr>
                <w:rFonts w:ascii="Arial" w:cs="Arial" w:eastAsia="Arial" w:hAnsi="Arial"/>
                <w:sz w:val="18"/>
                <w:szCs w:val="18"/>
                <w:color w:val="auto"/>
                <w:w w:val="97"/>
              </w:rPr>
              <w:t>9451 Schaumburg, IL</w:t>
            </w:r>
          </w:p>
        </w:tc>
        <w:tc>
          <w:tcPr>
            <w:tcW w:w="1900" w:type="dxa"/>
            <w:vAlign w:val="bottom"/>
          </w:tcPr>
          <w:p>
            <w:pPr>
              <w:ind w:left="160"/>
              <w:spacing w:after="0"/>
              <w:rPr>
                <w:sz w:val="20"/>
                <w:szCs w:val="20"/>
                <w:color w:val="auto"/>
              </w:rPr>
            </w:pPr>
            <w:r>
              <w:rPr>
                <w:rFonts w:ascii="Arial" w:cs="Arial" w:eastAsia="Arial" w:hAnsi="Arial"/>
                <w:sz w:val="15"/>
                <w:szCs w:val="15"/>
                <w:b w:val="1"/>
                <w:bCs w:val="1"/>
                <w:color w:val="auto"/>
              </w:rPr>
              <w:t>DXL</w:t>
            </w:r>
          </w:p>
        </w:tc>
        <w:tc>
          <w:tcPr>
            <w:tcW w:w="1700" w:type="dxa"/>
            <w:vAlign w:val="bottom"/>
            <w:vMerge w:val="restart"/>
          </w:tcPr>
          <w:p>
            <w:pPr>
              <w:jc w:val="center"/>
              <w:ind w:left="592"/>
              <w:spacing w:after="0"/>
              <w:rPr>
                <w:sz w:val="20"/>
                <w:szCs w:val="20"/>
                <w:color w:val="auto"/>
              </w:rPr>
            </w:pPr>
            <w:r>
              <w:rPr>
                <w:rFonts w:ascii="Arial" w:cs="Arial" w:eastAsia="Arial" w:hAnsi="Arial"/>
                <w:sz w:val="18"/>
                <w:szCs w:val="18"/>
                <w:color w:val="auto"/>
                <w:w w:val="92"/>
              </w:rPr>
              <w:t>9183 Niles, IL</w:t>
            </w:r>
          </w:p>
        </w:tc>
        <w:tc>
          <w:tcPr>
            <w:tcW w:w="0" w:type="dxa"/>
            <w:vAlign w:val="bottom"/>
          </w:tcPr>
          <w:p>
            <w:pPr>
              <w:spacing w:after="0"/>
              <w:rPr>
                <w:sz w:val="1"/>
                <w:szCs w:val="1"/>
                <w:color w:val="auto"/>
              </w:rPr>
            </w:pPr>
          </w:p>
        </w:tc>
      </w:tr>
      <w:tr>
        <w:trPr>
          <w:trHeight w:val="136"/>
        </w:trPr>
        <w:tc>
          <w:tcPr>
            <w:tcW w:w="1700" w:type="dxa"/>
            <w:vAlign w:val="bottom"/>
            <w:vMerge w:val="continue"/>
          </w:tcPr>
          <w:p>
            <w:pPr>
              <w:spacing w:after="0"/>
              <w:rPr>
                <w:sz w:val="11"/>
                <w:szCs w:val="11"/>
                <w:color w:val="auto"/>
              </w:rPr>
            </w:pPr>
          </w:p>
        </w:tc>
        <w:tc>
          <w:tcPr>
            <w:tcW w:w="19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Schaumburg, IL</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700" w:type="dxa"/>
            <w:vAlign w:val="bottom"/>
            <w:vMerge w:val="restart"/>
          </w:tcPr>
          <w:p>
            <w:pPr>
              <w:jc w:val="center"/>
              <w:ind w:left="592"/>
              <w:spacing w:after="0"/>
              <w:rPr>
                <w:sz w:val="20"/>
                <w:szCs w:val="20"/>
                <w:color w:val="auto"/>
              </w:rPr>
            </w:pPr>
            <w:r>
              <w:rPr>
                <w:rFonts w:ascii="Arial" w:cs="Arial" w:eastAsia="Arial" w:hAnsi="Arial"/>
                <w:sz w:val="18"/>
                <w:szCs w:val="18"/>
                <w:color w:val="auto"/>
                <w:w w:val="90"/>
              </w:rPr>
              <w:t>11.4 miles</w:t>
            </w:r>
          </w:p>
        </w:tc>
        <w:tc>
          <w:tcPr>
            <w:tcW w:w="0" w:type="dxa"/>
            <w:vAlign w:val="bottom"/>
          </w:tcPr>
          <w:p>
            <w:pPr>
              <w:spacing w:after="0"/>
              <w:rPr>
                <w:sz w:val="1"/>
                <w:szCs w:val="1"/>
                <w:color w:val="auto"/>
              </w:rPr>
            </w:pPr>
          </w:p>
        </w:tc>
      </w:tr>
      <w:tr>
        <w:trPr>
          <w:trHeight w:val="77"/>
        </w:trPr>
        <w:tc>
          <w:tcPr>
            <w:tcW w:w="17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Arial" w:cs="Arial" w:eastAsia="Arial" w:hAnsi="Arial"/>
                <w:sz w:val="15"/>
                <w:szCs w:val="15"/>
                <w:b w:val="1"/>
                <w:bCs w:val="1"/>
                <w:color w:val="auto"/>
              </w:rPr>
              <w:t>0.9 miles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Arial" w:cs="Arial" w:eastAsia="Arial" w:hAnsi="Arial"/>
          <w:sz w:val="94"/>
          <w:szCs w:val="94"/>
          <w:b w:val="1"/>
          <w:bCs w:val="1"/>
          <w:color w:val="auto"/>
        </w:rPr>
        <w:t>Chicago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9512 Bloomingdale, IL</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11.2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28"/>
          <w:szCs w:val="28"/>
          <w:color w:val="auto"/>
        </w:rPr>
        <w:t>Customers are willing to drive up to 20 miles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16</w:t>
      </w:r>
    </w:p>
    <w:p>
      <w:pPr>
        <w:sectPr>
          <w:pgSz w:w="11900" w:h="16838" w:orient="portrait"/>
          <w:cols w:equalWidth="0" w:num="1">
            <w:col w:w="9960"/>
          </w:cols>
          <w:pgMar w:left="1040" w:top="1052" w:right="899" w:bottom="1440" w:gutter="0" w:footer="0" w:header="0"/>
        </w:sectPr>
      </w:pPr>
    </w:p>
    <w:bookmarkStart w:id="25" w:name="page26"/>
    <w:bookmarkEnd w:id="25"/>
    <w:p>
      <w:pPr>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Comps Reflect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w w:val="96"/>
              </w:rPr>
              <w:t>20.0%</w:t>
            </w:r>
          </w:p>
        </w:tc>
        <w:tc>
          <w:tcPr>
            <w:tcW w:w="8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697D88"/>
              </w:rPr>
              <w:t>16.3%</w:t>
            </w:r>
          </w:p>
        </w:tc>
        <w:tc>
          <w:tcPr>
            <w:tcW w:w="2680" w:type="dxa"/>
            <w:vAlign w:val="bottom"/>
          </w:tcPr>
          <w:p>
            <w:pPr>
              <w:jc w:val="right"/>
              <w:ind w:right="1866"/>
              <w:spacing w:after="0"/>
              <w:rPr>
                <w:sz w:val="20"/>
                <w:szCs w:val="20"/>
                <w:color w:val="auto"/>
              </w:rPr>
            </w:pPr>
            <w:r>
              <w:rPr>
                <w:rFonts w:ascii="Arial" w:cs="Arial" w:eastAsia="Arial" w:hAnsi="Arial"/>
                <w:sz w:val="19"/>
                <w:szCs w:val="19"/>
                <w:b w:val="1"/>
                <w:bCs w:val="1"/>
                <w:color w:val="697D88"/>
              </w:rPr>
              <w:t>17.1%</w:t>
            </w: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15.8%</w:t>
            </w: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2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20" w:type="dxa"/>
            <w:vAlign w:val="bottom"/>
          </w:tcPr>
          <w:p>
            <w:pPr>
              <w:spacing w:after="0"/>
              <w:rPr>
                <w:sz w:val="9"/>
                <w:szCs w:val="9"/>
                <w:color w:val="auto"/>
              </w:rPr>
            </w:pPr>
          </w:p>
        </w:tc>
        <w:tc>
          <w:tcPr>
            <w:tcW w:w="84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697D88"/>
              </w:rPr>
              <w:t>14.5%</w:t>
            </w:r>
          </w:p>
        </w:tc>
        <w:tc>
          <w:tcPr>
            <w:tcW w:w="2660" w:type="dxa"/>
            <w:vAlign w:val="bottom"/>
          </w:tcPr>
          <w:p>
            <w:pPr>
              <w:spacing w:after="0"/>
              <w:rPr>
                <w:sz w:val="9"/>
                <w:szCs w:val="9"/>
                <w:color w:val="auto"/>
              </w:rPr>
            </w:pPr>
          </w:p>
        </w:tc>
        <w:tc>
          <w:tcPr>
            <w:tcW w:w="268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697D88"/>
              </w:rPr>
              <w:t>15.0%</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697D88"/>
                <w:w w:val="96"/>
              </w:rPr>
              <w:t>15.0%</w:t>
            </w:r>
          </w:p>
        </w:tc>
        <w:tc>
          <w:tcPr>
            <w:tcW w:w="8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6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660" w:type="dxa"/>
            <w:vAlign w:val="bottom"/>
            <w:vMerge w:val="restart"/>
          </w:tcPr>
          <w:p>
            <w:pPr>
              <w:jc w:val="right"/>
              <w:ind w:right="1046"/>
              <w:spacing w:after="0"/>
              <w:rPr>
                <w:sz w:val="20"/>
                <w:szCs w:val="20"/>
                <w:color w:val="auto"/>
              </w:rPr>
            </w:pPr>
            <w:r>
              <w:rPr>
                <w:rFonts w:ascii="Arial" w:cs="Arial" w:eastAsia="Arial" w:hAnsi="Arial"/>
                <w:sz w:val="19"/>
                <w:szCs w:val="19"/>
                <w:b w:val="1"/>
                <w:bCs w:val="1"/>
                <w:color w:val="697D88"/>
              </w:rPr>
              <w:t>12.8%</w:t>
            </w:r>
          </w:p>
        </w:tc>
        <w:tc>
          <w:tcPr>
            <w:tcW w:w="2680" w:type="dxa"/>
            <w:vAlign w:val="bottom"/>
          </w:tcPr>
          <w:p>
            <w:pPr>
              <w:jc w:val="right"/>
              <w:ind w:right="926"/>
              <w:spacing w:after="0"/>
              <w:rPr>
                <w:sz w:val="20"/>
                <w:szCs w:val="20"/>
                <w:color w:val="auto"/>
              </w:rPr>
            </w:pPr>
            <w:r>
              <w:rPr>
                <w:rFonts w:ascii="Arial" w:cs="Arial" w:eastAsia="Arial" w:hAnsi="Arial"/>
                <w:sz w:val="19"/>
                <w:szCs w:val="19"/>
                <w:b w:val="1"/>
                <w:bCs w:val="1"/>
                <w:color w:val="697D88"/>
              </w:rPr>
              <w:t>13.8%</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2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w w:val="96"/>
              </w:rPr>
              <w:t>10.0%</w:t>
            </w:r>
          </w:p>
        </w:tc>
        <w:tc>
          <w:tcPr>
            <w:tcW w:w="840" w:type="dxa"/>
            <w:vAlign w:val="bottom"/>
          </w:tcPr>
          <w:p>
            <w:pPr>
              <w:spacing w:after="0"/>
              <w:rPr>
                <w:sz w:val="24"/>
                <w:szCs w:val="24"/>
                <w:color w:val="auto"/>
              </w:rPr>
            </w:pPr>
          </w:p>
        </w:tc>
        <w:tc>
          <w:tcPr>
            <w:tcW w:w="2660" w:type="dxa"/>
            <w:vAlign w:val="bottom"/>
          </w:tcPr>
          <w:p>
            <w:pPr>
              <w:jc w:val="right"/>
              <w:ind w:right="1946"/>
              <w:spacing w:after="0"/>
              <w:rPr>
                <w:sz w:val="20"/>
                <w:szCs w:val="20"/>
                <w:color w:val="auto"/>
              </w:rPr>
            </w:pPr>
            <w:r>
              <w:rPr>
                <w:rFonts w:ascii="Arial" w:cs="Arial" w:eastAsia="Arial" w:hAnsi="Arial"/>
                <w:sz w:val="19"/>
                <w:szCs w:val="19"/>
                <w:b w:val="1"/>
                <w:bCs w:val="1"/>
                <w:color w:val="697D88"/>
              </w:rPr>
              <w:t>9.0%</w:t>
            </w: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4"/>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rPr>
              <w:t>5.0%</w:t>
            </w:r>
          </w:p>
        </w:tc>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1520" w:type="dxa"/>
            <w:vAlign w:val="bottom"/>
          </w:tcPr>
          <w:p>
            <w:pPr>
              <w:spacing w:after="0"/>
              <w:rPr>
                <w:sz w:val="21"/>
                <w:szCs w:val="21"/>
                <w:color w:val="auto"/>
              </w:rPr>
            </w:pPr>
          </w:p>
        </w:tc>
        <w:tc>
          <w:tcPr>
            <w:tcW w:w="2180" w:type="dxa"/>
            <w:vAlign w:val="bottom"/>
          </w:tcPr>
          <w:p>
            <w:pPr>
              <w:jc w:val="right"/>
              <w:ind w:right="386"/>
              <w:spacing w:after="0"/>
              <w:rPr>
                <w:sz w:val="20"/>
                <w:szCs w:val="20"/>
                <w:color w:val="auto"/>
              </w:rPr>
            </w:pPr>
            <w:r>
              <w:rPr>
                <w:rFonts w:ascii="Arial" w:cs="Arial" w:eastAsia="Arial" w:hAnsi="Arial"/>
                <w:sz w:val="19"/>
                <w:szCs w:val="19"/>
                <w:b w:val="1"/>
                <w:bCs w:val="1"/>
                <w:color w:val="697D88"/>
              </w:rPr>
              <w:t>2.1%</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697D88"/>
                <w:w w:val="96"/>
              </w:rPr>
              <w:t>2.0%</w:t>
            </w:r>
          </w:p>
        </w:tc>
        <w:tc>
          <w:tcPr>
            <w:tcW w:w="1100" w:type="dxa"/>
            <w:vAlign w:val="bottom"/>
          </w:tcPr>
          <w:p>
            <w:pPr>
              <w:jc w:val="right"/>
              <w:ind w:right="146"/>
              <w:spacing w:after="0"/>
              <w:rPr>
                <w:sz w:val="20"/>
                <w:szCs w:val="20"/>
                <w:color w:val="auto"/>
              </w:rPr>
            </w:pPr>
            <w:r>
              <w:rPr>
                <w:rFonts w:ascii="Arial" w:cs="Arial" w:eastAsia="Arial" w:hAnsi="Arial"/>
                <w:sz w:val="19"/>
                <w:szCs w:val="19"/>
                <w:b w:val="1"/>
                <w:bCs w:val="1"/>
                <w:color w:val="697D88"/>
              </w:rPr>
              <w:t>2.0%</w:t>
            </w:r>
          </w:p>
        </w:tc>
        <w:tc>
          <w:tcPr>
            <w:tcW w:w="1600" w:type="dxa"/>
            <w:vAlign w:val="bottom"/>
            <w:vMerge w:val="restart"/>
          </w:tcPr>
          <w:p>
            <w:pPr>
              <w:jc w:val="right"/>
              <w:ind w:right="826"/>
              <w:spacing w:after="0"/>
              <w:rPr>
                <w:sz w:val="20"/>
                <w:szCs w:val="20"/>
                <w:color w:val="auto"/>
              </w:rPr>
            </w:pPr>
            <w:r>
              <w:rPr>
                <w:rFonts w:ascii="Arial" w:cs="Arial" w:eastAsia="Arial" w:hAnsi="Arial"/>
                <w:sz w:val="19"/>
                <w:szCs w:val="19"/>
                <w:b w:val="1"/>
                <w:bCs w:val="1"/>
                <w:color w:val="697D88"/>
              </w:rPr>
              <w:t>1.5%</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w:t>
            </w:r>
          </w:p>
        </w:tc>
        <w:tc>
          <w:tcPr>
            <w:tcW w:w="0" w:type="dxa"/>
            <w:vAlign w:val="bottom"/>
          </w:tcPr>
          <w:p>
            <w:pPr>
              <w:spacing w:after="0"/>
              <w:rPr>
                <w:sz w:val="1"/>
                <w:szCs w:val="1"/>
                <w:color w:val="auto"/>
              </w:rPr>
            </w:pPr>
          </w:p>
        </w:tc>
      </w:tr>
      <w:tr>
        <w:trPr>
          <w:trHeight w:val="41"/>
        </w:trPr>
        <w:tc>
          <w:tcPr>
            <w:tcW w:w="15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0.7%</w:t>
            </w:r>
          </w:p>
        </w:tc>
        <w:tc>
          <w:tcPr>
            <w:tcW w:w="2180" w:type="dxa"/>
            <w:vAlign w:val="bottom"/>
            <w:vMerge w:val="restart"/>
          </w:tcPr>
          <w:p>
            <w:pPr>
              <w:jc w:val="right"/>
              <w:ind w:right="1226"/>
              <w:spacing w:after="0"/>
              <w:rPr>
                <w:sz w:val="20"/>
                <w:szCs w:val="20"/>
                <w:color w:val="auto"/>
              </w:rPr>
            </w:pPr>
            <w:r>
              <w:rPr>
                <w:rFonts w:ascii="Arial" w:cs="Arial" w:eastAsia="Arial" w:hAnsi="Arial"/>
                <w:sz w:val="19"/>
                <w:szCs w:val="19"/>
                <w:b w:val="1"/>
                <w:bCs w:val="1"/>
                <w:color w:val="697D88"/>
              </w:rPr>
              <w:t>0.8%</w:t>
            </w: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52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ind w:right="6"/>
              <w:spacing w:after="0" w:line="205" w:lineRule="exact"/>
              <w:rPr>
                <w:sz w:val="20"/>
                <w:szCs w:val="20"/>
                <w:color w:val="auto"/>
              </w:rPr>
            </w:pPr>
            <w:r>
              <w:rPr>
                <w:rFonts w:ascii="Arial" w:cs="Arial" w:eastAsia="Arial" w:hAnsi="Arial"/>
                <w:sz w:val="19"/>
                <w:szCs w:val="19"/>
                <w:b w:val="1"/>
                <w:bCs w:val="1"/>
                <w:color w:val="697D88"/>
              </w:rPr>
              <w:t>0.5%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tcPr>
          <w:p>
            <w:pPr>
              <w:jc w:val="right"/>
              <w:ind w:right="986"/>
              <w:spacing w:after="0"/>
              <w:rPr>
                <w:sz w:val="20"/>
                <w:szCs w:val="20"/>
                <w:color w:val="auto"/>
              </w:rPr>
            </w:pPr>
            <w:r>
              <w:rPr>
                <w:rFonts w:ascii="Arial" w:cs="Arial" w:eastAsia="Arial" w:hAnsi="Arial"/>
                <w:sz w:val="19"/>
                <w:szCs w:val="19"/>
                <w:b w:val="1"/>
                <w:bCs w:val="1"/>
                <w:color w:val="697D88"/>
                <w:w w:val="96"/>
              </w:rPr>
              <w:t>0.0%</w:t>
            </w:r>
          </w:p>
        </w:tc>
        <w:tc>
          <w:tcPr>
            <w:tcW w:w="2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20" w:type="dxa"/>
            <w:vAlign w:val="bottom"/>
          </w:tcPr>
          <w:p>
            <w:pPr>
              <w:jc w:val="right"/>
              <w:ind w:right="6"/>
              <w:spacing w:after="0"/>
              <w:rPr>
                <w:sz w:val="20"/>
                <w:szCs w:val="20"/>
                <w:color w:val="auto"/>
              </w:rPr>
            </w:pPr>
            <w:r>
              <w:rPr>
                <w:rFonts w:ascii="Arial" w:cs="Arial" w:eastAsia="Arial" w:hAnsi="Arial"/>
                <w:sz w:val="19"/>
                <w:szCs w:val="19"/>
                <w:b w:val="1"/>
                <w:bCs w:val="1"/>
                <w:color w:val="697D88"/>
              </w:rPr>
              <w:t>Q3 2011</w:t>
            </w:r>
          </w:p>
        </w:tc>
        <w:tc>
          <w:tcPr>
            <w:tcW w:w="2700" w:type="dxa"/>
            <w:vAlign w:val="bottom"/>
            <w:gridSpan w:val="2"/>
          </w:tcPr>
          <w:p>
            <w:pPr>
              <w:jc w:val="center"/>
              <w:spacing w:after="0"/>
              <w:rPr>
                <w:sz w:val="20"/>
                <w:szCs w:val="20"/>
                <w:color w:val="auto"/>
              </w:rPr>
            </w:pPr>
            <w:r>
              <w:rPr>
                <w:rFonts w:ascii="Arial" w:cs="Arial" w:eastAsia="Arial" w:hAnsi="Arial"/>
                <w:sz w:val="19"/>
                <w:szCs w:val="19"/>
                <w:b w:val="1"/>
                <w:bCs w:val="1"/>
                <w:color w:val="697D88"/>
              </w:rPr>
              <w:t>Q4 2011  FY 2011  Q1 2012</w:t>
            </w:r>
          </w:p>
        </w:tc>
        <w:tc>
          <w:tcPr>
            <w:tcW w:w="2700" w:type="dxa"/>
            <w:vAlign w:val="bottom"/>
            <w:gridSpan w:val="2"/>
          </w:tcPr>
          <w:p>
            <w:pPr>
              <w:jc w:val="right"/>
              <w:ind w:right="26"/>
              <w:spacing w:after="0"/>
              <w:rPr>
                <w:sz w:val="20"/>
                <w:szCs w:val="20"/>
                <w:color w:val="auto"/>
              </w:rPr>
            </w:pPr>
            <w:r>
              <w:rPr>
                <w:rFonts w:ascii="Arial" w:cs="Arial" w:eastAsia="Arial" w:hAnsi="Arial"/>
                <w:sz w:val="19"/>
                <w:szCs w:val="19"/>
                <w:b w:val="1"/>
                <w:bCs w:val="1"/>
                <w:color w:val="697D88"/>
              </w:rPr>
              <w:t>Q2 2012  Q3 2012  Q4 2012</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697D88"/>
              </w:rPr>
              <w:t>FY 2012</w:t>
            </w:r>
          </w:p>
        </w:tc>
        <w:tc>
          <w:tcPr>
            <w:tcW w:w="0" w:type="dxa"/>
            <w:vAlign w:val="bottom"/>
          </w:tcPr>
          <w:p>
            <w:pPr>
              <w:spacing w:after="0"/>
              <w:rPr>
                <w:sz w:val="1"/>
                <w:szCs w:val="1"/>
                <w:color w:val="auto"/>
              </w:rPr>
            </w:pPr>
          </w:p>
        </w:tc>
      </w:tr>
      <w:tr>
        <w:trPr>
          <w:trHeight w:val="529"/>
        </w:trPr>
        <w:tc>
          <w:tcPr>
            <w:tcW w:w="1520" w:type="dxa"/>
            <w:vAlign w:val="bottom"/>
          </w:tcPr>
          <w:p>
            <w:pPr>
              <w:spacing w:after="0"/>
              <w:rPr>
                <w:sz w:val="24"/>
                <w:szCs w:val="24"/>
                <w:color w:val="auto"/>
              </w:rPr>
            </w:pPr>
          </w:p>
        </w:tc>
        <w:tc>
          <w:tcPr>
            <w:tcW w:w="2180" w:type="dxa"/>
            <w:vAlign w:val="bottom"/>
          </w:tcPr>
          <w:p>
            <w:pPr>
              <w:jc w:val="center"/>
              <w:ind w:left="386"/>
              <w:spacing w:after="0"/>
              <w:rPr>
                <w:sz w:val="20"/>
                <w:szCs w:val="20"/>
                <w:color w:val="auto"/>
              </w:rPr>
            </w:pPr>
            <w:r>
              <w:rPr>
                <w:rFonts w:ascii="Arial" w:cs="Arial" w:eastAsia="Arial" w:hAnsi="Arial"/>
                <w:sz w:val="19"/>
                <w:szCs w:val="19"/>
                <w:b w:val="1"/>
                <w:bCs w:val="1"/>
                <w:color w:val="697D88"/>
                <w:w w:val="98"/>
              </w:rPr>
              <w:t>DXL Comparables</w:t>
            </w:r>
          </w:p>
        </w:tc>
        <w:tc>
          <w:tcPr>
            <w:tcW w:w="3220" w:type="dxa"/>
            <w:vAlign w:val="bottom"/>
            <w:gridSpan w:val="3"/>
          </w:tcPr>
          <w:p>
            <w:pPr>
              <w:jc w:val="right"/>
              <w:ind w:right="626"/>
              <w:spacing w:after="0"/>
              <w:rPr>
                <w:sz w:val="20"/>
                <w:szCs w:val="20"/>
                <w:color w:val="auto"/>
              </w:rPr>
            </w:pPr>
            <w:r>
              <w:rPr>
                <w:rFonts w:ascii="Arial" w:cs="Arial" w:eastAsia="Arial" w:hAnsi="Arial"/>
                <w:sz w:val="19"/>
                <w:szCs w:val="19"/>
                <w:b w:val="1"/>
                <w:bCs w:val="1"/>
                <w:color w:val="697D88"/>
              </w:rPr>
              <w:t>Total DXLG Comparables*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6940" w:type="dxa"/>
            <w:vAlign w:val="bottom"/>
          </w:tcPr>
          <w:p>
            <w:pPr>
              <w:spacing w:after="0"/>
              <w:rPr>
                <w:sz w:val="20"/>
                <w:szCs w:val="20"/>
                <w:color w:val="auto"/>
              </w:rPr>
            </w:pPr>
            <w:r>
              <w:rPr>
                <w:rFonts w:ascii="Arial" w:cs="Arial" w:eastAsia="Arial" w:hAnsi="Arial"/>
                <w:sz w:val="20"/>
                <w:szCs w:val="20"/>
                <w:color w:val="auto"/>
              </w:rPr>
              <w:t>*Total DXLG Comparables consist of all stores,</w:t>
            </w:r>
          </w:p>
        </w:tc>
        <w:tc>
          <w:tcPr>
            <w:tcW w:w="3300" w:type="dxa"/>
            <w:vAlign w:val="bottom"/>
            <w:vMerge w:val="restart"/>
          </w:tcPr>
          <w:p>
            <w:pPr>
              <w:jc w:val="right"/>
              <w:spacing w:after="0"/>
              <w:rPr>
                <w:sz w:val="20"/>
                <w:szCs w:val="20"/>
                <w:color w:val="auto"/>
              </w:rPr>
            </w:pPr>
            <w:r>
              <w:rPr>
                <w:rFonts w:ascii="Arial" w:cs="Arial" w:eastAsia="Arial" w:hAnsi="Arial"/>
                <w:sz w:val="19"/>
                <w:szCs w:val="19"/>
                <w:color w:val="898989"/>
              </w:rPr>
              <w:t>17</w:t>
            </w:r>
          </w:p>
        </w:tc>
        <w:tc>
          <w:tcPr>
            <w:tcW w:w="0" w:type="dxa"/>
            <w:vAlign w:val="bottom"/>
          </w:tcPr>
          <w:p>
            <w:pPr>
              <w:spacing w:after="0"/>
              <w:rPr>
                <w:sz w:val="1"/>
                <w:szCs w:val="1"/>
                <w:color w:val="auto"/>
              </w:rPr>
            </w:pPr>
          </w:p>
        </w:tc>
      </w:tr>
      <w:tr>
        <w:trPr>
          <w:trHeight w:val="168"/>
        </w:trPr>
        <w:tc>
          <w:tcPr>
            <w:tcW w:w="6940" w:type="dxa"/>
            <w:vAlign w:val="bottom"/>
            <w:vMerge w:val="restart"/>
          </w:tcPr>
          <w:p>
            <w:pPr>
              <w:spacing w:after="0"/>
              <w:rPr>
                <w:sz w:val="20"/>
                <w:szCs w:val="20"/>
                <w:color w:val="auto"/>
              </w:rPr>
            </w:pPr>
            <w:r>
              <w:rPr>
                <w:rFonts w:ascii="Arial" w:cs="Arial" w:eastAsia="Arial" w:hAnsi="Arial"/>
                <w:sz w:val="20"/>
                <w:szCs w:val="20"/>
                <w:color w:val="auto"/>
              </w:rPr>
              <w:t>including DXL stores and direct channel</w:t>
            </w: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694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560" w:top="854" w:right="899" w:bottom="1440" w:gutter="0" w:footer="0" w:header="0"/>
        </w:sectPr>
      </w:pPr>
    </w:p>
    <w:bookmarkStart w:id="26" w:name="page27"/>
    <w:bookmarkEnd w:id="26"/>
    <w:p>
      <w:pPr>
        <w:ind w:left="180"/>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Compelling DXL Returns</w:t>
      </w:r>
    </w:p>
    <w:p>
      <w:pPr>
        <w:sectPr>
          <w:pgSz w:w="11900" w:h="16838" w:orient="portrait"/>
          <w:cols w:equalWidth="0" w:num="1">
            <w:col w:w="10140"/>
          </w:cols>
          <w:pgMar w:left="860" w:top="1052" w:right="8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right="980"/>
        <w:spacing w:after="0" w:line="274" w:lineRule="auto"/>
        <w:rPr>
          <w:sz w:val="20"/>
          <w:szCs w:val="20"/>
          <w:color w:val="auto"/>
        </w:rPr>
      </w:pPr>
      <w:r>
        <w:rPr>
          <w:rFonts w:ascii="Arial" w:cs="Arial" w:eastAsia="Arial" w:hAnsi="Arial"/>
          <w:sz w:val="25"/>
          <w:szCs w:val="25"/>
          <w:b w:val="1"/>
          <w:bCs w:val="1"/>
          <w:color w:val="558ED5"/>
        </w:rPr>
        <w:t>Expect greater store productivity and profitability</w:t>
      </w:r>
    </w:p>
    <w:p>
      <w:pPr>
        <w:spacing w:after="0" w:line="296" w:lineRule="exact"/>
        <w:rPr>
          <w:sz w:val="20"/>
          <w:szCs w:val="20"/>
          <w:color w:val="auto"/>
        </w:rPr>
      </w:pPr>
    </w:p>
    <w:p>
      <w:pPr>
        <w:ind w:right="600"/>
        <w:spacing w:after="0" w:line="383" w:lineRule="auto"/>
        <w:rPr>
          <w:sz w:val="20"/>
          <w:szCs w:val="20"/>
          <w:color w:val="auto"/>
        </w:rPr>
      </w:pPr>
      <w:r>
        <w:rPr>
          <w:rFonts w:ascii="Arial" w:cs="Arial" w:eastAsia="Arial" w:hAnsi="Arial"/>
          <w:sz w:val="21"/>
          <w:szCs w:val="21"/>
          <w:b w:val="1"/>
          <w:bCs w:val="1"/>
          <w:color w:val="558ED5"/>
        </w:rPr>
        <w:t>Projecting higher 4-wall profits than combined profits of individual stores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60"/>
        <w:spacing w:after="0" w:line="284" w:lineRule="auto"/>
        <w:rPr>
          <w:sz w:val="20"/>
          <w:szCs w:val="20"/>
          <w:color w:val="auto"/>
        </w:rPr>
      </w:pPr>
      <w:r>
        <w:rPr>
          <w:rFonts w:ascii="Arial" w:cs="Arial" w:eastAsia="Arial" w:hAnsi="Arial"/>
          <w:sz w:val="25"/>
          <w:szCs w:val="25"/>
          <w:b w:val="1"/>
          <w:bCs w:val="1"/>
          <w:color w:val="558ED5"/>
        </w:rPr>
        <w:t>Potential to capture additional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558ED5"/>
        </w:rPr>
        <w:t>Opportunity to improve</w:t>
      </w:r>
    </w:p>
    <w:p>
      <w:pPr>
        <w:spacing w:after="0" w:line="35" w:lineRule="exact"/>
        <w:rPr>
          <w:sz w:val="20"/>
          <w:szCs w:val="20"/>
          <w:color w:val="auto"/>
        </w:rPr>
      </w:pPr>
    </w:p>
    <w:p>
      <w:pPr>
        <w:spacing w:after="0"/>
        <w:rPr>
          <w:sz w:val="20"/>
          <w:szCs w:val="20"/>
          <w:color w:val="auto"/>
        </w:rPr>
      </w:pPr>
      <w:r>
        <w:rPr>
          <w:rFonts w:ascii="Arial" w:cs="Arial" w:eastAsia="Arial" w:hAnsi="Arial"/>
          <w:sz w:val="25"/>
          <w:szCs w:val="25"/>
          <w:b w:val="1"/>
          <w:bCs w:val="1"/>
          <w:color w:val="558ED5"/>
        </w:rPr>
        <w:t>operating margins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Better leveraging of expenses --</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occupancy, labor productivity and</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local/district management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Targeting between 25%-30% store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operating margin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Attract new customers</w:t>
      </w:r>
    </w:p>
    <w:p>
      <w:pPr>
        <w:spacing w:after="0" w:line="100" w:lineRule="exact"/>
        <w:rPr>
          <w:sz w:val="20"/>
          <w:szCs w:val="20"/>
          <w:color w:val="auto"/>
        </w:rPr>
      </w:pPr>
    </w:p>
    <w:p>
      <w:pPr>
        <w:ind w:right="1820"/>
        <w:spacing w:after="0" w:line="304" w:lineRule="auto"/>
        <w:rPr>
          <w:sz w:val="20"/>
          <w:szCs w:val="20"/>
          <w:color w:val="auto"/>
        </w:rPr>
      </w:pPr>
      <w:r>
        <w:rPr>
          <w:rFonts w:ascii="Arial" w:cs="Arial" w:eastAsia="Arial" w:hAnsi="Arial"/>
          <w:sz w:val="20"/>
          <w:szCs w:val="20"/>
          <w:color w:val="auto"/>
        </w:rPr>
        <w:t>Better cross-selling environment to capture greater share of apparel wallet from existing customers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Expect to increase margins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significantly after the transition to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DXL is complete</w:t>
      </w:r>
    </w:p>
    <w:p>
      <w:pPr>
        <w:spacing w:after="0" w:line="200" w:lineRule="exact"/>
        <w:rPr>
          <w:sz w:val="20"/>
          <w:szCs w:val="20"/>
          <w:color w:val="auto"/>
        </w:rPr>
      </w:pPr>
    </w:p>
    <w:p>
      <w:pPr>
        <w:sectPr>
          <w:pgSz w:w="11900" w:h="16838" w:orient="portrait"/>
          <w:cols w:equalWidth="0" w:num="2">
            <w:col w:w="4460" w:space="720"/>
            <w:col w:w="4960"/>
          </w:cols>
          <w:pgMar w:left="86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940"/>
        <w:spacing w:after="0"/>
        <w:rPr>
          <w:sz w:val="20"/>
          <w:szCs w:val="20"/>
          <w:color w:val="auto"/>
        </w:rPr>
      </w:pPr>
      <w:r>
        <w:rPr>
          <w:rFonts w:ascii="Arial" w:cs="Arial" w:eastAsia="Arial" w:hAnsi="Arial"/>
          <w:sz w:val="17"/>
          <w:szCs w:val="17"/>
          <w:color w:val="898989"/>
        </w:rPr>
        <w:t>18</w:t>
      </w:r>
    </w:p>
    <w:p>
      <w:pPr>
        <w:sectPr>
          <w:pgSz w:w="11900" w:h="16838" w:orient="portrait"/>
          <w:cols w:equalWidth="0" w:num="1">
            <w:col w:w="10140"/>
          </w:cols>
          <w:pgMar w:left="860" w:top="1052" w:right="899" w:bottom="1440" w:gutter="0" w:footer="0" w:header="0"/>
          <w:type w:val="continuous"/>
        </w:sectPr>
      </w:pPr>
    </w:p>
    <w:bookmarkStart w:id="27" w:name="page28"/>
    <w:bookmarkEnd w:id="27"/>
    <w:p>
      <w:pPr>
        <w:ind w:left="480"/>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DXL Openings</w:t>
      </w:r>
    </w:p>
    <w:p>
      <w:pPr>
        <w:sectPr>
          <w:pgSz w:w="11900" w:h="16838" w:orient="portrait"/>
          <w:cols w:equalWidth="0" w:num="1">
            <w:col w:w="10160"/>
          </w:cols>
          <w:pgMar w:left="840" w:top="1052" w:right="8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500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450</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400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350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300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250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200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150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100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50</w:t>
      </w: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666699"/>
        </w:rPr>
        <w:t>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2015 Store Count Target</w:t>
      </w:r>
    </w:p>
    <w:p>
      <w:pPr>
        <w:spacing w:after="0" w:line="263" w:lineRule="exact"/>
        <w:rPr>
          <w:sz w:val="20"/>
          <w:szCs w:val="20"/>
          <w:color w:val="auto"/>
        </w:rPr>
      </w:pPr>
    </w:p>
    <w:tbl>
      <w:tblPr>
        <w:tblLayout w:type="fixed"/>
        <w:tblInd w:w="5640" w:type="dxa"/>
        <w:tblCellMar>
          <w:top w:w="0" w:type="dxa"/>
          <w:left w:w="0" w:type="dxa"/>
          <w:bottom w:w="0" w:type="dxa"/>
          <w:right w:w="0" w:type="dxa"/>
        </w:tblCellMar>
      </w:tblPr>
      <w:tr>
        <w:trPr>
          <w:trHeight w:val="353"/>
        </w:trPr>
        <w:tc>
          <w:tcPr>
            <w:tcW w:w="1700" w:type="dxa"/>
            <w:vAlign w:val="bottom"/>
          </w:tcPr>
          <w:p>
            <w:pPr>
              <w:jc w:val="center"/>
              <w:ind w:right="66"/>
              <w:spacing w:after="0"/>
              <w:rPr>
                <w:sz w:val="20"/>
                <w:szCs w:val="20"/>
                <w:color w:val="auto"/>
              </w:rPr>
            </w:pPr>
            <w:r>
              <w:rPr>
                <w:rFonts w:ascii="Arial" w:cs="Arial" w:eastAsia="Arial" w:hAnsi="Arial"/>
                <w:sz w:val="19"/>
                <w:szCs w:val="19"/>
                <w:color w:val="auto"/>
                <w:w w:val="89"/>
              </w:rPr>
              <w:t>Destination XL</w:t>
            </w:r>
            <w:r>
              <w:rPr>
                <w:rFonts w:ascii="Arial" w:cs="Arial" w:eastAsia="Arial" w:hAnsi="Arial"/>
                <w:sz w:val="25"/>
                <w:szCs w:val="25"/>
                <w:color w:val="auto"/>
                <w:w w:val="89"/>
                <w:vertAlign w:val="superscript"/>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215-230</w:t>
            </w:r>
          </w:p>
        </w:tc>
        <w:tc>
          <w:tcPr>
            <w:tcW w:w="0" w:type="dxa"/>
            <w:vAlign w:val="bottom"/>
          </w:tcPr>
          <w:p>
            <w:pPr>
              <w:spacing w:after="0"/>
              <w:rPr>
                <w:sz w:val="1"/>
                <w:szCs w:val="1"/>
                <w:color w:val="auto"/>
              </w:rPr>
            </w:pPr>
          </w:p>
        </w:tc>
      </w:tr>
      <w:tr>
        <w:trPr>
          <w:trHeight w:val="276"/>
        </w:trPr>
        <w:tc>
          <w:tcPr>
            <w:tcW w:w="1700" w:type="dxa"/>
            <w:vAlign w:val="bottom"/>
          </w:tcPr>
          <w:p>
            <w:pPr>
              <w:jc w:val="center"/>
              <w:ind w:right="46"/>
              <w:spacing w:after="0"/>
              <w:rPr>
                <w:sz w:val="20"/>
                <w:szCs w:val="20"/>
                <w:color w:val="auto"/>
              </w:rPr>
            </w:pPr>
            <w:r>
              <w:rPr>
                <w:rFonts w:ascii="Arial" w:cs="Arial" w:eastAsia="Arial" w:hAnsi="Arial"/>
                <w:sz w:val="19"/>
                <w:szCs w:val="19"/>
                <w:color w:val="auto"/>
                <w:w w:val="92"/>
              </w:rPr>
              <w:t>Casual Male XL</w:t>
            </w:r>
          </w:p>
        </w:tc>
        <w:tc>
          <w:tcPr>
            <w:tcW w:w="86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134"/>
        </w:trPr>
        <w:tc>
          <w:tcPr>
            <w:tcW w:w="1700" w:type="dxa"/>
            <w:vAlign w:val="bottom"/>
            <w:vMerge w:val="restart"/>
          </w:tcPr>
          <w:p>
            <w:pPr>
              <w:jc w:val="center"/>
              <w:ind w:right="106"/>
              <w:spacing w:after="0"/>
              <w:rPr>
                <w:sz w:val="20"/>
                <w:szCs w:val="20"/>
                <w:color w:val="auto"/>
              </w:rPr>
            </w:pPr>
            <w:r>
              <w:rPr>
                <w:rFonts w:ascii="Arial" w:cs="Arial" w:eastAsia="Arial" w:hAnsi="Arial"/>
                <w:sz w:val="19"/>
                <w:szCs w:val="19"/>
                <w:color w:val="auto"/>
                <w:w w:val="90"/>
              </w:rPr>
              <w:t>Outlet</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1700" w:type="dxa"/>
            <w:vAlign w:val="bottom"/>
          </w:tcPr>
          <w:p>
            <w:pPr>
              <w:spacing w:after="0"/>
              <w:rPr>
                <w:sz w:val="20"/>
                <w:szCs w:val="20"/>
                <w:color w:val="auto"/>
              </w:rPr>
            </w:pPr>
            <w:r>
              <w:rPr>
                <w:rFonts w:ascii="Arial" w:cs="Arial" w:eastAsia="Arial" w:hAnsi="Arial"/>
                <w:sz w:val="19"/>
                <w:szCs w:val="19"/>
                <w:color w:val="auto"/>
              </w:rPr>
              <w:t>Rochester Clothing</w:t>
            </w:r>
          </w:p>
        </w:tc>
        <w:tc>
          <w:tcPr>
            <w:tcW w:w="860" w:type="dxa"/>
            <w:vAlign w:val="bottom"/>
          </w:tcPr>
          <w:p>
            <w:pPr>
              <w:jc w:val="right"/>
              <w:ind w:right="186"/>
              <w:spacing w:after="0"/>
              <w:rPr>
                <w:sz w:val="20"/>
                <w:szCs w:val="20"/>
                <w:color w:val="auto"/>
              </w:rPr>
            </w:pPr>
            <w:r>
              <w:rPr>
                <w:rFonts w:ascii="Arial" w:cs="Arial" w:eastAsia="Arial" w:hAnsi="Arial"/>
                <w:sz w:val="19"/>
                <w:szCs w:val="19"/>
                <w:b w:val="1"/>
                <w:b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180" w:val="left"/>
          <w:tab w:leader="none" w:pos="2360" w:val="left"/>
          <w:tab w:leader="none" w:pos="3560" w:val="left"/>
          <w:tab w:leader="none" w:pos="4740" w:val="left"/>
          <w:tab w:leader="none" w:pos="5940" w:val="left"/>
        </w:tabs>
        <w:rPr>
          <w:sz w:val="20"/>
          <w:szCs w:val="20"/>
          <w:color w:val="auto"/>
        </w:rPr>
      </w:pPr>
      <w:r>
        <w:rPr>
          <w:rFonts w:ascii="Arial" w:cs="Arial" w:eastAsia="Arial" w:hAnsi="Arial"/>
          <w:sz w:val="19"/>
          <w:szCs w:val="19"/>
          <w:b w:val="1"/>
          <w:bCs w:val="1"/>
          <w:color w:val="666699"/>
        </w:rPr>
        <w:t>2010</w:t>
      </w:r>
      <w:r>
        <w:rPr>
          <w:sz w:val="20"/>
          <w:szCs w:val="20"/>
          <w:color w:val="auto"/>
        </w:rPr>
        <w:tab/>
      </w:r>
      <w:r>
        <w:rPr>
          <w:rFonts w:ascii="Arial" w:cs="Arial" w:eastAsia="Arial" w:hAnsi="Arial"/>
          <w:sz w:val="19"/>
          <w:szCs w:val="19"/>
          <w:b w:val="1"/>
          <w:bCs w:val="1"/>
          <w:color w:val="666699"/>
        </w:rPr>
        <w:t>2011</w:t>
      </w:r>
      <w:r>
        <w:rPr>
          <w:sz w:val="20"/>
          <w:szCs w:val="20"/>
          <w:color w:val="auto"/>
        </w:rPr>
        <w:tab/>
      </w:r>
      <w:r>
        <w:rPr>
          <w:rFonts w:ascii="Arial" w:cs="Arial" w:eastAsia="Arial" w:hAnsi="Arial"/>
          <w:sz w:val="19"/>
          <w:szCs w:val="19"/>
          <w:b w:val="1"/>
          <w:bCs w:val="1"/>
          <w:color w:val="666699"/>
        </w:rPr>
        <w:t>2012</w:t>
      </w:r>
      <w:r>
        <w:rPr>
          <w:sz w:val="20"/>
          <w:szCs w:val="20"/>
          <w:color w:val="auto"/>
        </w:rPr>
        <w:tab/>
      </w:r>
      <w:r>
        <w:rPr>
          <w:rFonts w:ascii="Arial" w:cs="Arial" w:eastAsia="Arial" w:hAnsi="Arial"/>
          <w:sz w:val="19"/>
          <w:szCs w:val="19"/>
          <w:b w:val="1"/>
          <w:bCs w:val="1"/>
          <w:color w:val="666699"/>
        </w:rPr>
        <w:t>2013</w:t>
      </w:r>
      <w:r>
        <w:rPr>
          <w:sz w:val="20"/>
          <w:szCs w:val="20"/>
          <w:color w:val="auto"/>
        </w:rPr>
        <w:tab/>
      </w:r>
      <w:r>
        <w:rPr>
          <w:rFonts w:ascii="Arial" w:cs="Arial" w:eastAsia="Arial" w:hAnsi="Arial"/>
          <w:sz w:val="19"/>
          <w:szCs w:val="19"/>
          <w:b w:val="1"/>
          <w:bCs w:val="1"/>
          <w:color w:val="666699"/>
        </w:rPr>
        <w:t>2014</w:t>
      </w:r>
      <w:r>
        <w:rPr>
          <w:sz w:val="20"/>
          <w:szCs w:val="20"/>
          <w:color w:val="auto"/>
        </w:rPr>
        <w:tab/>
      </w:r>
      <w:r>
        <w:rPr>
          <w:rFonts w:ascii="Arial" w:cs="Arial" w:eastAsia="Arial" w:hAnsi="Arial"/>
          <w:sz w:val="18"/>
          <w:szCs w:val="18"/>
          <w:b w:val="1"/>
          <w:bCs w:val="1"/>
          <w:color w:val="666699"/>
        </w:rPr>
        <w:t>2015</w:t>
      </w:r>
    </w:p>
    <w:p>
      <w:pPr>
        <w:spacing w:after="0" w:line="180" w:lineRule="exact"/>
        <w:rPr>
          <w:sz w:val="20"/>
          <w:szCs w:val="20"/>
          <w:color w:val="auto"/>
        </w:rPr>
      </w:pPr>
    </w:p>
    <w:p>
      <w:pPr>
        <w:sectPr>
          <w:pgSz w:w="11900" w:h="16838" w:orient="portrait"/>
          <w:cols w:equalWidth="0" w:num="2">
            <w:col w:w="800" w:space="540"/>
            <w:col w:w="8820"/>
          </w:cols>
          <w:pgMar w:left="840" w:top="1052" w:right="89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Total Stores:</w:t>
            </w:r>
          </w:p>
        </w:tc>
        <w:tc>
          <w:tcPr>
            <w:tcW w:w="960" w:type="dxa"/>
            <w:vAlign w:val="bottom"/>
          </w:tcPr>
          <w:p>
            <w:pPr>
              <w:jc w:val="right"/>
              <w:ind w:right="286"/>
              <w:spacing w:after="0"/>
              <w:rPr>
                <w:sz w:val="20"/>
                <w:szCs w:val="20"/>
                <w:color w:val="auto"/>
              </w:rPr>
            </w:pPr>
            <w:r>
              <w:rPr>
                <w:rFonts w:ascii="Arial" w:cs="Arial" w:eastAsia="Arial" w:hAnsi="Arial"/>
                <w:sz w:val="19"/>
                <w:szCs w:val="19"/>
                <w:color w:val="auto"/>
              </w:rPr>
              <w:t>(460)</w:t>
            </w:r>
          </w:p>
        </w:tc>
        <w:tc>
          <w:tcPr>
            <w:tcW w:w="1200" w:type="dxa"/>
            <w:vAlign w:val="bottom"/>
          </w:tcPr>
          <w:p>
            <w:pPr>
              <w:jc w:val="right"/>
              <w:ind w:right="306"/>
              <w:spacing w:after="0"/>
              <w:rPr>
                <w:sz w:val="20"/>
                <w:szCs w:val="20"/>
                <w:color w:val="auto"/>
              </w:rPr>
            </w:pPr>
            <w:r>
              <w:rPr>
                <w:rFonts w:ascii="Arial" w:cs="Arial" w:eastAsia="Arial" w:hAnsi="Arial"/>
                <w:sz w:val="19"/>
                <w:szCs w:val="19"/>
                <w:color w:val="auto"/>
              </w:rPr>
              <w:t>(450)</w:t>
            </w:r>
          </w:p>
        </w:tc>
        <w:tc>
          <w:tcPr>
            <w:tcW w:w="1140" w:type="dxa"/>
            <w:vAlign w:val="bottom"/>
          </w:tcPr>
          <w:p>
            <w:pPr>
              <w:jc w:val="right"/>
              <w:ind w:right="226"/>
              <w:spacing w:after="0"/>
              <w:rPr>
                <w:sz w:val="20"/>
                <w:szCs w:val="20"/>
                <w:color w:val="auto"/>
              </w:rPr>
            </w:pPr>
            <w:r>
              <w:rPr>
                <w:rFonts w:ascii="Arial" w:cs="Arial" w:eastAsia="Arial" w:hAnsi="Arial"/>
                <w:sz w:val="19"/>
                <w:szCs w:val="19"/>
                <w:color w:val="auto"/>
              </w:rPr>
              <w:t>(412)</w:t>
            </w: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(348-358)</w:t>
            </w:r>
          </w:p>
        </w:tc>
        <w:tc>
          <w:tcPr>
            <w:tcW w:w="1180" w:type="dxa"/>
            <w:vAlign w:val="bottom"/>
          </w:tcPr>
          <w:p>
            <w:pPr>
              <w:jc w:val="right"/>
              <w:ind w:right="106"/>
              <w:spacing w:after="0"/>
              <w:rPr>
                <w:sz w:val="20"/>
                <w:szCs w:val="20"/>
                <w:color w:val="auto"/>
              </w:rPr>
            </w:pPr>
            <w:r>
              <w:rPr>
                <w:rFonts w:ascii="Arial" w:cs="Arial" w:eastAsia="Arial" w:hAnsi="Arial"/>
                <w:sz w:val="19"/>
                <w:szCs w:val="19"/>
                <w:color w:val="auto"/>
              </w:rPr>
              <w:t>(308-318)</w:t>
            </w:r>
          </w:p>
        </w:tc>
        <w:tc>
          <w:tcPr>
            <w:tcW w:w="940" w:type="dxa"/>
            <w:vAlign w:val="bottom"/>
          </w:tcPr>
          <w:p>
            <w:pPr>
              <w:jc w:val="right"/>
              <w:spacing w:after="0"/>
              <w:rPr>
                <w:sz w:val="20"/>
                <w:szCs w:val="20"/>
                <w:color w:val="auto"/>
              </w:rPr>
            </w:pPr>
            <w:r>
              <w:rPr>
                <w:rFonts w:ascii="Arial" w:cs="Arial" w:eastAsia="Arial" w:hAnsi="Arial"/>
                <w:sz w:val="19"/>
                <w:szCs w:val="19"/>
                <w:color w:val="auto"/>
              </w:rPr>
              <w:t>(283-298)</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0"/>
        <w:spacing w:after="0"/>
        <w:rPr>
          <w:sz w:val="20"/>
          <w:szCs w:val="20"/>
          <w:color w:val="auto"/>
        </w:rPr>
      </w:pPr>
      <w:r>
        <w:rPr>
          <w:rFonts w:ascii="Arial" w:cs="Arial" w:eastAsia="Arial" w:hAnsi="Arial"/>
          <w:sz w:val="28"/>
          <w:szCs w:val="28"/>
          <w:color w:val="auto"/>
        </w:rPr>
        <w:t>Accelerated rollout based on</w:t>
      </w:r>
    </w:p>
    <w:p>
      <w:pPr>
        <w:jc w:val="right"/>
        <w:spacing w:after="0" w:line="190" w:lineRule="auto"/>
        <w:rPr>
          <w:sz w:val="20"/>
          <w:szCs w:val="20"/>
          <w:color w:val="auto"/>
        </w:rPr>
      </w:pPr>
      <w:r>
        <w:rPr>
          <w:rFonts w:ascii="Arial" w:cs="Arial" w:eastAsia="Arial" w:hAnsi="Arial"/>
          <w:sz w:val="13"/>
          <w:szCs w:val="13"/>
          <w:color w:val="898989"/>
        </w:rPr>
        <w:t>19</w:t>
      </w:r>
    </w:p>
    <w:p>
      <w:pPr>
        <w:ind w:left="720"/>
        <w:spacing w:after="0"/>
        <w:rPr>
          <w:sz w:val="20"/>
          <w:szCs w:val="20"/>
          <w:color w:val="auto"/>
        </w:rPr>
      </w:pPr>
      <w:r>
        <w:rPr>
          <w:rFonts w:ascii="Arial" w:cs="Arial" w:eastAsia="Arial" w:hAnsi="Arial"/>
          <w:sz w:val="28"/>
          <w:szCs w:val="28"/>
          <w:color w:val="auto"/>
        </w:rPr>
        <w:t>success of DXL stores in 2011</w:t>
      </w:r>
    </w:p>
    <w:p>
      <w:pPr>
        <w:sectPr>
          <w:pgSz w:w="11900" w:h="16838" w:orient="portrait"/>
          <w:cols w:equalWidth="0" w:num="1">
            <w:col w:w="10160"/>
          </w:cols>
          <w:pgMar w:left="840" w:top="1052" w:right="8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51"/>
          <w:szCs w:val="51"/>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Sales Increase as % of Total Revenue</w:t>
      </w:r>
    </w:p>
    <w:p>
      <w:pPr>
        <w:spacing w:after="0" w:line="200" w:lineRule="exact"/>
        <w:rPr>
          <w:sz w:val="20"/>
          <w:szCs w:val="20"/>
          <w:color w:val="auto"/>
        </w:rPr>
      </w:pPr>
    </w:p>
    <w:p>
      <w:pPr>
        <w:spacing w:after="0" w:line="268" w:lineRule="exact"/>
        <w:rPr>
          <w:sz w:val="20"/>
          <w:szCs w:val="20"/>
          <w:color w:val="auto"/>
        </w:rPr>
      </w:pPr>
    </w:p>
    <w:tbl>
      <w:tblPr>
        <w:tblLayout w:type="fixed"/>
        <w:tblInd w:w="440" w:type="dxa"/>
        <w:tblCellMar>
          <w:top w:w="0" w:type="dxa"/>
          <w:left w:w="0" w:type="dxa"/>
          <w:bottom w:w="0" w:type="dxa"/>
          <w:right w:w="0" w:type="dxa"/>
        </w:tblCellMar>
      </w:tblPr>
      <w:tr>
        <w:trPr>
          <w:trHeight w:val="250"/>
        </w:trPr>
        <w:tc>
          <w:tcPr>
            <w:tcW w:w="3060" w:type="dxa"/>
            <w:vAlign w:val="bottom"/>
          </w:tcPr>
          <w:p>
            <w:pPr>
              <w:jc w:val="right"/>
              <w:ind w:right="2486"/>
              <w:spacing w:after="0"/>
              <w:rPr>
                <w:sz w:val="20"/>
                <w:szCs w:val="20"/>
                <w:color w:val="auto"/>
              </w:rPr>
            </w:pPr>
            <w:r>
              <w:rPr>
                <w:rFonts w:ascii="Arial" w:cs="Arial" w:eastAsia="Arial" w:hAnsi="Arial"/>
                <w:sz w:val="19"/>
                <w:szCs w:val="19"/>
                <w:b w:val="1"/>
                <w:bCs w:val="1"/>
                <w:color w:val="666699"/>
                <w:w w:val="94"/>
              </w:rPr>
              <w:t>100%</w:t>
            </w:r>
          </w:p>
        </w:tc>
        <w:tc>
          <w:tcPr>
            <w:tcW w:w="5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60" w:type="dxa"/>
            <w:vAlign w:val="bottom"/>
            <w:vMerge w:val="restart"/>
          </w:tcPr>
          <w:p>
            <w:pPr>
              <w:jc w:val="right"/>
              <w:ind w:right="2486"/>
              <w:spacing w:after="0"/>
              <w:rPr>
                <w:sz w:val="20"/>
                <w:szCs w:val="20"/>
                <w:color w:val="auto"/>
              </w:rPr>
            </w:pPr>
            <w:r>
              <w:rPr>
                <w:rFonts w:ascii="Arial" w:cs="Arial" w:eastAsia="Arial" w:hAnsi="Arial"/>
                <w:sz w:val="19"/>
                <w:szCs w:val="19"/>
                <w:b w:val="1"/>
                <w:bCs w:val="1"/>
                <w:color w:val="666699"/>
              </w:rPr>
              <w:t>90%</w:t>
            </w:r>
          </w:p>
        </w:tc>
        <w:tc>
          <w:tcPr>
            <w:tcW w:w="5240" w:type="dxa"/>
            <w:vAlign w:val="bottom"/>
          </w:tcPr>
          <w:p>
            <w:pPr>
              <w:jc w:val="right"/>
              <w:spacing w:after="0"/>
              <w:rPr>
                <w:sz w:val="20"/>
                <w:szCs w:val="20"/>
                <w:color w:val="auto"/>
              </w:rPr>
            </w:pPr>
            <w:r>
              <w:rPr>
                <w:rFonts w:ascii="Arial" w:cs="Arial" w:eastAsia="Arial" w:hAnsi="Arial"/>
                <w:sz w:val="19"/>
                <w:szCs w:val="19"/>
                <w:b w:val="1"/>
                <w:bCs w:val="1"/>
                <w:color w:val="666699"/>
              </w:rPr>
              <w:t>89%</w:t>
            </w:r>
          </w:p>
        </w:tc>
        <w:tc>
          <w:tcPr>
            <w:tcW w:w="0" w:type="dxa"/>
            <w:vAlign w:val="bottom"/>
          </w:tcPr>
          <w:p>
            <w:pPr>
              <w:spacing w:after="0"/>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5240" w:type="dxa"/>
            <w:vAlign w:val="bottom"/>
            <w:vMerge w:val="restart"/>
          </w:tcPr>
          <w:p>
            <w:pPr>
              <w:jc w:val="right"/>
              <w:ind w:right="1066"/>
              <w:spacing w:after="0" w:line="212" w:lineRule="exact"/>
              <w:rPr>
                <w:sz w:val="20"/>
                <w:szCs w:val="20"/>
                <w:color w:val="auto"/>
              </w:rPr>
            </w:pPr>
            <w:r>
              <w:rPr>
                <w:rFonts w:ascii="Arial" w:cs="Arial" w:eastAsia="Arial" w:hAnsi="Arial"/>
                <w:sz w:val="19"/>
                <w:szCs w:val="19"/>
                <w:b w:val="1"/>
                <w:bCs w:val="1"/>
                <w:color w:val="666699"/>
              </w:rPr>
              <w:t>84%</w:t>
            </w:r>
          </w:p>
        </w:tc>
        <w:tc>
          <w:tcPr>
            <w:tcW w:w="0" w:type="dxa"/>
            <w:vAlign w:val="bottom"/>
          </w:tcPr>
          <w:p>
            <w:pPr>
              <w:spacing w:after="0"/>
              <w:rPr>
                <w:sz w:val="1"/>
                <w:szCs w:val="1"/>
                <w:color w:val="auto"/>
              </w:rPr>
            </w:pPr>
          </w:p>
        </w:tc>
      </w:tr>
      <w:tr>
        <w:trPr>
          <w:trHeight w:val="55"/>
        </w:trPr>
        <w:tc>
          <w:tcPr>
            <w:tcW w:w="306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060" w:type="dxa"/>
            <w:vAlign w:val="bottom"/>
            <w:vMerge w:val="restart"/>
          </w:tcPr>
          <w:p>
            <w:pPr>
              <w:jc w:val="right"/>
              <w:ind w:right="2486"/>
              <w:spacing w:after="0"/>
              <w:rPr>
                <w:sz w:val="20"/>
                <w:szCs w:val="20"/>
                <w:color w:val="auto"/>
              </w:rPr>
            </w:pPr>
            <w:r>
              <w:rPr>
                <w:rFonts w:ascii="Arial" w:cs="Arial" w:eastAsia="Arial" w:hAnsi="Arial"/>
                <w:sz w:val="19"/>
                <w:szCs w:val="19"/>
                <w:b w:val="1"/>
                <w:bCs w:val="1"/>
                <w:color w:val="666699"/>
              </w:rPr>
              <w:t>80%</w:t>
            </w:r>
          </w:p>
        </w:tc>
        <w:tc>
          <w:tcPr>
            <w:tcW w:w="5240" w:type="dxa"/>
            <w:vAlign w:val="bottom"/>
          </w:tcPr>
          <w:p>
            <w:pPr>
              <w:jc w:val="right"/>
              <w:ind w:right="2206"/>
              <w:spacing w:after="0"/>
              <w:rPr>
                <w:sz w:val="20"/>
                <w:szCs w:val="20"/>
                <w:color w:val="auto"/>
              </w:rPr>
            </w:pPr>
            <w:r>
              <w:rPr>
                <w:rFonts w:ascii="Arial" w:cs="Arial" w:eastAsia="Arial" w:hAnsi="Arial"/>
                <w:sz w:val="19"/>
                <w:szCs w:val="19"/>
                <w:b w:val="1"/>
                <w:bCs w:val="1"/>
                <w:color w:val="666699"/>
              </w:rPr>
              <w:t>79%</w:t>
            </w:r>
          </w:p>
        </w:tc>
        <w:tc>
          <w:tcPr>
            <w:tcW w:w="0" w:type="dxa"/>
            <w:vAlign w:val="bottom"/>
          </w:tcPr>
          <w:p>
            <w:pPr>
              <w:spacing w:after="0"/>
              <w:rPr>
                <w:sz w:val="1"/>
                <w:szCs w:val="1"/>
                <w:color w:val="auto"/>
              </w:rPr>
            </w:pPr>
          </w:p>
        </w:tc>
      </w:tr>
      <w:tr>
        <w:trPr>
          <w:trHeight w:val="141"/>
        </w:trPr>
        <w:tc>
          <w:tcPr>
            <w:tcW w:w="3060" w:type="dxa"/>
            <w:vAlign w:val="bottom"/>
            <w:vMerge w:val="continue"/>
          </w:tcPr>
          <w:p>
            <w:pPr>
              <w:spacing w:after="0"/>
              <w:rPr>
                <w:sz w:val="12"/>
                <w:szCs w:val="12"/>
                <w:color w:val="auto"/>
              </w:rPr>
            </w:pPr>
          </w:p>
        </w:tc>
        <w:tc>
          <w:tcPr>
            <w:tcW w:w="5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70%</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60%</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color w:val="666699"/>
        </w:rPr>
        <w:t>49%</w:t>
      </w:r>
    </w:p>
    <w:p>
      <w:pPr>
        <w:ind w:left="540"/>
        <w:spacing w:after="0"/>
        <w:rPr>
          <w:sz w:val="20"/>
          <w:szCs w:val="20"/>
          <w:color w:val="auto"/>
        </w:rPr>
      </w:pPr>
      <w:r>
        <w:rPr>
          <w:rFonts w:ascii="Arial" w:cs="Arial" w:eastAsia="Arial" w:hAnsi="Arial"/>
          <w:sz w:val="19"/>
          <w:szCs w:val="19"/>
          <w:b w:val="1"/>
          <w:bCs w:val="1"/>
          <w:color w:val="666699"/>
        </w:rPr>
        <w:t>50%</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40%</w:t>
      </w:r>
    </w:p>
    <w:p>
      <w:pPr>
        <w:spacing w:after="0" w:line="34"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666699"/>
        </w:rPr>
        <w:t>30%</w:t>
      </w:r>
    </w:p>
    <w:tbl>
      <w:tblPr>
        <w:tblLayout w:type="fixed"/>
        <w:tblInd w:w="540" w:type="dxa"/>
        <w:tblCellMar>
          <w:top w:w="0" w:type="dxa"/>
          <w:left w:w="0" w:type="dxa"/>
          <w:bottom w:w="0" w:type="dxa"/>
          <w:right w:w="0" w:type="dxa"/>
        </w:tblCellMar>
      </w:tblPr>
      <w:tr>
        <w:trPr>
          <w:trHeight w:val="250"/>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30%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20%</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10%</w:t>
            </w:r>
          </w:p>
        </w:tc>
        <w:tc>
          <w:tcPr>
            <w:tcW w:w="1160" w:type="dxa"/>
            <w:vAlign w:val="bottom"/>
            <w:vMerge w:val="restart"/>
          </w:tcPr>
          <w:p>
            <w:pPr>
              <w:jc w:val="right"/>
              <w:ind w:right="346"/>
              <w:spacing w:after="0"/>
              <w:rPr>
                <w:sz w:val="20"/>
                <w:szCs w:val="20"/>
                <w:color w:val="auto"/>
              </w:rPr>
            </w:pPr>
            <w:r>
              <w:rPr>
                <w:rFonts w:ascii="Arial" w:cs="Arial" w:eastAsia="Arial" w:hAnsi="Arial"/>
                <w:sz w:val="19"/>
                <w:szCs w:val="19"/>
                <w:b w:val="1"/>
                <w:bCs w:val="1"/>
                <w:color w:val="666699"/>
              </w:rPr>
              <w:t>4%</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680" w:type="dxa"/>
            <w:vAlign w:val="bottom"/>
            <w:vMerge w:val="restart"/>
          </w:tcPr>
          <w:p>
            <w:pPr>
              <w:jc w:val="right"/>
              <w:ind w:right="346"/>
              <w:spacing w:after="0"/>
              <w:rPr>
                <w:sz w:val="20"/>
                <w:szCs w:val="20"/>
                <w:color w:val="auto"/>
              </w:rPr>
            </w:pPr>
            <w:r>
              <w:rPr>
                <w:rFonts w:ascii="Arial" w:cs="Arial" w:eastAsia="Arial" w:hAnsi="Arial"/>
                <w:sz w:val="19"/>
                <w:szCs w:val="19"/>
                <w:b w:val="1"/>
                <w:bCs w:val="1"/>
                <w:color w:val="666699"/>
              </w:rPr>
              <w:t>1%</w:t>
            </w:r>
          </w:p>
        </w:tc>
        <w:tc>
          <w:tcPr>
            <w:tcW w:w="11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6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680" w:type="dxa"/>
            <w:vAlign w:val="bottom"/>
          </w:tcPr>
          <w:p>
            <w:pPr>
              <w:jc w:val="right"/>
              <w:ind w:right="1226"/>
              <w:spacing w:after="0"/>
              <w:rPr>
                <w:sz w:val="20"/>
                <w:szCs w:val="20"/>
                <w:color w:val="auto"/>
              </w:rPr>
            </w:pPr>
            <w:r>
              <w:rPr>
                <w:rFonts w:ascii="Arial" w:cs="Arial" w:eastAsia="Arial" w:hAnsi="Arial"/>
                <w:sz w:val="19"/>
                <w:szCs w:val="19"/>
                <w:b w:val="1"/>
                <w:bCs w:val="1"/>
                <w:color w:val="666699"/>
              </w:rPr>
              <w:t>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2010</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666699"/>
              </w:rPr>
              <w:t>2011</w:t>
            </w:r>
          </w:p>
        </w:tc>
        <w:tc>
          <w:tcPr>
            <w:tcW w:w="114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2012</w:t>
            </w:r>
          </w:p>
        </w:tc>
        <w:tc>
          <w:tcPr>
            <w:tcW w:w="116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2013</w:t>
            </w:r>
          </w:p>
        </w:tc>
        <w:tc>
          <w:tcPr>
            <w:tcW w:w="114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2014</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666699"/>
              </w:rPr>
              <w:t>2015</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666699"/>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322"/>
        </w:trPr>
        <w:tc>
          <w:tcPr>
            <w:tcW w:w="8040" w:type="dxa"/>
            <w:vAlign w:val="bottom"/>
          </w:tcPr>
          <w:p>
            <w:pPr>
              <w:spacing w:after="0"/>
              <w:rPr>
                <w:sz w:val="20"/>
                <w:szCs w:val="20"/>
                <w:color w:val="auto"/>
              </w:rPr>
            </w:pPr>
            <w:r>
              <w:rPr>
                <w:rFonts w:ascii="Arial" w:cs="Arial" w:eastAsia="Arial" w:hAnsi="Arial"/>
                <w:sz w:val="22"/>
                <w:szCs w:val="22"/>
                <w:color w:val="auto"/>
              </w:rPr>
              <w:t>* DXL sales include direct sales via the DestinationXL.com website.</w:t>
            </w:r>
          </w:p>
        </w:tc>
        <w:tc>
          <w:tcPr>
            <w:tcW w:w="2100" w:type="dxa"/>
            <w:vAlign w:val="bottom"/>
          </w:tcPr>
          <w:p>
            <w:pPr>
              <w:jc w:val="right"/>
              <w:spacing w:after="0"/>
              <w:rPr>
                <w:sz w:val="20"/>
                <w:szCs w:val="20"/>
                <w:color w:val="auto"/>
              </w:rPr>
            </w:pPr>
            <w:r>
              <w:rPr>
                <w:rFonts w:ascii="Arial" w:cs="Arial" w:eastAsia="Arial" w:hAnsi="Arial"/>
                <w:sz w:val="19"/>
                <w:szCs w:val="19"/>
                <w:color w:val="898989"/>
              </w:rPr>
              <w:t>20</w:t>
            </w:r>
          </w:p>
        </w:tc>
      </w:tr>
    </w:tbl>
    <w:p>
      <w:pPr>
        <w:sectPr>
          <w:pgSz w:w="11900" w:h="16838" w:orient="portrait"/>
          <w:cols w:equalWidth="0" w:num="1">
            <w:col w:w="10520"/>
          </w:cols>
          <w:pgMar w:left="480" w:top="1112" w:right="899" w:bottom="1440" w:gutter="0" w:footer="0" w:header="0"/>
        </w:sectPr>
      </w:pPr>
    </w:p>
    <w:bookmarkStart w:id="29" w:name="page30"/>
    <w:bookmarkEnd w:id="2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40"/>
        <w:spacing w:after="0"/>
        <w:rPr>
          <w:sz w:val="20"/>
          <w:szCs w:val="20"/>
          <w:color w:val="auto"/>
        </w:rPr>
      </w:pPr>
      <w:r>
        <w:rPr>
          <w:rFonts w:ascii="Arial" w:cs="Arial" w:eastAsia="Arial" w:hAnsi="Arial"/>
          <w:sz w:val="28"/>
          <w:szCs w:val="28"/>
          <w:b w:val="1"/>
          <w:bCs w:val="1"/>
          <w:color w:val="auto"/>
        </w:rPr>
        <w:t>2012</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Opened </w:t>
      </w:r>
      <w:r>
        <w:rPr>
          <w:rFonts w:ascii="Arial" w:cs="Arial" w:eastAsia="Arial" w:hAnsi="Arial"/>
          <w:sz w:val="22"/>
          <w:szCs w:val="22"/>
          <w:b w:val="1"/>
          <w:bCs w:val="1"/>
          <w:color w:val="auto"/>
        </w:rPr>
        <w:t>32</w:t>
      </w:r>
      <w:r>
        <w:rPr>
          <w:rFonts w:ascii="Arial" w:cs="Arial" w:eastAsia="Arial" w:hAnsi="Arial"/>
          <w:sz w:val="22"/>
          <w:szCs w:val="22"/>
          <w:color w:val="auto"/>
        </w:rPr>
        <w:t xml:space="preserve"> DXL stores / Closed </w:t>
      </w:r>
      <w:r>
        <w:rPr>
          <w:rFonts w:ascii="Arial" w:cs="Arial" w:eastAsia="Arial" w:hAnsi="Arial"/>
          <w:sz w:val="22"/>
          <w:szCs w:val="22"/>
          <w:b w:val="1"/>
          <w:bCs w:val="1"/>
          <w:color w:val="auto"/>
        </w:rPr>
        <w:t>70</w:t>
      </w:r>
      <w:r>
        <w:rPr>
          <w:rFonts w:ascii="Arial" w:cs="Arial" w:eastAsia="Arial" w:hAnsi="Arial"/>
          <w:sz w:val="22"/>
          <w:szCs w:val="22"/>
          <w:color w:val="auto"/>
        </w:rPr>
        <w:t xml:space="preserve"> stores</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Operating margins were approximately </w:t>
      </w:r>
      <w:r>
        <w:rPr>
          <w:rFonts w:ascii="Arial" w:cs="Arial" w:eastAsia="Arial" w:hAnsi="Arial"/>
          <w:sz w:val="22"/>
          <w:szCs w:val="22"/>
          <w:b w:val="1"/>
          <w:bCs w:val="1"/>
          <w:color w:val="auto"/>
        </w:rPr>
        <w:t>4.2%</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was </w:t>
      </w:r>
      <w:r>
        <w:rPr>
          <w:rFonts w:ascii="Arial" w:cs="Arial" w:eastAsia="Arial" w:hAnsi="Arial"/>
          <w:sz w:val="22"/>
          <w:szCs w:val="22"/>
          <w:b w:val="1"/>
          <w:bCs w:val="1"/>
          <w:color w:val="auto"/>
        </w:rPr>
        <w:t>$36M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21</w:t>
      </w:r>
    </w:p>
    <w:p>
      <w:pPr>
        <w:sectPr>
          <w:pgSz w:w="11900" w:h="16838" w:orient="portrait"/>
          <w:cols w:equalWidth="0" w:num="1">
            <w:col w:w="9760"/>
          </w:cols>
          <w:pgMar w:left="1240" w:top="1240" w:right="899" w:bottom="1440" w:gutter="0" w:footer="0" w:header="0"/>
        </w:sectPr>
      </w:pPr>
    </w:p>
    <w:bookmarkStart w:id="30" w:name="page31"/>
    <w:bookmarkEnd w:id="30"/>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28"/>
          <w:szCs w:val="28"/>
          <w:b w:val="1"/>
          <w:bCs w:val="1"/>
          <w:color w:val="auto"/>
        </w:rPr>
        <w:t>2013</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Open </w:t>
      </w:r>
      <w:r>
        <w:rPr>
          <w:rFonts w:ascii="Arial" w:cs="Arial" w:eastAsia="Arial" w:hAnsi="Arial"/>
          <w:sz w:val="20"/>
          <w:szCs w:val="20"/>
          <w:b w:val="1"/>
          <w:bCs w:val="1"/>
          <w:color w:val="auto"/>
        </w:rPr>
        <w:t>57-64</w:t>
      </w:r>
      <w:r>
        <w:rPr>
          <w:rFonts w:ascii="Arial" w:cs="Arial" w:eastAsia="Arial" w:hAnsi="Arial"/>
          <w:sz w:val="20"/>
          <w:szCs w:val="20"/>
          <w:color w:val="auto"/>
        </w:rPr>
        <w:t xml:space="preserve"> DXL stores / Close </w:t>
      </w:r>
      <w:r>
        <w:rPr>
          <w:rFonts w:ascii="Arial" w:cs="Arial" w:eastAsia="Arial" w:hAnsi="Arial"/>
          <w:sz w:val="20"/>
          <w:szCs w:val="20"/>
          <w:b w:val="1"/>
          <w:bCs w:val="1"/>
          <w:color w:val="auto"/>
        </w:rPr>
        <w:t>110-119</w:t>
      </w:r>
      <w:r>
        <w:rPr>
          <w:rFonts w:ascii="Arial" w:cs="Arial" w:eastAsia="Arial" w:hAnsi="Arial"/>
          <w:sz w:val="20"/>
          <w:szCs w:val="20"/>
          <w:color w:val="auto"/>
        </w:rPr>
        <w:t xml:space="preserve"> stores</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Sales of </w:t>
      </w:r>
      <w:r>
        <w:rPr>
          <w:rFonts w:ascii="Arial" w:cs="Arial" w:eastAsia="Arial" w:hAnsi="Arial"/>
          <w:sz w:val="20"/>
          <w:szCs w:val="20"/>
          <w:b w:val="1"/>
          <w:bCs w:val="1"/>
          <w:color w:val="auto"/>
        </w:rPr>
        <w:t>$415 - $420M</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Expected borrowing level of </w:t>
      </w:r>
      <w:r>
        <w:rPr>
          <w:rFonts w:ascii="Arial" w:cs="Arial" w:eastAsia="Arial" w:hAnsi="Arial"/>
          <w:sz w:val="20"/>
          <w:szCs w:val="20"/>
          <w:b w:val="1"/>
          <w:bCs w:val="1"/>
          <w:color w:val="auto"/>
        </w:rPr>
        <w:t>$10 - $15M</w:t>
      </w:r>
      <w:r>
        <w:rPr>
          <w:rFonts w:ascii="Arial" w:cs="Arial" w:eastAsia="Arial" w:hAnsi="Arial"/>
          <w:sz w:val="20"/>
          <w:szCs w:val="20"/>
          <w:color w:val="auto"/>
        </w:rPr>
        <w:t xml:space="preserve"> at year end</w:t>
      </w:r>
    </w:p>
    <w:p>
      <w:pPr>
        <w:spacing w:after="0" w:line="93"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 xml:space="preserve">Commence new marketing strategy with incremental </w:t>
      </w:r>
      <w:r>
        <w:rPr>
          <w:rFonts w:ascii="Arial" w:cs="Arial" w:eastAsia="Arial" w:hAnsi="Arial"/>
          <w:sz w:val="17"/>
          <w:szCs w:val="17"/>
          <w:b w:val="1"/>
          <w:bCs w:val="1"/>
          <w:color w:val="auto"/>
        </w:rPr>
        <w:t>$10M</w:t>
      </w:r>
      <w:r>
        <w:rPr>
          <w:rFonts w:ascii="Arial" w:cs="Arial" w:eastAsia="Arial" w:hAnsi="Arial"/>
          <w:sz w:val="19"/>
          <w:szCs w:val="19"/>
          <w:color w:val="auto"/>
        </w:rPr>
        <w:t xml:space="preserve"> spend</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Lease exit and asset impairment charges in the range</w:t>
      </w:r>
    </w:p>
    <w:p>
      <w:pPr>
        <w:ind w:left="4560"/>
        <w:spacing w:after="0"/>
        <w:rPr>
          <w:sz w:val="20"/>
          <w:szCs w:val="20"/>
          <w:color w:val="auto"/>
        </w:rPr>
      </w:pPr>
      <w:r>
        <w:rPr>
          <w:rFonts w:ascii="Arial" w:cs="Arial" w:eastAsia="Arial" w:hAnsi="Arial"/>
          <w:sz w:val="20"/>
          <w:szCs w:val="20"/>
          <w:color w:val="auto"/>
        </w:rPr>
        <w:t xml:space="preserve">of </w:t>
      </w:r>
      <w:r>
        <w:rPr>
          <w:rFonts w:ascii="Arial" w:cs="Arial" w:eastAsia="Arial" w:hAnsi="Arial"/>
          <w:sz w:val="18"/>
          <w:szCs w:val="18"/>
          <w:b w:val="1"/>
          <w:bCs w:val="1"/>
          <w:color w:val="auto"/>
        </w:rPr>
        <w:t>$3-$4M</w:t>
      </w:r>
      <w:r>
        <w:rPr>
          <w:rFonts w:ascii="Arial" w:cs="Arial" w:eastAsia="Arial" w:hAnsi="Arial"/>
          <w:sz w:val="20"/>
          <w:szCs w:val="20"/>
          <w:color w:val="auto"/>
        </w:rPr>
        <w:t xml:space="preserve"> </w:t>
      </w:r>
      <w:r>
        <w:rPr>
          <w:rFonts w:ascii="Arial" w:cs="Arial" w:eastAsia="Arial" w:hAnsi="Arial"/>
          <w:sz w:val="28"/>
          <w:szCs w:val="28"/>
          <w:b w:val="1"/>
          <w:bCs w:val="1"/>
          <w:color w:val="auto"/>
          <w:vertAlign w:val="superscript"/>
        </w:rPr>
        <w:t>*</w:t>
      </w:r>
    </w:p>
    <w:p>
      <w:pPr>
        <w:spacing w:after="0" w:line="5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Operating margins of </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breakeven to 0.5%</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CapEx expected to </w:t>
      </w:r>
      <w:r>
        <w:rPr>
          <w:rFonts w:ascii="Arial" w:cs="Arial" w:eastAsia="Arial" w:hAnsi="Arial"/>
          <w:sz w:val="20"/>
          <w:szCs w:val="20"/>
          <w:b w:val="1"/>
          <w:bCs w:val="1"/>
          <w:color w:val="auto"/>
        </w:rPr>
        <w:t>peak</w:t>
      </w:r>
      <w:r>
        <w:rPr>
          <w:rFonts w:ascii="Arial" w:cs="Arial" w:eastAsia="Arial" w:hAnsi="Arial"/>
          <w:sz w:val="20"/>
          <w:szCs w:val="20"/>
          <w:color w:val="auto"/>
        </w:rPr>
        <w:t xml:space="preserve"> at </w:t>
      </w:r>
      <w:r>
        <w:rPr>
          <w:rFonts w:ascii="Arial" w:cs="Arial" w:eastAsia="Arial" w:hAnsi="Arial"/>
          <w:sz w:val="20"/>
          <w:szCs w:val="20"/>
          <w:b w:val="1"/>
          <w:bCs w:val="1"/>
          <w:color w:val="auto"/>
        </w:rPr>
        <w:t>$45M</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28"/>
          <w:szCs w:val="28"/>
          <w:b w:val="1"/>
          <w:bCs w:val="1"/>
          <w:color w:val="auto"/>
        </w:rPr>
        <w:t>2014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93"/>
              </w:rPr>
              <w:t xml:space="preserve">Open </w:t>
            </w:r>
            <w:r>
              <w:rPr>
                <w:rFonts w:ascii="Arial" w:cs="Arial" w:eastAsia="Arial" w:hAnsi="Arial"/>
                <w:sz w:val="18"/>
                <w:szCs w:val="18"/>
                <w:b w:val="1"/>
                <w:bCs w:val="1"/>
                <w:color w:val="auto"/>
                <w:w w:val="93"/>
              </w:rPr>
              <w:t>60</w:t>
            </w:r>
            <w:r>
              <w:rPr>
                <w:rFonts w:ascii="Arial" w:cs="Arial" w:eastAsia="Arial" w:hAnsi="Arial"/>
                <w:sz w:val="20"/>
                <w:szCs w:val="20"/>
                <w:color w:val="auto"/>
                <w:w w:val="93"/>
              </w:rPr>
              <w:t xml:space="preserve"> DXL stores / Close </w:t>
            </w:r>
            <w:r>
              <w:rPr>
                <w:rFonts w:ascii="Arial" w:cs="Arial" w:eastAsia="Arial" w:hAnsi="Arial"/>
                <w:sz w:val="18"/>
                <w:szCs w:val="18"/>
                <w:b w:val="1"/>
                <w:bCs w:val="1"/>
                <w:color w:val="auto"/>
                <w:w w:val="93"/>
              </w:rPr>
              <w:t>99</w:t>
            </w:r>
          </w:p>
        </w:tc>
        <w:tc>
          <w:tcPr>
            <w:tcW w:w="2980" w:type="dxa"/>
            <w:vAlign w:val="bottom"/>
          </w:tcPr>
          <w:p>
            <w:pPr>
              <w:ind w:left="40"/>
              <w:spacing w:after="0"/>
              <w:rPr>
                <w:sz w:val="20"/>
                <w:szCs w:val="20"/>
                <w:color w:val="auto"/>
              </w:rPr>
            </w:pPr>
            <w:r>
              <w:rPr>
                <w:rFonts w:ascii="Arial" w:cs="Arial" w:eastAsia="Arial" w:hAnsi="Arial"/>
                <w:sz w:val="20"/>
                <w:szCs w:val="20"/>
                <w:color w:val="auto"/>
              </w:rPr>
              <w:t>stores</w:t>
            </w:r>
          </w:p>
        </w:tc>
        <w:tc>
          <w:tcPr>
            <w:tcW w:w="0" w:type="dxa"/>
            <w:vAlign w:val="bottom"/>
          </w:tcPr>
          <w:p>
            <w:pPr>
              <w:spacing w:after="0"/>
              <w:rPr>
                <w:sz w:val="1"/>
                <w:szCs w:val="1"/>
                <w:color w:val="auto"/>
              </w:rPr>
            </w:pPr>
          </w:p>
        </w:tc>
      </w:tr>
      <w:tr>
        <w:trPr>
          <w:trHeight w:val="376"/>
        </w:trPr>
        <w:tc>
          <w:tcPr>
            <w:tcW w:w="3100" w:type="dxa"/>
            <w:vAlign w:val="bottom"/>
          </w:tcPr>
          <w:p>
            <w:pPr>
              <w:spacing w:after="0"/>
              <w:rPr>
                <w:sz w:val="24"/>
                <w:szCs w:val="24"/>
                <w:color w:val="auto"/>
              </w:rPr>
            </w:pPr>
          </w:p>
        </w:tc>
        <w:tc>
          <w:tcPr>
            <w:tcW w:w="7040" w:type="dxa"/>
            <w:vAlign w:val="bottom"/>
            <w:gridSpan w:val="2"/>
          </w:tcPr>
          <w:p>
            <w:pPr>
              <w:ind w:left="1480"/>
              <w:spacing w:after="0"/>
              <w:rPr>
                <w:sz w:val="20"/>
                <w:szCs w:val="20"/>
                <w:color w:val="auto"/>
              </w:rPr>
            </w:pPr>
            <w:r>
              <w:rPr>
                <w:rFonts w:ascii="Arial" w:cs="Arial" w:eastAsia="Arial" w:hAnsi="Arial"/>
                <w:sz w:val="20"/>
                <w:szCs w:val="20"/>
                <w:color w:val="auto"/>
              </w:rPr>
              <w:t xml:space="preserve">Annual sales growth of </w:t>
            </w:r>
            <w:r>
              <w:rPr>
                <w:rFonts w:ascii="Arial" w:cs="Arial" w:eastAsia="Arial" w:hAnsi="Arial"/>
                <w:sz w:val="20"/>
                <w:szCs w:val="20"/>
                <w:b w:val="1"/>
                <w:bCs w:val="1"/>
                <w:color w:val="auto"/>
              </w:rPr>
              <w:t>~ 10% - 15%</w:t>
            </w:r>
          </w:p>
        </w:tc>
        <w:tc>
          <w:tcPr>
            <w:tcW w:w="0" w:type="dxa"/>
            <w:vAlign w:val="bottom"/>
          </w:tcPr>
          <w:p>
            <w:pPr>
              <w:spacing w:after="0"/>
              <w:rPr>
                <w:sz w:val="1"/>
                <w:szCs w:val="1"/>
                <w:color w:val="auto"/>
              </w:rPr>
            </w:pPr>
          </w:p>
        </w:tc>
      </w:tr>
      <w:tr>
        <w:trPr>
          <w:trHeight w:val="316"/>
        </w:trPr>
        <w:tc>
          <w:tcPr>
            <w:tcW w:w="3100" w:type="dxa"/>
            <w:vAlign w:val="bottom"/>
          </w:tcPr>
          <w:p>
            <w:pPr>
              <w:spacing w:after="0"/>
              <w:rPr>
                <w:sz w:val="24"/>
                <w:szCs w:val="24"/>
                <w:color w:val="auto"/>
              </w:rPr>
            </w:pPr>
          </w:p>
        </w:tc>
        <w:tc>
          <w:tcPr>
            <w:tcW w:w="7040" w:type="dxa"/>
            <w:vAlign w:val="bottom"/>
            <w:gridSpan w:val="2"/>
          </w:tcPr>
          <w:p>
            <w:pPr>
              <w:ind w:left="1480"/>
              <w:spacing w:after="0"/>
              <w:rPr>
                <w:sz w:val="20"/>
                <w:szCs w:val="20"/>
                <w:color w:val="auto"/>
              </w:rPr>
            </w:pPr>
            <w:r>
              <w:rPr>
                <w:rFonts w:ascii="Arial" w:cs="Arial" w:eastAsia="Arial" w:hAnsi="Arial"/>
                <w:sz w:val="20"/>
                <w:szCs w:val="20"/>
                <w:color w:val="auto"/>
              </w:rPr>
              <w:t xml:space="preserve">Expected borrowing level of </w:t>
            </w:r>
            <w:r>
              <w:rPr>
                <w:rFonts w:ascii="Arial" w:cs="Arial" w:eastAsia="Arial" w:hAnsi="Arial"/>
                <w:sz w:val="20"/>
                <w:szCs w:val="20"/>
                <w:b w:val="1"/>
                <w:bCs w:val="1"/>
                <w:color w:val="auto"/>
              </w:rPr>
              <w:t>$10 - $15M</w:t>
            </w:r>
          </w:p>
        </w:tc>
        <w:tc>
          <w:tcPr>
            <w:tcW w:w="0" w:type="dxa"/>
            <w:vAlign w:val="bottom"/>
          </w:tcPr>
          <w:p>
            <w:pPr>
              <w:spacing w:after="0"/>
              <w:rPr>
                <w:sz w:val="1"/>
                <w:szCs w:val="1"/>
                <w:color w:val="auto"/>
              </w:rPr>
            </w:pPr>
          </w:p>
        </w:tc>
      </w:t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at year end</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3100" w:type="dxa"/>
            <w:vAlign w:val="bottom"/>
          </w:tcPr>
          <w:p>
            <w:pPr>
              <w:spacing w:after="0"/>
              <w:rPr>
                <w:sz w:val="24"/>
                <w:szCs w:val="24"/>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88"/>
              </w:rPr>
              <w:t>Lease exit and asset impairment</w:t>
            </w: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94"/>
              </w:rPr>
              <w:t xml:space="preserve">charges in the range of </w:t>
            </w:r>
            <w:r>
              <w:rPr>
                <w:rFonts w:ascii="Arial" w:cs="Arial" w:eastAsia="Arial" w:hAnsi="Arial"/>
                <w:sz w:val="18"/>
                <w:szCs w:val="18"/>
                <w:b w:val="1"/>
                <w:bCs w:val="1"/>
                <w:color w:val="auto"/>
                <w:w w:val="94"/>
              </w:rPr>
              <w:t>$3-$4M</w:t>
            </w:r>
          </w:p>
        </w:tc>
        <w:tc>
          <w:tcPr>
            <w:tcW w:w="2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3100" w:type="dxa"/>
            <w:vAlign w:val="bottom"/>
          </w:tcPr>
          <w:p>
            <w:pPr>
              <w:spacing w:after="0"/>
              <w:rPr>
                <w:sz w:val="24"/>
                <w:szCs w:val="24"/>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Operating margins of ~</w:t>
            </w:r>
            <w:r>
              <w:rPr>
                <w:rFonts w:ascii="Arial" w:cs="Arial" w:eastAsia="Arial" w:hAnsi="Arial"/>
                <w:sz w:val="18"/>
                <w:szCs w:val="18"/>
                <w:b w:val="1"/>
                <w:bCs w:val="1"/>
                <w:color w:val="auto"/>
              </w:rPr>
              <w:t>4%</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100" w:type="dxa"/>
            <w:vAlign w:val="bottom"/>
            <w:vMerge w:val="restart"/>
          </w:tcPr>
          <w:p>
            <w:pPr>
              <w:spacing w:after="0"/>
              <w:rPr>
                <w:sz w:val="20"/>
                <w:szCs w:val="20"/>
                <w:color w:val="auto"/>
              </w:rPr>
            </w:pPr>
            <w:r>
              <w:rPr>
                <w:rFonts w:ascii="Arial" w:cs="Arial" w:eastAsia="Arial" w:hAnsi="Arial"/>
                <w:sz w:val="22"/>
                <w:szCs w:val="22"/>
                <w:color w:val="auto"/>
              </w:rPr>
              <w:t>* Net of subleases</w:t>
            </w:r>
          </w:p>
        </w:tc>
        <w:tc>
          <w:tcPr>
            <w:tcW w:w="4060" w:type="dxa"/>
            <w:vAlign w:val="bottom"/>
          </w:tcPr>
          <w:p>
            <w:pPr>
              <w:ind w:left="1480"/>
              <w:spacing w:after="0"/>
              <w:rPr>
                <w:sz w:val="20"/>
                <w:szCs w:val="20"/>
                <w:color w:val="auto"/>
              </w:rPr>
            </w:pPr>
            <w:r>
              <w:rPr>
                <w:rFonts w:ascii="Arial" w:cs="Arial" w:eastAsia="Arial" w:hAnsi="Arial"/>
                <w:sz w:val="20"/>
                <w:szCs w:val="20"/>
                <w:color w:val="auto"/>
              </w:rPr>
              <w:t>CapEx expected to</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vMerge w:val="continue"/>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 xml:space="preserve">be </w:t>
            </w:r>
            <w:r>
              <w:rPr>
                <w:rFonts w:ascii="Arial" w:cs="Arial" w:eastAsia="Arial" w:hAnsi="Arial"/>
                <w:sz w:val="18"/>
                <w:szCs w:val="18"/>
                <w:b w:val="1"/>
                <w:bCs w:val="1"/>
                <w:color w:val="auto"/>
              </w:rPr>
              <w:t>$40M</w:t>
            </w:r>
          </w:p>
        </w:tc>
        <w:tc>
          <w:tcPr>
            <w:tcW w:w="2980" w:type="dxa"/>
            <w:vAlign w:val="bottom"/>
          </w:tcPr>
          <w:p>
            <w:pPr>
              <w:jc w:val="right"/>
              <w:spacing w:after="0"/>
              <w:rPr>
                <w:sz w:val="20"/>
                <w:szCs w:val="20"/>
                <w:color w:val="auto"/>
              </w:rPr>
            </w:pPr>
            <w:r>
              <w:rPr>
                <w:rFonts w:ascii="Arial" w:cs="Arial" w:eastAsia="Arial" w:hAnsi="Arial"/>
                <w:sz w:val="19"/>
                <w:szCs w:val="19"/>
                <w:color w:val="898989"/>
              </w:rPr>
              <w:t>22</w:t>
            </w:r>
          </w:p>
        </w:tc>
        <w:tc>
          <w:tcPr>
            <w:tcW w:w="0" w:type="dxa"/>
            <w:vAlign w:val="bottom"/>
          </w:tcPr>
          <w:p>
            <w:pPr>
              <w:spacing w:after="0"/>
              <w:rPr>
                <w:sz w:val="1"/>
                <w:szCs w:val="1"/>
                <w:color w:val="auto"/>
              </w:rPr>
            </w:pPr>
          </w:p>
        </w:tc>
      </w:tr>
    </w:tbl>
    <w:p>
      <w:pPr>
        <w:sectPr>
          <w:pgSz w:w="11900" w:h="16838" w:orient="portrait"/>
          <w:cols w:equalWidth="0" w:num="1">
            <w:col w:w="10140"/>
          </w:cols>
          <w:pgMar w:left="860" w:top="1240" w:right="899" w:bottom="1440" w:gutter="0" w:footer="0" w:header="0"/>
        </w:sectPr>
      </w:pPr>
    </w:p>
    <w:bookmarkStart w:id="31" w:name="page32"/>
    <w:bookmarkEnd w:id="31"/>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Arial" w:cs="Arial" w:eastAsia="Arial" w:hAnsi="Arial"/>
          <w:sz w:val="28"/>
          <w:szCs w:val="28"/>
          <w:b w:val="1"/>
          <w:bCs w:val="1"/>
          <w:color w:val="auto"/>
        </w:rPr>
        <w:t>2015</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Complete rollout with </w:t>
      </w:r>
      <w:r>
        <w:rPr>
          <w:rFonts w:ascii="Arial" w:cs="Arial" w:eastAsia="Arial" w:hAnsi="Arial"/>
          <w:sz w:val="22"/>
          <w:szCs w:val="22"/>
          <w:b w:val="1"/>
          <w:bCs w:val="1"/>
          <w:color w:val="auto"/>
        </w:rPr>
        <w:t>215 - 230</w:t>
      </w:r>
      <w:r>
        <w:rPr>
          <w:rFonts w:ascii="Arial" w:cs="Arial" w:eastAsia="Arial" w:hAnsi="Arial"/>
          <w:sz w:val="22"/>
          <w:szCs w:val="22"/>
          <w:color w:val="auto"/>
        </w:rPr>
        <w:t xml:space="preserve"> opened DXL stores and</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Closure of remaining </w:t>
      </w:r>
      <w:r>
        <w:rPr>
          <w:rFonts w:ascii="Arial" w:cs="Arial" w:eastAsia="Arial" w:hAnsi="Arial"/>
          <w:sz w:val="22"/>
          <w:szCs w:val="22"/>
          <w:b w:val="1"/>
          <w:bCs w:val="1"/>
          <w:color w:val="auto"/>
        </w:rPr>
        <w:t>63</w:t>
      </w:r>
      <w:r>
        <w:rPr>
          <w:rFonts w:ascii="Arial" w:cs="Arial" w:eastAsia="Arial" w:hAnsi="Arial"/>
          <w:sz w:val="22"/>
          <w:szCs w:val="22"/>
          <w:color w:val="auto"/>
        </w:rPr>
        <w:t xml:space="preserve"> Casual Male XL anchor stores</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Annual sales growth of </w:t>
      </w:r>
      <w:r>
        <w:rPr>
          <w:rFonts w:ascii="Arial" w:cs="Arial" w:eastAsia="Arial" w:hAnsi="Arial"/>
          <w:sz w:val="22"/>
          <w:szCs w:val="22"/>
          <w:b w:val="1"/>
          <w:bCs w:val="1"/>
          <w:color w:val="auto"/>
        </w:rPr>
        <w:t>~10% – 15%</w:t>
      </w:r>
    </w:p>
    <w:p>
      <w:pPr>
        <w:spacing w:after="0" w:line="27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Operating margins gain traction and increase to </w:t>
      </w:r>
      <w:r>
        <w:rPr>
          <w:rFonts w:ascii="Arial" w:cs="Arial" w:eastAsia="Arial" w:hAnsi="Arial"/>
          <w:sz w:val="22"/>
          <w:szCs w:val="22"/>
          <w:b w:val="1"/>
          <w:bCs w:val="1"/>
          <w:color w:val="auto"/>
        </w:rPr>
        <w:t>~8%</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(from 4.2% in ‘11)</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Expected ending cash balance of </w:t>
      </w:r>
      <w:r>
        <w:rPr>
          <w:rFonts w:ascii="Arial" w:cs="Arial" w:eastAsia="Arial" w:hAnsi="Arial"/>
          <w:sz w:val="22"/>
          <w:szCs w:val="22"/>
          <w:b w:val="1"/>
          <w:bCs w:val="1"/>
          <w:color w:val="auto"/>
        </w:rPr>
        <w:t>$5 - $10M</w:t>
      </w:r>
    </w:p>
    <w:p>
      <w:pPr>
        <w:spacing w:after="0" w:line="26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expected to be approximately </w:t>
      </w:r>
      <w:r>
        <w:rPr>
          <w:rFonts w:ascii="Arial" w:cs="Arial" w:eastAsia="Arial" w:hAnsi="Arial"/>
          <w:sz w:val="22"/>
          <w:szCs w:val="22"/>
          <w:b w:val="1"/>
          <w:bCs w:val="1"/>
          <w:color w:val="auto"/>
        </w:rPr>
        <w:t>$38M</w:t>
      </w:r>
    </w:p>
    <w:p>
      <w:pPr>
        <w:spacing w:after="0" w:line="29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Lease exit and asset impairment charges in the range</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of </w:t>
      </w:r>
      <w:r>
        <w:rPr>
          <w:rFonts w:ascii="Arial" w:cs="Arial" w:eastAsia="Arial" w:hAnsi="Arial"/>
          <w:sz w:val="22"/>
          <w:szCs w:val="22"/>
          <w:b w:val="1"/>
          <w:bCs w:val="1"/>
          <w:color w:val="auto"/>
        </w:rPr>
        <w:t>$2-$3M</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780" w:type="dxa"/>
            <w:vAlign w:val="bottom"/>
          </w:tcPr>
          <w:p>
            <w:pPr>
              <w:spacing w:after="0"/>
              <w:rPr>
                <w:sz w:val="20"/>
                <w:szCs w:val="20"/>
                <w:color w:val="auto"/>
              </w:rPr>
            </w:pPr>
            <w:r>
              <w:rPr>
                <w:rFonts w:ascii="Arial" w:cs="Arial" w:eastAsia="Arial" w:hAnsi="Arial"/>
                <w:sz w:val="22"/>
                <w:szCs w:val="22"/>
                <w:color w:val="auto"/>
              </w:rPr>
              <w:t>* Net of subleases</w:t>
            </w:r>
          </w:p>
        </w:tc>
        <w:tc>
          <w:tcPr>
            <w:tcW w:w="4360" w:type="dxa"/>
            <w:vAlign w:val="bottom"/>
          </w:tcPr>
          <w:p>
            <w:pPr>
              <w:jc w:val="right"/>
              <w:spacing w:after="0"/>
              <w:rPr>
                <w:sz w:val="20"/>
                <w:szCs w:val="20"/>
                <w:color w:val="auto"/>
              </w:rPr>
            </w:pPr>
            <w:r>
              <w:rPr>
                <w:rFonts w:ascii="Arial" w:cs="Arial" w:eastAsia="Arial" w:hAnsi="Arial"/>
                <w:sz w:val="19"/>
                <w:szCs w:val="19"/>
                <w:color w:val="898989"/>
              </w:rPr>
              <w:t>23</w:t>
            </w:r>
          </w:p>
        </w:tc>
      </w:tr>
    </w:tbl>
    <w:p>
      <w:pPr>
        <w:sectPr>
          <w:pgSz w:w="11900" w:h="16838" w:orient="portrait"/>
          <w:cols w:equalWidth="0" w:num="1">
            <w:col w:w="10140"/>
          </w:cols>
          <w:pgMar w:left="860" w:top="1240" w:right="899" w:bottom="1440" w:gutter="0" w:footer="0" w:header="0"/>
        </w:sectPr>
      </w:pPr>
    </w:p>
    <w:bookmarkStart w:id="32" w:name="page33"/>
    <w:bookmarkEnd w:id="32"/>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28"/>
          <w:szCs w:val="28"/>
          <w:b w:val="1"/>
          <w:bCs w:val="1"/>
          <w:color w:val="auto"/>
        </w:rPr>
        <w:t>2016</w:t>
      </w:r>
    </w:p>
    <w:p>
      <w:pPr>
        <w:spacing w:after="0" w:line="4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Full benefit of DXL concept drives revenue </w:t>
      </w:r>
      <w:r>
        <w:rPr>
          <w:rFonts w:ascii="Arial" w:cs="Arial" w:eastAsia="Arial" w:hAnsi="Arial"/>
          <w:sz w:val="22"/>
          <w:szCs w:val="22"/>
          <w:b w:val="1"/>
          <w:bCs w:val="1"/>
          <w:color w:val="auto"/>
        </w:rPr>
        <w:t>&gt;$600M</w:t>
      </w:r>
    </w:p>
    <w:p>
      <w:pPr>
        <w:spacing w:after="0" w:line="26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Open average of </w:t>
      </w:r>
      <w:r>
        <w:rPr>
          <w:rFonts w:ascii="Arial" w:cs="Arial" w:eastAsia="Arial" w:hAnsi="Arial"/>
          <w:sz w:val="22"/>
          <w:szCs w:val="22"/>
          <w:b w:val="1"/>
          <w:bCs w:val="1"/>
          <w:color w:val="auto"/>
        </w:rPr>
        <w:t>10</w:t>
      </w:r>
      <w:r>
        <w:rPr>
          <w:rFonts w:ascii="Arial" w:cs="Arial" w:eastAsia="Arial" w:hAnsi="Arial"/>
          <w:sz w:val="22"/>
          <w:szCs w:val="22"/>
          <w:color w:val="auto"/>
        </w:rPr>
        <w:t xml:space="preserve"> DXL stores per year</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Operating margins </w:t>
      </w:r>
      <w:r>
        <w:rPr>
          <w:rFonts w:ascii="Arial" w:cs="Arial" w:eastAsia="Arial" w:hAnsi="Arial"/>
          <w:sz w:val="22"/>
          <w:szCs w:val="22"/>
          <w:b w:val="1"/>
          <w:bCs w:val="1"/>
          <w:color w:val="auto"/>
        </w:rPr>
        <w:t>&gt;10%</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Generating freecash flowin the rangeof </w:t>
      </w:r>
      <w:r>
        <w:rPr>
          <w:rFonts w:ascii="Arial" w:cs="Arial" w:eastAsia="Arial" w:hAnsi="Arial"/>
          <w:sz w:val="22"/>
          <w:szCs w:val="22"/>
          <w:b w:val="1"/>
          <w:bCs w:val="1"/>
          <w:color w:val="auto"/>
        </w:rPr>
        <w:t>$60 - $70M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24</w:t>
      </w:r>
    </w:p>
    <w:p>
      <w:pPr>
        <w:sectPr>
          <w:pgSz w:w="11900" w:h="16838" w:orient="portrait"/>
          <w:cols w:equalWidth="0" w:num="1">
            <w:col w:w="9760"/>
          </w:cols>
          <w:pgMar w:left="1240" w:top="1240" w:right="899" w:bottom="1440" w:gutter="0" w:footer="0" w:header="0"/>
        </w:sectPr>
      </w:pPr>
    </w:p>
    <w:bookmarkStart w:id="33" w:name="page34"/>
    <w:bookmarkEnd w:id="33"/>
    <w:p>
      <w:pPr>
        <w:ind w:left="80"/>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Increased Awareness = Opportunity</w:t>
      </w:r>
    </w:p>
    <w:p>
      <w:pPr>
        <w:sectPr>
          <w:pgSz w:w="11900" w:h="16838" w:orient="portrait"/>
          <w:cols w:equalWidth="0" w:num="1">
            <w:col w:w="10780"/>
          </w:cols>
          <w:pgMar w:left="480" w:top="934" w:right="639" w:bottom="1440" w:gutter="0" w:footer="0" w:header="0"/>
        </w:sect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8"/>
          <w:szCs w:val="28"/>
          <w:color w:val="auto"/>
        </w:rPr>
        <w:t>DXL Customer Purchase Funnel*</w:t>
      </w:r>
    </w:p>
    <w:p>
      <w:pPr>
        <w:spacing w:after="0" w:line="364"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Addressable Population</w:t>
      </w: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506"/>
        </w:trPr>
        <w:tc>
          <w:tcPr>
            <w:tcW w:w="1820" w:type="dxa"/>
            <w:vAlign w:val="bottom"/>
          </w:tcPr>
          <w:p>
            <w:pPr>
              <w:jc w:val="right"/>
              <w:ind w:right="742"/>
              <w:spacing w:after="0"/>
              <w:rPr>
                <w:sz w:val="20"/>
                <w:szCs w:val="20"/>
                <w:color w:val="auto"/>
              </w:rPr>
            </w:pPr>
            <w:r>
              <w:rPr>
                <w:rFonts w:ascii="Arial" w:cs="Arial" w:eastAsia="Arial" w:hAnsi="Arial"/>
                <w:sz w:val="44"/>
                <w:szCs w:val="44"/>
                <w:b w:val="1"/>
                <w:bCs w:val="1"/>
                <w:color w:val="558ED5"/>
                <w:w w:val="95"/>
              </w:rPr>
              <w:t>17%</w:t>
            </w:r>
          </w:p>
        </w:tc>
        <w:tc>
          <w:tcPr>
            <w:tcW w:w="1760" w:type="dxa"/>
            <w:vAlign w:val="bottom"/>
            <w:vMerge w:val="restart"/>
          </w:tcPr>
          <w:p>
            <w:pPr>
              <w:jc w:val="center"/>
              <w:ind w:left="117"/>
              <w:spacing w:after="0"/>
              <w:rPr>
                <w:sz w:val="20"/>
                <w:szCs w:val="20"/>
                <w:color w:val="auto"/>
              </w:rPr>
            </w:pPr>
            <w:r>
              <w:rPr>
                <w:rFonts w:ascii="Arial" w:cs="Arial" w:eastAsia="Arial" w:hAnsi="Arial"/>
                <w:sz w:val="25"/>
                <w:szCs w:val="25"/>
                <w:b w:val="1"/>
                <w:bCs w:val="1"/>
                <w:color w:val="auto"/>
                <w:w w:val="93"/>
              </w:rPr>
              <w:t>Aware of DXL</w:t>
            </w: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8"/>
        </w:trPr>
        <w:tc>
          <w:tcPr>
            <w:tcW w:w="1820" w:type="dxa"/>
            <w:vAlign w:val="bottom"/>
            <w:vMerge w:val="restart"/>
          </w:tcPr>
          <w:p>
            <w:pPr>
              <w:jc w:val="right"/>
              <w:ind w:right="362"/>
              <w:spacing w:after="0"/>
              <w:rPr>
                <w:sz w:val="20"/>
                <w:szCs w:val="20"/>
                <w:color w:val="auto"/>
              </w:rPr>
            </w:pPr>
            <w:r>
              <w:rPr>
                <w:rFonts w:ascii="Arial" w:cs="Arial" w:eastAsia="Arial" w:hAnsi="Arial"/>
                <w:sz w:val="44"/>
                <w:szCs w:val="44"/>
                <w:b w:val="1"/>
                <w:bCs w:val="1"/>
                <w:color w:val="558ED5"/>
              </w:rPr>
              <w:t>8%</w:t>
            </w:r>
          </w:p>
        </w:tc>
        <w:tc>
          <w:tcPr>
            <w:tcW w:w="1760" w:type="dxa"/>
            <w:vAlign w:val="bottom"/>
          </w:tcPr>
          <w:p>
            <w:pPr>
              <w:jc w:val="center"/>
              <w:ind w:left="97"/>
              <w:spacing w:after="0"/>
              <w:rPr>
                <w:sz w:val="20"/>
                <w:szCs w:val="20"/>
                <w:color w:val="auto"/>
              </w:rPr>
            </w:pPr>
            <w:r>
              <w:rPr>
                <w:rFonts w:ascii="Arial" w:cs="Arial" w:eastAsia="Arial" w:hAnsi="Arial"/>
                <w:sz w:val="25"/>
                <w:szCs w:val="25"/>
                <w:b w:val="1"/>
                <w:bCs w:val="1"/>
                <w:color w:val="auto"/>
                <w:w w:val="93"/>
              </w:rPr>
              <w:t>Visiting DXL</w:t>
            </w:r>
          </w:p>
        </w:tc>
        <w:tc>
          <w:tcPr>
            <w:tcW w:w="0" w:type="dxa"/>
            <w:vAlign w:val="bottom"/>
          </w:tcPr>
          <w:p>
            <w:pPr>
              <w:spacing w:after="0"/>
              <w:rPr>
                <w:sz w:val="1"/>
                <w:szCs w:val="1"/>
                <w:color w:val="auto"/>
              </w:rPr>
            </w:pPr>
          </w:p>
        </w:tc>
      </w:tr>
      <w:tr>
        <w:trPr>
          <w:trHeight w:val="232"/>
        </w:trPr>
        <w:tc>
          <w:tcPr>
            <w:tcW w:w="182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1820" w:type="dxa"/>
            <w:vAlign w:val="bottom"/>
            <w:vMerge w:val="restart"/>
          </w:tcPr>
          <w:p>
            <w:pPr>
              <w:jc w:val="right"/>
              <w:ind w:right="2"/>
              <w:spacing w:after="0"/>
              <w:rPr>
                <w:sz w:val="20"/>
                <w:szCs w:val="20"/>
                <w:color w:val="auto"/>
              </w:rPr>
            </w:pPr>
            <w:r>
              <w:rPr>
                <w:rFonts w:ascii="Arial" w:cs="Arial" w:eastAsia="Arial" w:hAnsi="Arial"/>
                <w:sz w:val="44"/>
                <w:szCs w:val="44"/>
                <w:b w:val="1"/>
                <w:bCs w:val="1"/>
                <w:color w:val="558ED5"/>
              </w:rPr>
              <w:t>73%</w:t>
            </w:r>
          </w:p>
        </w:tc>
        <w:tc>
          <w:tcPr>
            <w:tcW w:w="1760" w:type="dxa"/>
            <w:vAlign w:val="bottom"/>
          </w:tcPr>
          <w:p>
            <w:pPr>
              <w:jc w:val="center"/>
              <w:ind w:left="197"/>
              <w:spacing w:after="0"/>
              <w:rPr>
                <w:sz w:val="20"/>
                <w:szCs w:val="20"/>
                <w:color w:val="auto"/>
              </w:rPr>
            </w:pPr>
            <w:r>
              <w:rPr>
                <w:rFonts w:ascii="Arial" w:cs="Arial" w:eastAsia="Arial" w:hAnsi="Arial"/>
                <w:sz w:val="25"/>
                <w:szCs w:val="25"/>
                <w:b w:val="1"/>
                <w:bCs w:val="1"/>
                <w:color w:val="auto"/>
                <w:w w:val="88"/>
              </w:rPr>
              <w:t>Purchasing</w:t>
            </w:r>
          </w:p>
        </w:tc>
        <w:tc>
          <w:tcPr>
            <w:tcW w:w="0" w:type="dxa"/>
            <w:vAlign w:val="bottom"/>
          </w:tcPr>
          <w:p>
            <w:pPr>
              <w:spacing w:after="0"/>
              <w:rPr>
                <w:sz w:val="1"/>
                <w:szCs w:val="1"/>
                <w:color w:val="auto"/>
              </w:rPr>
            </w:pPr>
          </w:p>
        </w:tc>
      </w:tr>
      <w:tr>
        <w:trPr>
          <w:trHeight w:val="322"/>
        </w:trPr>
        <w:tc>
          <w:tcPr>
            <w:tcW w:w="1820" w:type="dxa"/>
            <w:vAlign w:val="bottom"/>
            <w:vMerge w:val="continue"/>
          </w:tcPr>
          <w:p>
            <w:pPr>
              <w:spacing w:after="0"/>
              <w:rPr>
                <w:sz w:val="24"/>
                <w:szCs w:val="24"/>
                <w:color w:val="auto"/>
              </w:rPr>
            </w:pPr>
          </w:p>
        </w:tc>
        <w:tc>
          <w:tcPr>
            <w:tcW w:w="1760" w:type="dxa"/>
            <w:vAlign w:val="bottom"/>
          </w:tcPr>
          <w:p>
            <w:pPr>
              <w:ind w:left="540"/>
              <w:spacing w:after="0"/>
              <w:rPr>
                <w:sz w:val="20"/>
                <w:szCs w:val="20"/>
                <w:color w:val="auto"/>
              </w:rPr>
            </w:pPr>
            <w:r>
              <w:rPr>
                <w:rFonts w:ascii="Arial" w:cs="Arial" w:eastAsia="Arial" w:hAnsi="Arial"/>
                <w:sz w:val="25"/>
                <w:szCs w:val="25"/>
                <w:b w:val="1"/>
                <w:bCs w:val="1"/>
                <w:color w:val="auto"/>
              </w:rPr>
              <w:t>from DXL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DXL’s addressable market is primarily men with over 40”waist</w:t>
      </w:r>
    </w:p>
    <w:p>
      <w:pPr>
        <w:spacing w:after="0" w:line="200" w:lineRule="exact"/>
        <w:rPr>
          <w:sz w:val="20"/>
          <w:szCs w:val="20"/>
          <w:color w:val="auto"/>
        </w:rPr>
      </w:pP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Awareness of DXL is low across its markets, directly impacting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Of those aware of DXL, only 8% are visiting the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73% of those that visit the store make a purchase</w:t>
      </w:r>
    </w:p>
    <w:p>
      <w:pPr>
        <w:spacing w:after="0" w:line="462" w:lineRule="exact"/>
        <w:rPr>
          <w:sz w:val="20"/>
          <w:szCs w:val="20"/>
          <w:color w:val="auto"/>
        </w:rPr>
      </w:pPr>
    </w:p>
    <w:p>
      <w:pPr>
        <w:sectPr>
          <w:pgSz w:w="11900" w:h="16838" w:orient="portrait"/>
          <w:cols w:equalWidth="0" w:num="2">
            <w:col w:w="5400" w:space="520"/>
            <w:col w:w="4860"/>
          </w:cols>
          <w:pgMar w:left="480" w:top="934" w:right="639" w:bottom="1440" w:gutter="0" w:footer="0" w:header="0"/>
          <w:type w:val="continuous"/>
        </w:sectPr>
      </w:pPr>
    </w:p>
    <w:p>
      <w:pPr>
        <w:spacing w:after="0" w:line="358" w:lineRule="exact"/>
        <w:rPr>
          <w:sz w:val="20"/>
          <w:szCs w:val="20"/>
          <w:color w:val="auto"/>
        </w:rPr>
      </w:pPr>
    </w:p>
    <w:p>
      <w:pPr>
        <w:ind w:left="1840"/>
        <w:spacing w:after="0"/>
        <w:rPr>
          <w:sz w:val="20"/>
          <w:szCs w:val="20"/>
          <w:color w:val="auto"/>
        </w:rPr>
      </w:pPr>
      <w:r>
        <w:rPr>
          <w:rFonts w:ascii="Arial" w:cs="Arial" w:eastAsia="Arial" w:hAnsi="Arial"/>
          <w:sz w:val="42"/>
          <w:szCs w:val="42"/>
          <w:b w:val="1"/>
          <w:bCs w:val="1"/>
          <w:color w:val="558ED5"/>
        </w:rPr>
        <w:t>89%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Repeat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89% of those that make a purchase</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intend to return</w:t>
      </w:r>
    </w:p>
    <w:p>
      <w:pPr>
        <w:spacing w:after="0" w:line="276" w:lineRule="exact"/>
        <w:rPr>
          <w:sz w:val="20"/>
          <w:szCs w:val="20"/>
          <w:color w:val="auto"/>
        </w:rPr>
      </w:pPr>
    </w:p>
    <w:p>
      <w:pPr>
        <w:sectPr>
          <w:pgSz w:w="11900" w:h="16838" w:orient="portrait"/>
          <w:cols w:equalWidth="0" w:num="3">
            <w:col w:w="2700" w:space="460"/>
            <w:col w:w="2040" w:space="720"/>
            <w:col w:w="4860"/>
          </w:cols>
          <w:pgMar w:left="480" w:top="93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9"/>
                <w:szCs w:val="19"/>
                <w:color w:val="auto"/>
              </w:rPr>
              <w:t>*Based on consumers’stated responses per L.E.K’s survey within DXL markets</w:t>
            </w:r>
          </w:p>
        </w:tc>
        <w:tc>
          <w:tcPr>
            <w:tcW w:w="2380" w:type="dxa"/>
            <w:vAlign w:val="bottom"/>
            <w:vMerge w:val="restart"/>
          </w:tcPr>
          <w:p>
            <w:pPr>
              <w:jc w:val="right"/>
              <w:spacing w:after="0"/>
              <w:rPr>
                <w:sz w:val="20"/>
                <w:szCs w:val="20"/>
                <w:color w:val="auto"/>
              </w:rPr>
            </w:pPr>
            <w:r>
              <w:rPr>
                <w:rFonts w:ascii="Arial" w:cs="Arial" w:eastAsia="Arial" w:hAnsi="Arial"/>
                <w:sz w:val="19"/>
                <w:szCs w:val="19"/>
                <w:color w:val="898989"/>
              </w:rPr>
              <w:t>25</w:t>
            </w:r>
          </w:p>
        </w:tc>
        <w:tc>
          <w:tcPr>
            <w:tcW w:w="0" w:type="dxa"/>
            <w:vAlign w:val="bottom"/>
          </w:tcPr>
          <w:p>
            <w:pPr>
              <w:spacing w:after="0"/>
              <w:rPr>
                <w:sz w:val="1"/>
                <w:szCs w:val="1"/>
                <w:color w:val="auto"/>
              </w:rPr>
            </w:pPr>
          </w:p>
        </w:tc>
      </w:tr>
      <w:tr>
        <w:trPr>
          <w:trHeight w:val="110"/>
        </w:trPr>
        <w:tc>
          <w:tcPr>
            <w:tcW w:w="8140" w:type="dxa"/>
            <w:vAlign w:val="bottom"/>
            <w:vMerge w:val="restart"/>
          </w:tcPr>
          <w:p>
            <w:pPr>
              <w:spacing w:after="0"/>
              <w:rPr>
                <w:sz w:val="20"/>
                <w:szCs w:val="20"/>
                <w:color w:val="auto"/>
              </w:rPr>
            </w:pPr>
            <w:r>
              <w:rPr>
                <w:rFonts w:ascii="Arial" w:cs="Arial" w:eastAsia="Arial" w:hAnsi="Arial"/>
                <w:sz w:val="19"/>
                <w:szCs w:val="19"/>
                <w:color w:val="auto"/>
              </w:rPr>
              <w:t>Source: L.E.K analysis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80" w:top="934" w:right="6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Opportunity to Grow Market Share</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auto"/>
        </w:rPr>
        <w:t>Addressable Market = 40M Customers</w:t>
      </w:r>
    </w:p>
    <w:p>
      <w:pPr>
        <w:spacing w:after="0" w:line="336"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auto"/>
        </w:rPr>
        <w:t>1.5M Currently Active Customers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auto"/>
        </w:rPr>
        <w:t>Goal = Grow Customers by 40% Over 3 Years</w:t>
      </w:r>
    </w:p>
    <w:p>
      <w:pPr>
        <w:spacing w:after="0" w:line="39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Capture greater wallet share with DXL concept</w:t>
      </w:r>
    </w:p>
    <w:p>
      <w:pPr>
        <w:spacing w:after="0" w:line="200" w:lineRule="exact"/>
        <w:rPr>
          <w:sz w:val="20"/>
          <w:szCs w:val="20"/>
          <w:color w:val="auto"/>
        </w:rPr>
      </w:pPr>
    </w:p>
    <w:p>
      <w:pPr>
        <w:spacing w:after="0" w:line="382"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Attract a broader customer audience with one-stop-shop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Target “end-of-rack” customers</w:t>
      </w:r>
    </w:p>
    <w:p>
      <w:pPr>
        <w:spacing w:after="0" w:line="200" w:lineRule="exact"/>
        <w:rPr>
          <w:sz w:val="20"/>
          <w:szCs w:val="20"/>
          <w:color w:val="auto"/>
        </w:rPr>
      </w:pPr>
    </w:p>
    <w:p>
      <w:pPr>
        <w:spacing w:after="0" w:line="39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Paradigm shift in marketing improves awareness</w:t>
      </w:r>
    </w:p>
    <w:p>
      <w:pPr>
        <w:spacing w:after="0" w:line="200" w:lineRule="exact"/>
        <w:rPr>
          <w:sz w:val="20"/>
          <w:szCs w:val="20"/>
          <w:color w:val="auto"/>
        </w:rPr>
      </w:pPr>
    </w:p>
    <w:p>
      <w:pPr>
        <w:spacing w:after="0" w:line="394"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Grow direct business with new website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26</w:t>
      </w:r>
    </w:p>
    <w:p>
      <w:pPr>
        <w:sectPr>
          <w:pgSz w:w="11900" w:h="16838" w:orient="portrait"/>
          <w:cols w:equalWidth="0" w:num="1">
            <w:col w:w="9920"/>
          </w:cols>
          <w:pgMar w:left="1080" w:top="911" w:right="899" w:bottom="1440" w:gutter="0" w:footer="0" w:header="0"/>
        </w:sectPr>
      </w:pPr>
    </w:p>
    <w:bookmarkStart w:id="35" w:name="page36"/>
    <w:bookmarkEnd w:id="35"/>
    <w:p>
      <w:pPr>
        <w:spacing w:after="0"/>
        <w:tabs>
          <w:tab w:leader="none" w:pos="3220" w:val="left"/>
        </w:tabs>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Destination</w:t>
      </w:r>
      <w:r>
        <w:rPr>
          <w:sz w:val="20"/>
          <w:szCs w:val="20"/>
          <w:color w:val="auto"/>
        </w:rPr>
        <w:tab/>
      </w:r>
      <w:r>
        <w:rPr>
          <w:rFonts w:ascii="Arial" w:cs="Arial" w:eastAsia="Arial" w:hAnsi="Arial"/>
          <w:sz w:val="54"/>
          <w:szCs w:val="54"/>
          <w:b w:val="1"/>
          <w:bCs w:val="1"/>
          <w:color w:val="5F5F5F"/>
        </w:rPr>
        <w:t>XL</w:t>
      </w:r>
      <w:r>
        <w:rPr>
          <w:rFonts w:ascii="Arial" w:cs="Arial" w:eastAsia="Arial" w:hAnsi="Arial"/>
          <w:sz w:val="72"/>
          <w:szCs w:val="72"/>
          <w:b w:val="1"/>
          <w:bCs w:val="1"/>
          <w:color w:val="5F5F5F"/>
          <w:vertAlign w:val="superscript"/>
        </w:rPr>
        <w:t>®</w:t>
      </w:r>
      <w:r>
        <w:rPr>
          <w:rFonts w:ascii="Arial" w:cs="Arial" w:eastAsia="Arial" w:hAnsi="Arial"/>
          <w:sz w:val="54"/>
          <w:szCs w:val="54"/>
          <w:b w:val="1"/>
          <w:bCs w:val="1"/>
          <w:color w:val="5F5F5F"/>
        </w:rPr>
        <w:t xml:space="preserve"> Marketing Campaign</w:t>
      </w:r>
    </w:p>
    <w:p>
      <w:pPr>
        <w:spacing w:after="0" w:line="396" w:lineRule="exact"/>
        <w:rPr>
          <w:sz w:val="20"/>
          <w:szCs w:val="20"/>
          <w:color w:val="auto"/>
        </w:rPr>
      </w:pPr>
    </w:p>
    <w:p>
      <w:pPr>
        <w:ind w:left="1960"/>
        <w:spacing w:after="0"/>
        <w:rPr>
          <w:sz w:val="20"/>
          <w:szCs w:val="20"/>
          <w:color w:val="auto"/>
        </w:rPr>
      </w:pPr>
      <w:r>
        <w:rPr>
          <w:rFonts w:ascii="Arial" w:cs="Arial" w:eastAsia="Arial" w:hAnsi="Arial"/>
          <w:sz w:val="32"/>
          <w:szCs w:val="32"/>
          <w:b w:val="1"/>
          <w:bCs w:val="1"/>
          <w:color w:val="auto"/>
        </w:rPr>
        <w:t>Launched test campaign in 5 markets:</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32"/>
          <w:szCs w:val="32"/>
          <w:color w:val="auto"/>
        </w:rPr>
        <w:t>Memphis, Minneapolis, Denver, Atlanta and Oklahoma City</w:t>
      </w:r>
    </w:p>
    <w:p>
      <w:pPr>
        <w:sectPr>
          <w:pgSz w:w="11900" w:h="16838" w:orient="portrait"/>
          <w:cols w:equalWidth="0" w:num="1">
            <w:col w:w="10460"/>
          </w:cols>
          <w:pgMar w:left="540" w:top="107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60"/>
        <w:spacing w:after="0"/>
        <w:rPr>
          <w:sz w:val="20"/>
          <w:szCs w:val="20"/>
          <w:color w:val="auto"/>
        </w:rPr>
      </w:pPr>
      <w:r>
        <w:rPr>
          <w:rFonts w:ascii="Arial" w:cs="Arial" w:eastAsia="Arial" w:hAnsi="Arial"/>
          <w:sz w:val="25"/>
          <w:szCs w:val="25"/>
          <w:b w:val="1"/>
          <w:bCs w:val="1"/>
          <w:color w:val="auto"/>
        </w:rPr>
        <w:t>Increased awareness by 100%</w:t>
      </w:r>
    </w:p>
    <w:p>
      <w:pPr>
        <w:spacing w:after="0" w:line="80" w:lineRule="exact"/>
        <w:rPr>
          <w:sz w:val="20"/>
          <w:szCs w:val="20"/>
          <w:color w:val="auto"/>
        </w:rPr>
      </w:pPr>
    </w:p>
    <w:p>
      <w:pPr>
        <w:ind w:left="1220" w:right="460" w:hanging="305"/>
        <w:spacing w:after="0" w:line="316" w:lineRule="auto"/>
        <w:rPr>
          <w:sz w:val="20"/>
          <w:szCs w:val="20"/>
          <w:color w:val="auto"/>
        </w:rPr>
      </w:pPr>
      <w:r>
        <w:rPr>
          <w:rFonts w:ascii="Arial" w:cs="Arial" w:eastAsia="Arial" w:hAnsi="Arial"/>
          <w:sz w:val="26"/>
          <w:szCs w:val="26"/>
          <w:b w:val="1"/>
          <w:bCs w:val="1"/>
          <w:color w:val="auto"/>
        </w:rPr>
        <w:t>in new markets &amp; 38% in established markets</w:t>
      </w:r>
    </w:p>
    <w:p>
      <w:pPr>
        <w:spacing w:after="0" w:line="350" w:lineRule="exact"/>
        <w:rPr>
          <w:sz w:val="20"/>
          <w:szCs w:val="20"/>
          <w:color w:val="auto"/>
        </w:rPr>
      </w:pPr>
    </w:p>
    <w:p>
      <w:pPr>
        <w:ind w:left="1180"/>
        <w:spacing w:after="0"/>
        <w:rPr>
          <w:sz w:val="20"/>
          <w:szCs w:val="20"/>
          <w:color w:val="auto"/>
        </w:rPr>
      </w:pPr>
      <w:r>
        <w:rPr>
          <w:rFonts w:ascii="Arial" w:cs="Arial" w:eastAsia="Arial" w:hAnsi="Arial"/>
          <w:sz w:val="28"/>
          <w:szCs w:val="28"/>
          <w:b w:val="1"/>
          <w:bCs w:val="1"/>
          <w:color w:val="auto"/>
        </w:rPr>
        <w:t>Built Stronger Brand</w:t>
      </w:r>
    </w:p>
    <w:p>
      <w:pPr>
        <w:spacing w:after="0" w:line="39" w:lineRule="exact"/>
        <w:rPr>
          <w:sz w:val="20"/>
          <w:szCs w:val="20"/>
          <w:color w:val="auto"/>
        </w:rPr>
      </w:pPr>
    </w:p>
    <w:p>
      <w:pPr>
        <w:ind w:left="1240"/>
        <w:spacing w:after="0"/>
        <w:rPr>
          <w:sz w:val="20"/>
          <w:szCs w:val="20"/>
          <w:color w:val="auto"/>
        </w:rPr>
      </w:pPr>
      <w:r>
        <w:rPr>
          <w:rFonts w:ascii="Arial" w:cs="Arial" w:eastAsia="Arial" w:hAnsi="Arial"/>
          <w:sz w:val="28"/>
          <w:szCs w:val="28"/>
          <w:b w:val="1"/>
          <w:bCs w:val="1"/>
          <w:color w:val="auto"/>
        </w:rPr>
        <w:t>to Attract and Serve</w:t>
      </w:r>
    </w:p>
    <w:p>
      <w:pPr>
        <w:spacing w:after="0" w:line="13" w:lineRule="exact"/>
        <w:rPr>
          <w:sz w:val="20"/>
          <w:szCs w:val="20"/>
          <w:color w:val="auto"/>
        </w:rPr>
      </w:pPr>
    </w:p>
    <w:p>
      <w:pPr>
        <w:ind w:left="1780"/>
        <w:spacing w:after="0"/>
        <w:rPr>
          <w:sz w:val="20"/>
          <w:szCs w:val="20"/>
          <w:color w:val="auto"/>
        </w:rPr>
      </w:pPr>
      <w:r>
        <w:rPr>
          <w:rFonts w:ascii="Arial" w:cs="Arial" w:eastAsia="Arial" w:hAnsi="Arial"/>
          <w:sz w:val="28"/>
          <w:szCs w:val="28"/>
          <w:b w:val="1"/>
          <w:bCs w:val="1"/>
          <w:color w:val="auto"/>
        </w:rPr>
        <w:t>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“End-of-rack” customer</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base grew by 38%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auto"/>
        </w:rPr>
        <w:t>Results Demonstrate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28"/>
          <w:szCs w:val="28"/>
          <w:b w:val="1"/>
          <w:bCs w:val="1"/>
          <w:color w:val="auto"/>
        </w:rPr>
        <w:t>Ability to Grow</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Market Share</w:t>
      </w:r>
    </w:p>
    <w:p>
      <w:pPr>
        <w:spacing w:after="0" w:line="200" w:lineRule="exact"/>
        <w:rPr>
          <w:sz w:val="20"/>
          <w:szCs w:val="20"/>
          <w:color w:val="auto"/>
        </w:rPr>
      </w:pPr>
    </w:p>
    <w:p>
      <w:pPr>
        <w:sectPr>
          <w:pgSz w:w="11900" w:h="16838" w:orient="portrait"/>
          <w:cols w:equalWidth="0" w:num="2">
            <w:col w:w="4480" w:space="720"/>
            <w:col w:w="5260"/>
          </w:cols>
          <w:pgMar w:left="540" w:top="1077"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60"/>
        <w:spacing w:after="0"/>
        <w:rPr>
          <w:sz w:val="20"/>
          <w:szCs w:val="20"/>
          <w:color w:val="auto"/>
        </w:rPr>
      </w:pPr>
      <w:r>
        <w:rPr>
          <w:rFonts w:ascii="Arial" w:cs="Arial" w:eastAsia="Arial" w:hAnsi="Arial"/>
          <w:sz w:val="17"/>
          <w:szCs w:val="17"/>
          <w:color w:val="898989"/>
        </w:rPr>
        <w:t>27</w:t>
      </w:r>
    </w:p>
    <w:p>
      <w:pPr>
        <w:sectPr>
          <w:pgSz w:w="11900" w:h="16838" w:orient="portrait"/>
          <w:cols w:equalWidth="0" w:num="1">
            <w:col w:w="10460"/>
          </w:cols>
          <w:pgMar w:left="540" w:top="1077" w:right="8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Established Effective Marketing Mix</w:t>
      </w:r>
    </w:p>
    <w:p>
      <w:pPr>
        <w:spacing w:after="0" w:line="372" w:lineRule="exact"/>
        <w:rPr>
          <w:sz w:val="20"/>
          <w:szCs w:val="20"/>
          <w:color w:val="auto"/>
        </w:rPr>
      </w:pPr>
    </w:p>
    <w:p>
      <w:pPr>
        <w:ind w:left="2680" w:right="2260" w:hanging="787"/>
        <w:spacing w:after="0" w:line="319" w:lineRule="auto"/>
        <w:rPr>
          <w:sz w:val="20"/>
          <w:szCs w:val="20"/>
          <w:color w:val="auto"/>
        </w:rPr>
      </w:pPr>
      <w:r>
        <w:rPr>
          <w:rFonts w:ascii="Arial" w:cs="Arial" w:eastAsia="Arial" w:hAnsi="Arial"/>
          <w:sz w:val="26"/>
          <w:szCs w:val="26"/>
          <w:b w:val="1"/>
          <w:bCs w:val="1"/>
          <w:color w:val="auto"/>
        </w:rPr>
        <w:t>6-Week Test Demonstrated TV, Radio and Digital is Most Effective Marketing Combination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340" w:type="dxa"/>
        <w:tblCellMar>
          <w:top w:w="0" w:type="dxa"/>
          <w:left w:w="0" w:type="dxa"/>
          <w:bottom w:w="0" w:type="dxa"/>
          <w:right w:w="0" w:type="dxa"/>
        </w:tblCellMar>
      </w:tblPr>
      <w:tr>
        <w:trPr>
          <w:trHeight w:val="525"/>
        </w:trPr>
        <w:tc>
          <w:tcPr>
            <w:tcW w:w="2560" w:type="dxa"/>
            <w:vAlign w:val="bottom"/>
          </w:tcPr>
          <w:p>
            <w:pPr>
              <w:spacing w:after="0"/>
              <w:rPr>
                <w:sz w:val="20"/>
                <w:szCs w:val="20"/>
                <w:color w:val="auto"/>
              </w:rPr>
            </w:pPr>
            <w:r>
              <w:rPr>
                <w:rFonts w:ascii="Arial" w:cs="Arial" w:eastAsia="Arial" w:hAnsi="Arial"/>
                <w:sz w:val="44"/>
                <w:szCs w:val="44"/>
                <w:b w:val="1"/>
                <w:bCs w:val="1"/>
                <w:color w:val="auto"/>
              </w:rPr>
              <w:t>15% sales</w:t>
            </w:r>
          </w:p>
        </w:tc>
        <w:tc>
          <w:tcPr>
            <w:tcW w:w="3840" w:type="dxa"/>
            <w:vAlign w:val="bottom"/>
          </w:tcPr>
          <w:p>
            <w:pPr>
              <w:jc w:val="center"/>
              <w:ind w:left="285"/>
              <w:spacing w:after="0"/>
              <w:rPr>
                <w:sz w:val="20"/>
                <w:szCs w:val="20"/>
                <w:color w:val="auto"/>
              </w:rPr>
            </w:pPr>
            <w:r>
              <w:rPr>
                <w:rFonts w:ascii="Arial" w:cs="Arial" w:eastAsia="Arial" w:hAnsi="Arial"/>
                <w:sz w:val="27"/>
                <w:szCs w:val="27"/>
                <w:color w:val="auto"/>
                <w:w w:val="91"/>
              </w:rPr>
              <w:t>Established Market</w:t>
            </w:r>
          </w:p>
        </w:tc>
      </w:tr>
      <w:tr>
        <w:trPr>
          <w:trHeight w:val="345"/>
        </w:trPr>
        <w:tc>
          <w:tcPr>
            <w:tcW w:w="2560" w:type="dxa"/>
            <w:vAlign w:val="bottom"/>
          </w:tcPr>
          <w:p>
            <w:pPr>
              <w:spacing w:after="0"/>
              <w:rPr>
                <w:sz w:val="24"/>
                <w:szCs w:val="24"/>
                <w:color w:val="auto"/>
              </w:rPr>
            </w:pPr>
          </w:p>
        </w:tc>
        <w:tc>
          <w:tcPr>
            <w:tcW w:w="3840" w:type="dxa"/>
            <w:vAlign w:val="bottom"/>
          </w:tcPr>
          <w:p>
            <w:pPr>
              <w:jc w:val="center"/>
              <w:ind w:left="265"/>
              <w:spacing w:after="0"/>
              <w:rPr>
                <w:sz w:val="20"/>
                <w:szCs w:val="20"/>
                <w:color w:val="auto"/>
              </w:rPr>
            </w:pPr>
            <w:r>
              <w:rPr>
                <w:rFonts w:ascii="Arial" w:cs="Arial" w:eastAsia="Arial" w:hAnsi="Arial"/>
                <w:sz w:val="27"/>
                <w:szCs w:val="27"/>
                <w:color w:val="auto"/>
                <w:w w:val="93"/>
              </w:rPr>
              <w:t>Memphis DXL Opened in 2010</w:t>
            </w:r>
          </w:p>
        </w:tc>
      </w:tr>
      <w:tr>
        <w:trPr>
          <w:trHeight w:val="638"/>
        </w:trPr>
        <w:tc>
          <w:tcPr>
            <w:tcW w:w="2560" w:type="dxa"/>
            <w:vAlign w:val="bottom"/>
          </w:tcPr>
          <w:p>
            <w:pPr>
              <w:spacing w:after="0"/>
              <w:rPr>
                <w:sz w:val="20"/>
                <w:szCs w:val="20"/>
                <w:color w:val="auto"/>
              </w:rPr>
            </w:pPr>
            <w:r>
              <w:rPr>
                <w:rFonts w:ascii="Arial" w:cs="Arial" w:eastAsia="Arial" w:hAnsi="Arial"/>
                <w:sz w:val="44"/>
                <w:szCs w:val="44"/>
                <w:b w:val="1"/>
                <w:bCs w:val="1"/>
                <w:color w:val="auto"/>
              </w:rPr>
              <w:t>24% traffic</w:t>
            </w:r>
          </w:p>
        </w:tc>
        <w:tc>
          <w:tcPr>
            <w:tcW w:w="3840" w:type="dxa"/>
            <w:vAlign w:val="bottom"/>
          </w:tcPr>
          <w:p>
            <w:pPr>
              <w:spacing w:after="0"/>
              <w:rPr>
                <w:sz w:val="24"/>
                <w:szCs w:val="24"/>
                <w:color w:val="auto"/>
              </w:rPr>
            </w:pPr>
          </w:p>
        </w:tc>
      </w:tr>
    </w:tbl>
    <w:p>
      <w:pPr>
        <w:spacing w:after="0" w:line="373" w:lineRule="exact"/>
        <w:rPr>
          <w:sz w:val="20"/>
          <w:szCs w:val="20"/>
          <w:color w:val="auto"/>
        </w:rPr>
      </w:pPr>
    </w:p>
    <w:p>
      <w:pPr>
        <w:ind w:left="1360"/>
        <w:spacing w:after="0"/>
        <w:rPr>
          <w:sz w:val="20"/>
          <w:szCs w:val="20"/>
          <w:color w:val="auto"/>
        </w:rPr>
      </w:pPr>
      <w:r>
        <w:rPr>
          <w:rFonts w:ascii="Arial" w:cs="Arial" w:eastAsia="Arial" w:hAnsi="Arial"/>
          <w:sz w:val="44"/>
          <w:szCs w:val="44"/>
          <w:b w:val="1"/>
          <w:bCs w:val="1"/>
          <w:color w:val="auto"/>
        </w:rPr>
        <w:t>64% new customer purchases</w:t>
      </w:r>
    </w:p>
    <w:p>
      <w:pPr>
        <w:spacing w:after="0" w:line="317" w:lineRule="exact"/>
        <w:rPr>
          <w:sz w:val="20"/>
          <w:szCs w:val="20"/>
          <w:color w:val="auto"/>
        </w:rPr>
      </w:pPr>
    </w:p>
    <w:p>
      <w:pPr>
        <w:ind w:left="1340"/>
        <w:spacing w:after="0"/>
        <w:rPr>
          <w:sz w:val="20"/>
          <w:szCs w:val="20"/>
          <w:color w:val="auto"/>
        </w:rPr>
      </w:pPr>
      <w:r>
        <w:rPr>
          <w:rFonts w:ascii="Arial" w:cs="Arial" w:eastAsia="Arial" w:hAnsi="Arial"/>
          <w:sz w:val="44"/>
          <w:szCs w:val="44"/>
          <w:b w:val="1"/>
          <w:bCs w:val="1"/>
          <w:color w:val="auto"/>
        </w:rPr>
        <w:t>38% market awareness</w:t>
      </w:r>
    </w:p>
    <w:p>
      <w:pPr>
        <w:spacing w:after="0" w:line="352" w:lineRule="exact"/>
        <w:rPr>
          <w:sz w:val="20"/>
          <w:szCs w:val="20"/>
          <w:color w:val="auto"/>
        </w:rPr>
      </w:pPr>
    </w:p>
    <w:p>
      <w:pPr>
        <w:ind w:left="1380"/>
        <w:spacing w:after="0"/>
        <w:rPr>
          <w:sz w:val="20"/>
          <w:szCs w:val="20"/>
          <w:color w:val="auto"/>
        </w:rPr>
      </w:pPr>
      <w:r>
        <w:rPr>
          <w:rFonts w:ascii="Arial" w:cs="Arial" w:eastAsia="Arial" w:hAnsi="Arial"/>
          <w:sz w:val="44"/>
          <w:szCs w:val="44"/>
          <w:b w:val="1"/>
          <w:bCs w:val="1"/>
          <w:color w:val="auto"/>
        </w:rPr>
        <w:t>84% web traffic</w:t>
      </w:r>
    </w:p>
    <w:p>
      <w:pPr>
        <w:spacing w:after="0" w:line="349" w:lineRule="exact"/>
        <w:rPr>
          <w:sz w:val="20"/>
          <w:szCs w:val="20"/>
          <w:color w:val="auto"/>
        </w:rPr>
      </w:pPr>
    </w:p>
    <w:p>
      <w:pPr>
        <w:ind w:left="1500"/>
        <w:spacing w:after="0"/>
        <w:rPr>
          <w:sz w:val="20"/>
          <w:szCs w:val="20"/>
          <w:color w:val="auto"/>
        </w:rPr>
      </w:pPr>
      <w:r>
        <w:rPr>
          <w:rFonts w:ascii="Arial" w:cs="Arial" w:eastAsia="Arial" w:hAnsi="Arial"/>
          <w:sz w:val="44"/>
          <w:szCs w:val="44"/>
          <w:b w:val="1"/>
          <w:bCs w:val="1"/>
          <w:color w:val="auto"/>
        </w:rPr>
        <w:t>7% web sales</w:t>
      </w:r>
    </w:p>
    <w:p>
      <w:pPr>
        <w:jc w:val="right"/>
        <w:spacing w:after="0"/>
        <w:rPr>
          <w:sz w:val="20"/>
          <w:szCs w:val="20"/>
          <w:color w:val="auto"/>
        </w:rPr>
      </w:pPr>
      <w:r>
        <w:rPr>
          <w:rFonts w:ascii="Arial" w:cs="Arial" w:eastAsia="Arial" w:hAnsi="Arial"/>
          <w:sz w:val="19"/>
          <w:szCs w:val="19"/>
          <w:color w:val="898989"/>
        </w:rPr>
        <w:t>28</w:t>
      </w:r>
    </w:p>
    <w:p>
      <w:pPr>
        <w:sectPr>
          <w:pgSz w:w="11900" w:h="16838" w:orient="portrait"/>
          <w:cols w:equalWidth="0" w:num="1">
            <w:col w:w="10360"/>
          </w:cols>
          <w:pgMar w:left="640" w:top="911" w:right="899" w:bottom="1440" w:gutter="0" w:footer="0" w:header="0"/>
        </w:sectPr>
      </w:pPr>
    </w:p>
    <w:bookmarkStart w:id="37" w:name="page38"/>
    <w:bookmarkEnd w:id="3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Test TV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8"/>
          <w:szCs w:val="28"/>
          <w:color w:val="auto"/>
        </w:rPr>
        <w:t>Marketing to Customers in “No Man’s Land”</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29</w:t>
      </w:r>
    </w:p>
    <w:p>
      <w:pPr>
        <w:sectPr>
          <w:pgSz w:w="11900" w:h="16838" w:orient="portrait"/>
          <w:cols w:equalWidth="0" w:num="1">
            <w:col w:w="9960"/>
          </w:cols>
          <w:pgMar w:left="1040" w:top="1052" w:right="899" w:bottom="1440" w:gutter="0" w:footer="0" w:header="0"/>
        </w:sectPr>
      </w:pPr>
    </w:p>
    <w:bookmarkStart w:id="38" w:name="page39"/>
    <w:bookmarkEnd w:id="38"/>
    <w:p>
      <w:pPr>
        <w:ind w:left="60"/>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Proposed 2013 Marketing Spend</w:t>
      </w:r>
    </w:p>
    <w:p>
      <w:pPr>
        <w:spacing w:after="0" w:line="358" w:lineRule="exact"/>
        <w:rPr>
          <w:sz w:val="20"/>
          <w:szCs w:val="20"/>
          <w:color w:val="auto"/>
        </w:rPr>
      </w:pPr>
    </w:p>
    <w:p>
      <w:pPr>
        <w:ind w:left="580" w:hanging="421"/>
        <w:spacing w:after="0"/>
        <w:tabs>
          <w:tab w:leader="none" w:pos="580" w:val="left"/>
        </w:tabs>
        <w:numPr>
          <w:ilvl w:val="0"/>
          <w:numId w:val="6"/>
        </w:numPr>
        <w:rPr>
          <w:rFonts w:ascii="Arial" w:cs="Arial" w:eastAsia="Arial" w:hAnsi="Arial"/>
          <w:sz w:val="25"/>
          <w:szCs w:val="25"/>
          <w:color w:val="auto"/>
        </w:rPr>
      </w:pPr>
      <w:r>
        <w:rPr>
          <w:rFonts w:ascii="Arial" w:cs="Arial" w:eastAsia="Arial" w:hAnsi="Arial"/>
          <w:sz w:val="25"/>
          <w:szCs w:val="25"/>
          <w:b w:val="1"/>
          <w:bCs w:val="1"/>
          <w:color w:val="auto"/>
        </w:rPr>
        <w:t>Increase marketing spend as percent of sales from 4.5% to 6.5%</w:t>
      </w:r>
    </w:p>
    <w:p>
      <w:pPr>
        <w:spacing w:after="0" w:line="124" w:lineRule="exact"/>
        <w:rPr>
          <w:rFonts w:ascii="Arial" w:cs="Arial" w:eastAsia="Arial" w:hAnsi="Arial"/>
          <w:sz w:val="25"/>
          <w:szCs w:val="25"/>
          <w:color w:val="auto"/>
        </w:rPr>
      </w:pPr>
    </w:p>
    <w:p>
      <w:pPr>
        <w:ind w:left="580" w:hanging="421"/>
        <w:spacing w:after="0"/>
        <w:tabs>
          <w:tab w:leader="none" w:pos="580" w:val="left"/>
        </w:tabs>
        <w:numPr>
          <w:ilvl w:val="0"/>
          <w:numId w:val="6"/>
        </w:numPr>
        <w:rPr>
          <w:rFonts w:ascii="Arial" w:cs="Arial" w:eastAsia="Arial" w:hAnsi="Arial"/>
          <w:sz w:val="28"/>
          <w:szCs w:val="28"/>
          <w:color w:val="auto"/>
        </w:rPr>
      </w:pPr>
      <w:r>
        <w:rPr>
          <w:rFonts w:ascii="Arial" w:cs="Arial" w:eastAsia="Arial" w:hAnsi="Arial"/>
          <w:sz w:val="28"/>
          <w:szCs w:val="28"/>
          <w:b w:val="1"/>
          <w:bCs w:val="1"/>
          <w:color w:val="auto"/>
        </w:rPr>
        <w:t>Launch strong national marketing campaign in spring 2013</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$M</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0</w:t>
      </w:r>
    </w:p>
    <w:p>
      <w:pPr>
        <w:sectPr>
          <w:pgSz w:w="11900" w:h="16838" w:orient="portrait"/>
          <w:cols w:equalWidth="0" w:num="1">
            <w:col w:w="10020"/>
          </w:cols>
          <w:pgMar w:left="980" w:top="1052" w:right="899" w:bottom="1440" w:gutter="0" w:footer="0" w:header="0"/>
        </w:sectPr>
      </w:pPr>
    </w:p>
    <w:p>
      <w:pPr>
        <w:spacing w:after="0" w:line="2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DXL Media</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Digital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Visual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Loyalty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168" w:lineRule="exact"/>
        <w:rPr>
          <w:sz w:val="20"/>
          <w:szCs w:val="20"/>
          <w:color w:val="auto"/>
        </w:rPr>
      </w:pPr>
    </w:p>
    <w:p>
      <w:pPr>
        <w:sectPr>
          <w:pgSz w:w="11900" w:h="16838" w:orient="portrait"/>
          <w:cols w:equalWidth="0" w:num="6">
            <w:col w:w="1440" w:space="600"/>
            <w:col w:w="560" w:space="720"/>
            <w:col w:w="600" w:space="720"/>
            <w:col w:w="520" w:space="720"/>
            <w:col w:w="660" w:space="720"/>
            <w:col w:w="2760"/>
          </w:cols>
          <w:pgMar w:left="980" w:top="1052" w:right="899" w:bottom="1440" w:gutter="0" w:footer="0" w:header="0"/>
          <w:type w:val="continuous"/>
        </w:sectPr>
      </w:pPr>
    </w:p>
    <w:p>
      <w:pPr>
        <w:ind w:left="3740"/>
        <w:spacing w:after="0"/>
        <w:rPr>
          <w:sz w:val="20"/>
          <w:szCs w:val="20"/>
          <w:color w:val="auto"/>
        </w:rPr>
      </w:pP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2013</w:t>
      </w:r>
    </w:p>
    <w:p>
      <w:pPr>
        <w:spacing w:after="0" w:line="200" w:lineRule="exact"/>
        <w:rPr>
          <w:sz w:val="20"/>
          <w:szCs w:val="20"/>
          <w:color w:val="auto"/>
        </w:rPr>
      </w:pPr>
    </w:p>
    <w:p>
      <w:pPr>
        <w:sectPr>
          <w:pgSz w:w="11900" w:h="16838" w:orient="portrait"/>
          <w:cols w:equalWidth="0" w:num="2">
            <w:col w:w="4100" w:space="340"/>
            <w:col w:w="5580"/>
          </w:cols>
          <w:pgMar w:left="980" w:top="1052" w:right="899" w:bottom="1440" w:gutter="0" w:footer="0" w:header="0"/>
          <w:type w:val="continuous"/>
        </w:sectPr>
      </w:pPr>
    </w:p>
    <w:p>
      <w:pPr>
        <w:spacing w:after="0" w:line="183"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Total 50% Increase YOY</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26"/>
          <w:szCs w:val="26"/>
          <w:color w:val="auto"/>
        </w:rPr>
        <w:t>to Drive DXL Awareness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898989"/>
        </w:rPr>
        <w:t>30</w:t>
      </w:r>
    </w:p>
    <w:p>
      <w:pPr>
        <w:sectPr>
          <w:pgSz w:w="11900" w:h="16838" w:orient="portrait"/>
          <w:cols w:equalWidth="0" w:num="2">
            <w:col w:w="9100" w:space="720"/>
            <w:col w:w="200"/>
          </w:cols>
          <w:pgMar w:left="980" w:top="1052" w:right="8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Q4 2012 Preliminary Results</w:t>
      </w:r>
    </w:p>
    <w:p>
      <w:pPr>
        <w:spacing w:after="0" w:line="300" w:lineRule="exact"/>
        <w:rPr>
          <w:sz w:val="20"/>
          <w:szCs w:val="20"/>
          <w:color w:val="auto"/>
        </w:rPr>
      </w:pPr>
    </w:p>
    <w:p>
      <w:pPr>
        <w:ind w:left="420" w:hanging="415"/>
        <w:spacing w:after="0"/>
        <w:tabs>
          <w:tab w:leader="none" w:pos="420" w:val="left"/>
        </w:tabs>
        <w:numPr>
          <w:ilvl w:val="0"/>
          <w:numId w:val="7"/>
        </w:numPr>
        <w:rPr>
          <w:rFonts w:ascii="Arial" w:cs="Arial" w:eastAsia="Arial" w:hAnsi="Arial"/>
          <w:sz w:val="33"/>
          <w:szCs w:val="33"/>
          <w:color w:val="auto"/>
        </w:rPr>
      </w:pPr>
      <w:r>
        <w:rPr>
          <w:rFonts w:ascii="Arial" w:cs="Arial" w:eastAsia="Arial" w:hAnsi="Arial"/>
          <w:sz w:val="33"/>
          <w:szCs w:val="33"/>
          <w:color w:val="auto"/>
        </w:rPr>
        <w:t>Comparable sales increased ~0.5% and total sales were ~$114.9M</w:t>
      </w:r>
    </w:p>
    <w:p>
      <w:pPr>
        <w:spacing w:after="0" w:line="325" w:lineRule="exact"/>
        <w:rPr>
          <w:rFonts w:ascii="Arial" w:cs="Arial" w:eastAsia="Arial" w:hAnsi="Arial"/>
          <w:sz w:val="33"/>
          <w:szCs w:val="33"/>
          <w:color w:val="auto"/>
        </w:rPr>
      </w:pPr>
    </w:p>
    <w:p>
      <w:pPr>
        <w:ind w:left="420" w:right="1120" w:hanging="415"/>
        <w:spacing w:after="0" w:line="268" w:lineRule="auto"/>
        <w:tabs>
          <w:tab w:leader="none" w:pos="420" w:val="left"/>
        </w:tabs>
        <w:numPr>
          <w:ilvl w:val="0"/>
          <w:numId w:val="7"/>
        </w:numPr>
        <w:rPr>
          <w:rFonts w:ascii="Arial" w:cs="Arial" w:eastAsia="Arial" w:hAnsi="Arial"/>
          <w:sz w:val="38"/>
          <w:szCs w:val="38"/>
          <w:color w:val="auto"/>
        </w:rPr>
      </w:pPr>
      <w:r>
        <w:rPr>
          <w:rFonts w:ascii="Arial" w:cs="Arial" w:eastAsia="Arial" w:hAnsi="Arial"/>
          <w:sz w:val="38"/>
          <w:szCs w:val="38"/>
          <w:color w:val="auto"/>
        </w:rPr>
        <w:t>Full year comparable sales increased ~1.5% and total sales were ~$399.6M</w:t>
      </w:r>
    </w:p>
    <w:p>
      <w:pPr>
        <w:spacing w:after="0" w:line="176" w:lineRule="exact"/>
        <w:rPr>
          <w:rFonts w:ascii="Arial" w:cs="Arial" w:eastAsia="Arial" w:hAnsi="Arial"/>
          <w:sz w:val="38"/>
          <w:szCs w:val="38"/>
          <w:color w:val="auto"/>
        </w:rPr>
      </w:pPr>
    </w:p>
    <w:p>
      <w:pPr>
        <w:ind w:left="420" w:right="400" w:hanging="415"/>
        <w:spacing w:after="0" w:line="328" w:lineRule="auto"/>
        <w:tabs>
          <w:tab w:leader="none" w:pos="420" w:val="left"/>
        </w:tabs>
        <w:numPr>
          <w:ilvl w:val="0"/>
          <w:numId w:val="7"/>
        </w:numPr>
        <w:rPr>
          <w:rFonts w:ascii="Arial" w:cs="Arial" w:eastAsia="Arial" w:hAnsi="Arial"/>
          <w:sz w:val="34"/>
          <w:szCs w:val="34"/>
          <w:color w:val="auto"/>
        </w:rPr>
      </w:pPr>
      <w:r>
        <w:rPr>
          <w:rFonts w:ascii="Arial" w:cs="Arial" w:eastAsia="Arial" w:hAnsi="Arial"/>
          <w:sz w:val="34"/>
          <w:szCs w:val="34"/>
          <w:color w:val="auto"/>
        </w:rPr>
        <w:t>Q4 comparable sales for DXLwere up ~15%, while comparable sales for Casual Male XL stores decreased ~2.3%</w:t>
      </w:r>
    </w:p>
    <w:p>
      <w:pPr>
        <w:spacing w:after="0" w:line="83" w:lineRule="exact"/>
        <w:rPr>
          <w:rFonts w:ascii="Arial" w:cs="Arial" w:eastAsia="Arial" w:hAnsi="Arial"/>
          <w:sz w:val="34"/>
          <w:szCs w:val="34"/>
          <w:color w:val="auto"/>
        </w:rPr>
      </w:pPr>
    </w:p>
    <w:p>
      <w:pPr>
        <w:ind w:left="420" w:hanging="415"/>
        <w:spacing w:after="0"/>
        <w:tabs>
          <w:tab w:leader="none" w:pos="420" w:val="left"/>
        </w:tabs>
        <w:numPr>
          <w:ilvl w:val="0"/>
          <w:numId w:val="7"/>
        </w:numPr>
        <w:rPr>
          <w:rFonts w:ascii="Arial" w:cs="Arial" w:eastAsia="Arial" w:hAnsi="Arial"/>
          <w:sz w:val="38"/>
          <w:szCs w:val="38"/>
          <w:color w:val="auto"/>
        </w:rPr>
      </w:pPr>
      <w:r>
        <w:rPr>
          <w:rFonts w:ascii="Arial" w:cs="Arial" w:eastAsia="Arial" w:hAnsi="Arial"/>
          <w:sz w:val="38"/>
          <w:szCs w:val="38"/>
          <w:color w:val="auto"/>
        </w:rPr>
        <w:t>DXL stores represented ~18% of retail sales</w:t>
      </w:r>
    </w:p>
    <w:p>
      <w:pPr>
        <w:spacing w:after="0" w:line="268" w:lineRule="exact"/>
        <w:rPr>
          <w:rFonts w:ascii="Arial" w:cs="Arial" w:eastAsia="Arial" w:hAnsi="Arial"/>
          <w:sz w:val="38"/>
          <w:szCs w:val="38"/>
          <w:color w:val="auto"/>
        </w:rPr>
      </w:pPr>
    </w:p>
    <w:p>
      <w:pPr>
        <w:ind w:left="420" w:hanging="415"/>
        <w:spacing w:after="0"/>
        <w:tabs>
          <w:tab w:leader="none" w:pos="420" w:val="left"/>
        </w:tabs>
        <w:numPr>
          <w:ilvl w:val="0"/>
          <w:numId w:val="7"/>
        </w:numPr>
        <w:rPr>
          <w:rFonts w:ascii="Arial" w:cs="Arial" w:eastAsia="Arial" w:hAnsi="Arial"/>
          <w:sz w:val="38"/>
          <w:szCs w:val="38"/>
          <w:color w:val="auto"/>
        </w:rPr>
      </w:pPr>
      <w:r>
        <w:rPr>
          <w:rFonts w:ascii="Arial" w:cs="Arial" w:eastAsia="Arial" w:hAnsi="Arial"/>
          <w:sz w:val="38"/>
          <w:szCs w:val="38"/>
          <w:color w:val="auto"/>
        </w:rPr>
        <w:t>Direct e-commerce sales increased ~13.0%</w:t>
      </w:r>
    </w:p>
    <w:p>
      <w:pPr>
        <w:spacing w:after="0" w:line="256" w:lineRule="exact"/>
        <w:rPr>
          <w:rFonts w:ascii="Arial" w:cs="Arial" w:eastAsia="Arial" w:hAnsi="Arial"/>
          <w:sz w:val="38"/>
          <w:szCs w:val="38"/>
          <w:color w:val="auto"/>
        </w:rPr>
      </w:pPr>
    </w:p>
    <w:p>
      <w:pPr>
        <w:ind w:left="420" w:right="2380" w:hanging="415"/>
        <w:spacing w:after="0" w:line="275" w:lineRule="auto"/>
        <w:tabs>
          <w:tab w:leader="none" w:pos="420" w:val="left"/>
        </w:tabs>
        <w:numPr>
          <w:ilvl w:val="0"/>
          <w:numId w:val="7"/>
        </w:numPr>
        <w:rPr>
          <w:rFonts w:ascii="Arial" w:cs="Arial" w:eastAsia="Arial" w:hAnsi="Arial"/>
          <w:sz w:val="38"/>
          <w:szCs w:val="38"/>
          <w:color w:val="auto"/>
        </w:rPr>
      </w:pPr>
      <w:r>
        <w:rPr>
          <w:rFonts w:ascii="Arial" w:cs="Arial" w:eastAsia="Arial" w:hAnsi="Arial"/>
          <w:sz w:val="38"/>
          <w:szCs w:val="38"/>
          <w:color w:val="auto"/>
        </w:rPr>
        <w:t>Income from continuing operations expected to be ~$0.08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760"/>
        <w:spacing w:after="0"/>
        <w:rPr>
          <w:sz w:val="20"/>
          <w:szCs w:val="20"/>
          <w:color w:val="auto"/>
        </w:rPr>
      </w:pPr>
      <w:r>
        <w:rPr>
          <w:rFonts w:ascii="Arial" w:cs="Arial" w:eastAsia="Arial" w:hAnsi="Arial"/>
          <w:sz w:val="19"/>
          <w:szCs w:val="19"/>
          <w:color w:val="898989"/>
        </w:rPr>
        <w:t>31</w:t>
      </w:r>
    </w:p>
    <w:p>
      <w:pPr>
        <w:sectPr>
          <w:pgSz w:w="11900" w:h="16838" w:orient="portrait"/>
          <w:cols w:equalWidth="0" w:num="1">
            <w:col w:w="10400"/>
          </w:cols>
          <w:pgMar w:left="1040" w:top="1052" w:right="459" w:bottom="1440" w:gutter="0" w:footer="0" w:header="0"/>
        </w:sectPr>
      </w:pPr>
    </w:p>
    <w:bookmarkStart w:id="40" w:name="page41"/>
    <w:bookmarkEnd w:id="40"/>
    <w:p>
      <w:pPr>
        <w:ind w:left="60"/>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Why Invest in DXLG?</w:t>
      </w:r>
    </w:p>
    <w:p>
      <w:pPr>
        <w:sectPr>
          <w:pgSz w:w="11900" w:h="16838" w:orient="portrait"/>
          <w:cols w:equalWidth="0" w:num="1">
            <w:col w:w="10020"/>
          </w:cols>
          <w:pgMar w:left="980" w:top="105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00"/>
        <w:spacing w:after="0" w:line="278" w:lineRule="auto"/>
        <w:rPr>
          <w:sz w:val="20"/>
          <w:szCs w:val="20"/>
          <w:color w:val="auto"/>
        </w:rPr>
      </w:pPr>
      <w:r>
        <w:rPr>
          <w:rFonts w:ascii="Arial" w:cs="Arial" w:eastAsia="Arial" w:hAnsi="Arial"/>
          <w:sz w:val="27"/>
          <w:szCs w:val="27"/>
          <w:b w:val="1"/>
          <w:bCs w:val="1"/>
          <w:color w:val="auto"/>
        </w:rPr>
        <w:t>Accelerated conversion to DXL concept creates compelling investment opportunity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0"/>
        <w:spacing w:after="0" w:line="271" w:lineRule="auto"/>
        <w:rPr>
          <w:sz w:val="20"/>
          <w:szCs w:val="20"/>
          <w:color w:val="auto"/>
        </w:rPr>
      </w:pPr>
      <w:r>
        <w:rPr>
          <w:rFonts w:ascii="Arial" w:cs="Arial" w:eastAsia="Arial" w:hAnsi="Arial"/>
          <w:sz w:val="28"/>
          <w:szCs w:val="28"/>
          <w:b w:val="1"/>
          <w:bCs w:val="1"/>
          <w:color w:val="auto"/>
        </w:rPr>
        <w:t>Strong gross margins; Ability to greatly improve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340" w:hanging="657"/>
        <w:spacing w:after="0" w:line="351" w:lineRule="auto"/>
        <w:rPr>
          <w:sz w:val="20"/>
          <w:szCs w:val="20"/>
          <w:color w:val="auto"/>
        </w:rPr>
      </w:pPr>
      <w:r>
        <w:rPr>
          <w:rFonts w:ascii="Arial" w:cs="Arial" w:eastAsia="Arial" w:hAnsi="Arial"/>
          <w:sz w:val="25"/>
          <w:szCs w:val="25"/>
          <w:b w:val="1"/>
          <w:bCs w:val="1"/>
          <w:color w:val="auto"/>
        </w:rPr>
        <w:t>Significant market share/sales growth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660"/>
        <w:spacing w:after="0"/>
        <w:rPr>
          <w:sz w:val="20"/>
          <w:szCs w:val="20"/>
          <w:color w:val="auto"/>
        </w:rPr>
      </w:pPr>
      <w:r>
        <w:rPr>
          <w:rFonts w:ascii="Arial" w:cs="Arial" w:eastAsia="Arial" w:hAnsi="Arial"/>
          <w:sz w:val="27"/>
          <w:szCs w:val="27"/>
          <w:b w:val="1"/>
          <w:bCs w:val="1"/>
          <w:color w:val="auto"/>
        </w:rPr>
        <w:t>Leader in large and growing</w:t>
      </w:r>
    </w:p>
    <w:p>
      <w:pPr>
        <w:spacing w:after="0" w:line="57" w:lineRule="exact"/>
        <w:rPr>
          <w:sz w:val="20"/>
          <w:szCs w:val="20"/>
          <w:color w:val="auto"/>
        </w:rPr>
      </w:pPr>
    </w:p>
    <w:p>
      <w:pPr>
        <w:jc w:val="center"/>
        <w:ind w:right="1700"/>
        <w:spacing w:after="0"/>
        <w:rPr>
          <w:sz w:val="20"/>
          <w:szCs w:val="20"/>
          <w:color w:val="auto"/>
        </w:rPr>
      </w:pPr>
      <w:r>
        <w:rPr>
          <w:rFonts w:ascii="Arial" w:cs="Arial" w:eastAsia="Arial" w:hAnsi="Arial"/>
          <w:sz w:val="28"/>
          <w:szCs w:val="28"/>
          <w:b w:val="1"/>
          <w:bCs w:val="1"/>
          <w:color w:val="auto"/>
        </w:rPr>
        <w:t>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40"/>
        <w:spacing w:after="0"/>
        <w:rPr>
          <w:sz w:val="20"/>
          <w:szCs w:val="20"/>
          <w:color w:val="auto"/>
        </w:rPr>
      </w:pPr>
      <w:r>
        <w:rPr>
          <w:rFonts w:ascii="Arial" w:cs="Arial" w:eastAsia="Arial" w:hAnsi="Arial"/>
          <w:sz w:val="25"/>
          <w:szCs w:val="25"/>
          <w:b w:val="1"/>
          <w:bCs w:val="1"/>
          <w:color w:val="auto"/>
        </w:rPr>
        <w:t>Three-year $150M investment</w:t>
      </w:r>
    </w:p>
    <w:p>
      <w:pPr>
        <w:spacing w:after="0" w:line="74" w:lineRule="exact"/>
        <w:rPr>
          <w:sz w:val="20"/>
          <w:szCs w:val="20"/>
          <w:color w:val="auto"/>
        </w:rPr>
      </w:pPr>
    </w:p>
    <w:p>
      <w:pPr>
        <w:jc w:val="center"/>
        <w:ind w:right="1540"/>
        <w:spacing w:after="0"/>
        <w:rPr>
          <w:sz w:val="20"/>
          <w:szCs w:val="20"/>
          <w:color w:val="auto"/>
        </w:rPr>
      </w:pPr>
      <w:r>
        <w:rPr>
          <w:rFonts w:ascii="Arial" w:cs="Arial" w:eastAsia="Arial" w:hAnsi="Arial"/>
          <w:sz w:val="28"/>
          <w:szCs w:val="28"/>
          <w:b w:val="1"/>
          <w:bCs w:val="1"/>
          <w:color w:val="auto"/>
        </w:rPr>
        <w:t>in DXL rollout to be</w:t>
      </w:r>
    </w:p>
    <w:p>
      <w:pPr>
        <w:spacing w:after="0" w:line="13" w:lineRule="exact"/>
        <w:rPr>
          <w:sz w:val="20"/>
          <w:szCs w:val="20"/>
          <w:color w:val="auto"/>
        </w:rPr>
      </w:pPr>
    </w:p>
    <w:p>
      <w:pPr>
        <w:jc w:val="center"/>
        <w:ind w:left="-99" w:right="20"/>
        <w:spacing w:after="0" w:line="261" w:lineRule="auto"/>
        <w:rPr>
          <w:sz w:val="20"/>
          <w:szCs w:val="20"/>
          <w:color w:val="auto"/>
        </w:rPr>
      </w:pPr>
      <w:r>
        <w:rPr>
          <w:rFonts w:ascii="Arial" w:cs="Arial" w:eastAsia="Arial" w:hAnsi="Arial"/>
          <w:sz w:val="28"/>
          <w:szCs w:val="28"/>
          <w:b w:val="1"/>
          <w:bCs w:val="1"/>
          <w:color w:val="auto"/>
        </w:rPr>
        <w:t>funded primarily by free cash flow, including use of $47 million in tax benefits</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Strong balance sheet</w:t>
      </w:r>
    </w:p>
    <w:p>
      <w:pPr>
        <w:spacing w:after="0" w:line="4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with borrowing capacity</w:t>
      </w:r>
    </w:p>
    <w:p>
      <w:pPr>
        <w:spacing w:after="0" w:line="245" w:lineRule="exact"/>
        <w:rPr>
          <w:sz w:val="20"/>
          <w:szCs w:val="20"/>
          <w:color w:val="auto"/>
        </w:rPr>
      </w:pPr>
    </w:p>
    <w:p>
      <w:pPr>
        <w:sectPr>
          <w:pgSz w:w="11900" w:h="16838" w:orient="portrait"/>
          <w:cols w:equalWidth="0" w:num="2">
            <w:col w:w="3960" w:space="720"/>
            <w:col w:w="5340"/>
          </w:cols>
          <w:pgMar w:left="98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20"/>
        <w:spacing w:after="0"/>
        <w:rPr>
          <w:sz w:val="20"/>
          <w:szCs w:val="20"/>
          <w:color w:val="auto"/>
        </w:rPr>
      </w:pPr>
      <w:r>
        <w:rPr>
          <w:rFonts w:ascii="Arial" w:cs="Arial" w:eastAsia="Arial" w:hAnsi="Arial"/>
          <w:sz w:val="17"/>
          <w:szCs w:val="17"/>
          <w:color w:val="898989"/>
        </w:rPr>
        <w:t>32</w:t>
      </w:r>
    </w:p>
    <w:p>
      <w:pPr>
        <w:sectPr>
          <w:pgSz w:w="11900" w:h="16838" w:orient="portrait"/>
          <w:cols w:equalWidth="0" w:num="1">
            <w:col w:w="10020"/>
          </w:cols>
          <w:pgMar w:left="980" w:top="1052" w:right="8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38"/>
          <w:szCs w:val="38"/>
          <w:color w:val="5F5F5F"/>
        </w:rPr>
        <w:t>For additional information:</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Jeffrey Unger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Destination XL Group,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V. P. Investor Relations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561-482-9715 Office</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561-543-9806 Cell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jeffunger@usa.net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33</w:t>
      </w:r>
    </w:p>
    <w:sectPr>
      <w:pgSz w:w="11900" w:h="16838" w:orient="portrait"/>
      <w:cols w:equalWidth="0" w:num="1">
        <w:col w:w="9560"/>
      </w:cols>
      <w:pgMar w:left="144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2019-12-06T00:07:53Z</dcterms:created>
  <dcterms:modified xsi:type="dcterms:W3CDTF">2019-12-06T00:07:53Z</dcterms:modified>
</cp:coreProperties>
</file>