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200"/>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ind w:left="4840"/>
        <w:spacing w:after="0"/>
        <w:rPr>
          <w:sz w:val="20"/>
          <w:szCs w:val="20"/>
          <w:color w:val="auto"/>
        </w:rPr>
      </w:pPr>
      <w:r>
        <w:rPr>
          <w:rFonts w:ascii="Arial" w:cs="Arial" w:eastAsia="Arial" w:hAnsi="Arial"/>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144145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18"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65" w:lineRule="exact"/>
        <w:rPr>
          <w:sz w:val="24"/>
          <w:szCs w:val="24"/>
          <w:color w:val="auto"/>
        </w:rPr>
      </w:pPr>
    </w:p>
    <w:p>
      <w:pPr>
        <w:ind w:left="4140" w:right="1719" w:hanging="4132"/>
        <w:spacing w:after="0" w:line="441" w:lineRule="auto"/>
        <w:tabs>
          <w:tab w:leader="none" w:pos="459"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 xml:space="preserve">ANNUAL REPORT PURSUANT TO SECTION 15(d) OF THE SECURITIES EXCHANGE ACT OF 1934 </w:t>
      </w:r>
      <w:r>
        <w:rPr>
          <w:rFonts w:ascii="Arial" w:cs="Arial" w:eastAsia="Arial" w:hAnsi="Arial"/>
          <w:sz w:val="18"/>
          <w:szCs w:val="18"/>
          <w:color w:val="auto"/>
        </w:rPr>
        <w:t>For the fiscal year ended December 31, 2006</w:t>
      </w:r>
    </w:p>
    <w:p>
      <w:pPr>
        <w:spacing w:after="0" w:line="1" w:lineRule="exact"/>
        <w:rPr>
          <w:rFonts w:ascii="MS PGothic" w:cs="MS PGothic" w:eastAsia="MS PGothic" w:hAnsi="MS PGothic"/>
          <w:sz w:val="18"/>
          <w:szCs w:val="18"/>
          <w:color w:val="auto"/>
          <w:highlight w:val="black"/>
        </w:rPr>
      </w:pPr>
    </w:p>
    <w:p>
      <w:pPr>
        <w:ind w:left="5640"/>
        <w:spacing w:after="0"/>
        <w:rPr>
          <w:rFonts w:ascii="MS PGothic" w:cs="MS PGothic" w:eastAsia="MS PGothic" w:hAnsi="MS PGothic"/>
          <w:sz w:val="18"/>
          <w:szCs w:val="18"/>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15(d) OF THE SECURITIES EXCHANGE ACT OF 1934</w:t>
      </w:r>
    </w:p>
    <w:p>
      <w:pPr>
        <w:spacing w:after="0" w:line="177" w:lineRule="exact"/>
        <w:rPr>
          <w:sz w:val="24"/>
          <w:szCs w:val="24"/>
          <w:color w:val="auto"/>
        </w:rPr>
      </w:pPr>
    </w:p>
    <w:p>
      <w:pPr>
        <w:ind w:left="3660"/>
        <w:spacing w:after="0"/>
        <w:tabs>
          <w:tab w:leader="none" w:pos="670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-13970</wp:posOffset>
            </wp:positionV>
            <wp:extent cx="12573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Commission File Number 0-15898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81" w:lineRule="exact"/>
        <w:rPr>
          <w:sz w:val="24"/>
          <w:szCs w:val="24"/>
          <w:color w:val="auto"/>
        </w:rPr>
      </w:pPr>
    </w:p>
    <w:p>
      <w:pPr>
        <w:jc w:val="center"/>
        <w:ind w:right="-1200"/>
        <w:spacing w:after="0"/>
        <w:rPr>
          <w:sz w:val="20"/>
          <w:szCs w:val="20"/>
          <w:color w:val="auto"/>
        </w:rPr>
      </w:pPr>
      <w:r>
        <w:rPr>
          <w:rFonts w:ascii="Arial" w:cs="Arial" w:eastAsia="Arial" w:hAnsi="Arial"/>
          <w:sz w:val="22"/>
          <w:szCs w:val="22"/>
          <w:b w:val="1"/>
          <w:bCs w:val="1"/>
          <w:color w:val="auto"/>
        </w:rPr>
        <w:t>CASUAL MALE RETAIL GROUP, INC. 401(K) SALARY SAVINGS PLAN</w:t>
      </w:r>
    </w:p>
    <w:p>
      <w:pPr>
        <w:spacing w:after="0" w:line="18" w:lineRule="exact"/>
        <w:rPr>
          <w:sz w:val="24"/>
          <w:szCs w:val="24"/>
          <w:color w:val="auto"/>
        </w:rPr>
      </w:pPr>
    </w:p>
    <w:p>
      <w:pPr>
        <w:jc w:val="center"/>
        <w:ind w:right="-1200"/>
        <w:spacing w:after="0"/>
        <w:rPr>
          <w:sz w:val="20"/>
          <w:szCs w:val="20"/>
          <w:color w:val="auto"/>
        </w:rPr>
      </w:pPr>
      <w:r>
        <w:rPr>
          <w:rFonts w:ascii="Arial" w:cs="Arial" w:eastAsia="Arial" w:hAnsi="Arial"/>
          <w:sz w:val="14"/>
          <w:szCs w:val="14"/>
          <w:b w:val="1"/>
          <w:bCs w:val="1"/>
          <w:i w:val="1"/>
          <w:iCs w:val="1"/>
          <w:color w:val="auto"/>
        </w:rPr>
        <w:t>(Full title of the plan)</w:t>
      </w:r>
    </w:p>
    <w:p>
      <w:pPr>
        <w:spacing w:after="0" w:line="106" w:lineRule="exact"/>
        <w:rPr>
          <w:sz w:val="24"/>
          <w:szCs w:val="24"/>
          <w:color w:val="auto"/>
        </w:rPr>
      </w:pPr>
    </w:p>
    <w:p>
      <w:pPr>
        <w:jc w:val="center"/>
        <w:ind w:right="-1200"/>
        <w:spacing w:after="0"/>
        <w:rPr>
          <w:sz w:val="20"/>
          <w:szCs w:val="20"/>
          <w:color w:val="auto"/>
        </w:rPr>
      </w:pPr>
      <w:r>
        <w:rPr>
          <w:rFonts w:ascii="Arial" w:cs="Arial" w:eastAsia="Arial" w:hAnsi="Arial"/>
          <w:sz w:val="43"/>
          <w:szCs w:val="43"/>
          <w:b w:val="1"/>
          <w:bCs w:val="1"/>
          <w:color w:val="auto"/>
        </w:rPr>
        <w:t>CASUAL MALE RETAIL GROUP, INC.</w:t>
      </w:r>
    </w:p>
    <w:p>
      <w:pPr>
        <w:spacing w:after="0" w:line="54"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555 Turnpike Street</w:t>
      </w:r>
    </w:p>
    <w:p>
      <w:pPr>
        <w:spacing w:after="0" w:line="1"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Canton, Massachusetts 02021</w:t>
      </w:r>
    </w:p>
    <w:p>
      <w:pPr>
        <w:jc w:val="center"/>
        <w:ind w:right="-1200"/>
        <w:spacing w:after="0"/>
        <w:rPr>
          <w:sz w:val="20"/>
          <w:szCs w:val="20"/>
          <w:color w:val="auto"/>
        </w:rPr>
      </w:pPr>
      <w:r>
        <w:rPr>
          <w:rFonts w:ascii="Arial" w:cs="Arial" w:eastAsia="Arial" w:hAnsi="Arial"/>
          <w:sz w:val="14"/>
          <w:szCs w:val="14"/>
          <w:b w:val="1"/>
          <w:bCs w:val="1"/>
          <w:i w:val="1"/>
          <w:iCs w:val="1"/>
          <w:color w:val="auto"/>
        </w:rPr>
        <w:t>(Name of issuer of the securities held pursuant to the plan and the address</w:t>
      </w:r>
    </w:p>
    <w:p>
      <w:pPr>
        <w:jc w:val="center"/>
        <w:ind w:right="-1200"/>
        <w:spacing w:after="0"/>
        <w:rPr>
          <w:sz w:val="20"/>
          <w:szCs w:val="20"/>
          <w:color w:val="auto"/>
        </w:rPr>
      </w:pPr>
      <w:r>
        <w:rPr>
          <w:rFonts w:ascii="Arial" w:cs="Arial" w:eastAsia="Arial" w:hAnsi="Arial"/>
          <w:sz w:val="14"/>
          <w:szCs w:val="14"/>
          <w:b w:val="1"/>
          <w:bCs w:val="1"/>
          <w:i w:val="1"/>
          <w:iCs w:val="1"/>
          <w:color w:val="auto"/>
        </w:rPr>
        <w:t>of its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289560</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219"/>
          </w:cols>
          <w:pgMar w:left="240" w:top="230" w:right="1440"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7380" w:type="dxa"/>
            <w:vAlign w:val="bottom"/>
            <w:gridSpan w:val="5"/>
          </w:tcPr>
          <w:p>
            <w:pPr>
              <w:jc w:val="center"/>
              <w:ind w:right="140"/>
              <w:spacing w:after="0"/>
              <w:rPr>
                <w:sz w:val="20"/>
                <w:szCs w:val="20"/>
                <w:color w:val="auto"/>
              </w:rPr>
            </w:pPr>
            <w:r>
              <w:rPr>
                <w:rFonts w:ascii="Arial" w:cs="Arial" w:eastAsia="Arial" w:hAnsi="Arial"/>
                <w:sz w:val="18"/>
                <w:szCs w:val="18"/>
                <w:color w:val="auto"/>
                <w:w w:val="88"/>
              </w:rPr>
              <w:t>Casual Male Retail Group, Inc. 401(k) Salaried Savings Plan</w:t>
            </w:r>
          </w:p>
        </w:tc>
        <w:tc>
          <w:tcPr>
            <w:tcW w:w="1940" w:type="dxa"/>
            <w:vAlign w:val="bottom"/>
          </w:tcPr>
          <w:p>
            <w:pPr>
              <w:spacing w:after="0"/>
              <w:rPr>
                <w:sz w:val="19"/>
                <w:szCs w:val="19"/>
                <w:color w:val="auto"/>
              </w:rPr>
            </w:pPr>
          </w:p>
        </w:tc>
      </w:tr>
      <w:tr>
        <w:trPr>
          <w:trHeight w:val="378"/>
        </w:trPr>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7380" w:type="dxa"/>
            <w:vAlign w:val="bottom"/>
            <w:gridSpan w:val="5"/>
          </w:tcPr>
          <w:p>
            <w:pPr>
              <w:jc w:val="center"/>
              <w:ind w:right="160"/>
              <w:spacing w:after="0"/>
              <w:rPr>
                <w:sz w:val="20"/>
                <w:szCs w:val="20"/>
                <w:color w:val="auto"/>
              </w:rPr>
            </w:pPr>
            <w:r>
              <w:rPr>
                <w:rFonts w:ascii="Arial" w:cs="Arial" w:eastAsia="Arial" w:hAnsi="Arial"/>
                <w:sz w:val="18"/>
                <w:szCs w:val="18"/>
                <w:color w:val="auto"/>
                <w:w w:val="86"/>
              </w:rPr>
              <w:t>Financial Statements and Supplemental Schedule</w:t>
            </w:r>
          </w:p>
        </w:tc>
        <w:tc>
          <w:tcPr>
            <w:tcW w:w="1940" w:type="dxa"/>
            <w:vAlign w:val="bottom"/>
          </w:tcPr>
          <w:p>
            <w:pPr>
              <w:spacing w:after="0"/>
              <w:rPr>
                <w:sz w:val="24"/>
                <w:szCs w:val="24"/>
                <w:color w:val="auto"/>
              </w:rPr>
            </w:pPr>
          </w:p>
        </w:tc>
      </w:tr>
      <w:tr>
        <w:trPr>
          <w:trHeight w:val="378"/>
        </w:trPr>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60" w:type="dxa"/>
            <w:vAlign w:val="bottom"/>
            <w:gridSpan w:val="4"/>
          </w:tcPr>
          <w:p>
            <w:pPr>
              <w:jc w:val="center"/>
              <w:ind w:right="2180"/>
              <w:spacing w:after="0"/>
              <w:rPr>
                <w:sz w:val="20"/>
                <w:szCs w:val="20"/>
                <w:color w:val="auto"/>
              </w:rPr>
            </w:pPr>
            <w:r>
              <w:rPr>
                <w:rFonts w:ascii="Arial" w:cs="Arial" w:eastAsia="Arial" w:hAnsi="Arial"/>
                <w:sz w:val="18"/>
                <w:szCs w:val="18"/>
                <w:color w:val="auto"/>
                <w:w w:val="86"/>
              </w:rPr>
              <w:t>Year ended December 31, 2006</w:t>
            </w:r>
          </w:p>
        </w:tc>
        <w:tc>
          <w:tcPr>
            <w:tcW w:w="1940" w:type="dxa"/>
            <w:vAlign w:val="bottom"/>
          </w:tcPr>
          <w:p>
            <w:pPr>
              <w:spacing w:after="0"/>
              <w:rPr>
                <w:sz w:val="24"/>
                <w:szCs w:val="24"/>
                <w:color w:val="auto"/>
              </w:rPr>
            </w:pPr>
          </w:p>
        </w:tc>
      </w:tr>
      <w:tr>
        <w:trPr>
          <w:trHeight w:val="351"/>
        </w:trPr>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360" w:type="dxa"/>
            <w:vAlign w:val="bottom"/>
            <w:gridSpan w:val="4"/>
          </w:tcPr>
          <w:p>
            <w:pPr>
              <w:jc w:val="center"/>
              <w:ind w:right="2160"/>
              <w:spacing w:after="0"/>
              <w:rPr>
                <w:sz w:val="20"/>
                <w:szCs w:val="20"/>
                <w:color w:val="auto"/>
              </w:rPr>
            </w:pPr>
            <w:r>
              <w:rPr>
                <w:rFonts w:ascii="Arial" w:cs="Arial" w:eastAsia="Arial" w:hAnsi="Arial"/>
                <w:sz w:val="18"/>
                <w:szCs w:val="18"/>
                <w:b w:val="1"/>
                <w:bCs w:val="1"/>
                <w:color w:val="auto"/>
                <w:w w:val="86"/>
              </w:rPr>
              <w:t>Table of Contents</w:t>
            </w:r>
          </w:p>
        </w:tc>
        <w:tc>
          <w:tcPr>
            <w:tcW w:w="1940" w:type="dxa"/>
            <w:vAlign w:val="bottom"/>
          </w:tcPr>
          <w:p>
            <w:pPr>
              <w:spacing w:after="0"/>
              <w:rPr>
                <w:sz w:val="24"/>
                <w:szCs w:val="24"/>
                <w:color w:val="auto"/>
              </w:rPr>
            </w:pPr>
          </w:p>
        </w:tc>
      </w:tr>
      <w:tr>
        <w:trPr>
          <w:trHeight w:val="380"/>
        </w:trPr>
        <w:tc>
          <w:tcPr>
            <w:tcW w:w="9480" w:type="dxa"/>
            <w:vAlign w:val="bottom"/>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Report of Independent Registered Public Accounting Firm</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4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304"/>
        </w:trPr>
        <w:tc>
          <w:tcPr>
            <w:tcW w:w="586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Statements of Net Assets Available for Benefits as of December 31, 2006 and 2005</w:t>
              </w:r>
            </w:hyperlink>
          </w:p>
        </w:tc>
        <w:tc>
          <w:tcPr>
            <w:tcW w:w="3620" w:type="dxa"/>
            <w:vAlign w:val="bottom"/>
            <w:gridSpan w:val="3"/>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692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Statement of Changes in Net Assets Available for Benefits for the Year Ended December 31, 2006</w:t>
              </w:r>
            </w:hyperlink>
          </w:p>
        </w:tc>
        <w:tc>
          <w:tcPr>
            <w:tcW w:w="2560" w:type="dxa"/>
            <w:vAlign w:val="bottom"/>
            <w:gridSpan w:val="2"/>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9480" w:type="dxa"/>
            <w:vAlign w:val="bottom"/>
            <w:gridSpan w:val="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Financial Statements</w:t>
              </w:r>
            </w:hyperlink>
          </w:p>
        </w:tc>
        <w:tc>
          <w:tcPr>
            <w:tcW w:w="194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343"/>
        </w:trPr>
        <w:tc>
          <w:tcPr>
            <w:tcW w:w="210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Supplementary Schedule</w:t>
            </w:r>
          </w:p>
        </w:tc>
        <w:tc>
          <w:tcPr>
            <w:tcW w:w="7380" w:type="dxa"/>
            <w:vAlign w:val="bottom"/>
            <w:gridSpan w:val="5"/>
          </w:tcPr>
          <w:p>
            <w:pPr>
              <w:spacing w:after="0"/>
              <w:rPr>
                <w:sz w:val="24"/>
                <w:szCs w:val="24"/>
                <w:color w:val="auto"/>
              </w:rPr>
            </w:pPr>
          </w:p>
        </w:tc>
        <w:tc>
          <w:tcPr>
            <w:tcW w:w="1940" w:type="dxa"/>
            <w:vAlign w:val="bottom"/>
          </w:tcPr>
          <w:p>
            <w:pPr>
              <w:spacing w:after="0"/>
              <w:rPr>
                <w:sz w:val="24"/>
                <w:szCs w:val="24"/>
                <w:color w:val="auto"/>
              </w:rPr>
            </w:pPr>
          </w:p>
        </w:tc>
      </w:tr>
      <w:tr>
        <w:trPr>
          <w:trHeight w:val="286"/>
        </w:trPr>
        <w:tc>
          <w:tcPr>
            <w:tcW w:w="440" w:type="dxa"/>
            <w:vAlign w:val="bottom"/>
          </w:tcPr>
          <w:p>
            <w:pPr>
              <w:spacing w:after="0"/>
              <w:rPr>
                <w:sz w:val="24"/>
                <w:szCs w:val="24"/>
                <w:color w:val="auto"/>
              </w:rPr>
            </w:pPr>
          </w:p>
        </w:tc>
        <w:tc>
          <w:tcPr>
            <w:tcW w:w="736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Schedule H, Line 4i – Schedule of Assets For Investment Purposes At End of Year (December 31, 2006)</w:t>
              </w:r>
            </w:hyperlink>
          </w:p>
        </w:tc>
        <w:tc>
          <w:tcPr>
            <w:tcW w:w="168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To Plan Administrator and Participants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Casual Male Retail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401(k) Salaried Savings Plan</w:t>
      </w:r>
    </w:p>
    <w:p>
      <w:pPr>
        <w:spacing w:after="0" w:line="165" w:lineRule="exact"/>
        <w:rPr>
          <w:sz w:val="20"/>
          <w:szCs w:val="20"/>
          <w:color w:val="auto"/>
        </w:rPr>
      </w:pPr>
    </w:p>
    <w:p>
      <w:pPr>
        <w:ind w:right="360"/>
        <w:spacing w:after="0" w:line="335" w:lineRule="auto"/>
        <w:rPr>
          <w:sz w:val="20"/>
          <w:szCs w:val="20"/>
          <w:color w:val="auto"/>
        </w:rPr>
      </w:pPr>
      <w:r>
        <w:rPr>
          <w:rFonts w:ascii="Arial" w:cs="Arial" w:eastAsia="Arial" w:hAnsi="Arial"/>
          <w:sz w:val="15"/>
          <w:szCs w:val="15"/>
          <w:color w:val="auto"/>
        </w:rPr>
        <w:t>We have audited the accompanying statement of net assets available for benefits of the Casual Male Retail Group, Inc. 401 (k) Salaried Savings Plan as of December 31, 2006 and 2005, and the related statement of changes in net assets available for benefits for the year ended December 31, 2006. These financial statements are the responsibility of the Plan’s management. Our responsibility is to express an opinion on these financial statements based on our audits.</w:t>
      </w:r>
    </w:p>
    <w:p>
      <w:pPr>
        <w:spacing w:after="0" w:line="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audits in accordance with standards of the Public Company Accounting Oversight Board (United States).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2006 and 2005, and the changes in its net assets available for benefits for the year ended December 31, 2006, in conformity with accounting principles generally accepted in the United States of America.</w:t>
      </w:r>
    </w:p>
    <w:p>
      <w:pPr>
        <w:spacing w:after="0" w:line="140"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for investment purposes at end of year (December 31, 2006) is presented for the purpose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This supplemental schedule has been subjected to the auditing procedures applied in our audits of the financial statements and, in our opinion, is fairly stated in all material respects in relation to the financial statements taken as a whole.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18, 2007</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Statements of Net Assets Available for Benefits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 and 2005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8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20" w:type="dxa"/>
            <w:vAlign w:val="bottom"/>
            <w:tcBorders>
              <w:top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2006</w:t>
            </w:r>
          </w:p>
        </w:tc>
        <w:tc>
          <w:tcPr>
            <w:tcW w:w="1140" w:type="dxa"/>
            <w:vAlign w:val="bottom"/>
            <w:tcBorders>
              <w:top w:val="single" w:sz="8" w:color="auto"/>
            </w:tcBorders>
            <w:gridSpan w:val="2"/>
          </w:tcPr>
          <w:p>
            <w:pPr>
              <w:jc w:val="right"/>
              <w:ind w:right="252"/>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16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 (Notes 2 and 3)</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$ 26,223,826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$ 18,713,430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Participant loans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631,611</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576,991</w:t>
            </w:r>
          </w:p>
        </w:tc>
        <w:tc>
          <w:tcPr>
            <w:tcW w:w="20" w:type="dxa"/>
            <w:vAlign w:val="bottom"/>
          </w:tcPr>
          <w:p>
            <w:pPr>
              <w:spacing w:after="0"/>
              <w:rPr>
                <w:sz w:val="18"/>
                <w:szCs w:val="18"/>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Investments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26,855,437</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19,290,421</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Employer contributions receivable</w:t>
            </w:r>
          </w:p>
        </w:tc>
        <w:tc>
          <w:tcPr>
            <w:tcW w:w="116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539,609</w:t>
            </w:r>
          </w:p>
        </w:tc>
        <w:tc>
          <w:tcPr>
            <w:tcW w:w="20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508,016</w:t>
            </w:r>
          </w:p>
        </w:tc>
        <w:tc>
          <w:tcPr>
            <w:tcW w:w="20" w:type="dxa"/>
            <w:vAlign w:val="bottom"/>
          </w:tcPr>
          <w:p>
            <w:pPr>
              <w:spacing w:after="0"/>
              <w:rPr>
                <w:sz w:val="18"/>
                <w:szCs w:val="18"/>
                <w:color w:val="auto"/>
              </w:rPr>
            </w:pPr>
          </w:p>
        </w:tc>
      </w:tr>
      <w:tr>
        <w:trPr>
          <w:trHeight w:val="221"/>
        </w:trPr>
        <w:tc>
          <w:tcPr>
            <w:tcW w:w="82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80" w:type="dxa"/>
            <w:vAlign w:val="bottom"/>
            <w:gridSpan w:val="2"/>
          </w:tcPr>
          <w:p>
            <w:pPr>
              <w:jc w:val="right"/>
              <w:spacing w:after="0"/>
              <w:rPr>
                <w:sz w:val="20"/>
                <w:szCs w:val="20"/>
                <w:color w:val="auto"/>
              </w:rPr>
            </w:pPr>
            <w:r>
              <w:rPr>
                <w:rFonts w:ascii="Arial" w:cs="Arial" w:eastAsia="Arial" w:hAnsi="Arial"/>
                <w:sz w:val="18"/>
                <w:szCs w:val="18"/>
                <w:color w:val="auto"/>
              </w:rPr>
              <w:t>27,395,046</w:t>
            </w:r>
          </w:p>
        </w:tc>
        <w:tc>
          <w:tcPr>
            <w:tcW w:w="1160" w:type="dxa"/>
            <w:vAlign w:val="bottom"/>
            <w:gridSpan w:val="3"/>
          </w:tcPr>
          <w:p>
            <w:pPr>
              <w:jc w:val="right"/>
              <w:ind w:right="20"/>
              <w:spacing w:after="0"/>
              <w:rPr>
                <w:sz w:val="20"/>
                <w:szCs w:val="20"/>
                <w:color w:val="auto"/>
              </w:rPr>
            </w:pPr>
            <w:r>
              <w:rPr>
                <w:rFonts w:ascii="Arial" w:cs="Arial" w:eastAsia="Arial" w:hAnsi="Arial"/>
                <w:sz w:val="18"/>
                <w:szCs w:val="18"/>
                <w:color w:val="auto"/>
              </w:rPr>
              <w:t>19,798,437</w:t>
            </w:r>
          </w:p>
        </w:tc>
      </w:tr>
      <w:tr>
        <w:trPr>
          <w:trHeight w:val="218"/>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Excess deferred compensation contributions (Note 8)</w:t>
            </w:r>
          </w:p>
        </w:tc>
        <w:tc>
          <w:tcPr>
            <w:tcW w:w="1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100,900</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58,103</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reflecting all investments at fair value</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27,294,146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19,740,334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80" w:type="dxa"/>
            <w:vAlign w:val="bottom"/>
          </w:tcPr>
          <w:p>
            <w:pPr>
              <w:ind w:left="420"/>
              <w:spacing w:after="0"/>
              <w:rPr>
                <w:sz w:val="20"/>
                <w:szCs w:val="20"/>
                <w:color w:val="auto"/>
              </w:rPr>
            </w:pPr>
            <w:r>
              <w:rPr>
                <w:rFonts w:ascii="Arial" w:cs="Arial" w:eastAsia="Arial" w:hAnsi="Arial"/>
                <w:sz w:val="18"/>
                <w:szCs w:val="18"/>
                <w:color w:val="auto"/>
              </w:rPr>
              <w:t>Adjustment from fair value to contract value for fully benefit-responsive investment contracts</w:t>
            </w:r>
          </w:p>
        </w:tc>
        <w:tc>
          <w:tcPr>
            <w:tcW w:w="116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5,829</w:t>
            </w:r>
          </w:p>
        </w:tc>
        <w:tc>
          <w:tcPr>
            <w:tcW w:w="2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w:t>
            </w:r>
          </w:p>
        </w:tc>
        <w:tc>
          <w:tcPr>
            <w:tcW w:w="2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$ 27,299,975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$ 19,741,639</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 of Changes in Net Assets Available for Benefits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400" w:type="dxa"/>
            <w:vAlign w:val="bottom"/>
            <w:gridSpan w:val="2"/>
          </w:tcPr>
          <w:p>
            <w:pPr>
              <w:jc w:val="right"/>
              <w:ind w:right="3780"/>
              <w:spacing w:after="0"/>
              <w:rPr>
                <w:sz w:val="20"/>
                <w:szCs w:val="20"/>
                <w:color w:val="auto"/>
              </w:rPr>
            </w:pPr>
            <w:r>
              <w:rPr>
                <w:rFonts w:ascii="Arial" w:cs="Arial" w:eastAsia="Arial" w:hAnsi="Arial"/>
                <w:sz w:val="18"/>
                <w:szCs w:val="18"/>
                <w:color w:val="auto"/>
              </w:rPr>
              <w:t>Year ended December 31, 2006</w:t>
            </w: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418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Additions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w w:val="99"/>
              </w:rPr>
              <w:t>Net appreciation in fair value of investments (Note 3)</w:t>
            </w:r>
          </w:p>
        </w:tc>
        <w:tc>
          <w:tcPr>
            <w:tcW w:w="6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1,518,814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1,247,750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Transfers into the Plan (Note 1)</w:t>
            </w:r>
          </w:p>
        </w:tc>
        <w:tc>
          <w:tcPr>
            <w:tcW w:w="6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107,122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18"/>
                <w:szCs w:val="18"/>
                <w:color w:val="auto"/>
              </w:rPr>
            </w:pP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2,873,686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Contributions: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1,611,339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ind w:left="420"/>
              <w:spacing w:after="0"/>
              <w:rPr>
                <w:sz w:val="20"/>
                <w:szCs w:val="20"/>
                <w:color w:val="auto"/>
              </w:rPr>
            </w:pPr>
            <w:r>
              <w:rPr>
                <w:rFonts w:ascii="Arial" w:cs="Arial" w:eastAsia="Arial" w:hAnsi="Arial"/>
                <w:sz w:val="18"/>
                <w:szCs w:val="18"/>
                <w:color w:val="auto"/>
              </w:rPr>
              <w:t>Employer</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Rollovers</w:t>
            </w:r>
          </w:p>
        </w:tc>
        <w:tc>
          <w:tcPr>
            <w:tcW w:w="6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2,309,398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7"/>
              </w:rPr>
              <w:t>Transfer from merged employee benefit plan (Note 1)</w:t>
            </w:r>
          </w:p>
        </w:tc>
        <w:tc>
          <w:tcPr>
            <w:tcW w:w="6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5,130,252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00" w:type="dxa"/>
            <w:vAlign w:val="bottom"/>
            <w:gridSpan w:val="2"/>
          </w:tcPr>
          <w:p>
            <w:pPr>
              <w:spacing w:after="0"/>
              <w:rPr>
                <w:sz w:val="20"/>
                <w:szCs w:val="20"/>
                <w:color w:val="auto"/>
              </w:rPr>
            </w:pPr>
            <w:r>
              <w:rPr>
                <w:rFonts w:ascii="Arial" w:cs="Arial" w:eastAsia="Arial" w:hAnsi="Arial"/>
                <w:sz w:val="18"/>
                <w:szCs w:val="18"/>
                <w:color w:val="auto"/>
              </w:rPr>
              <w:t>Total additions</w:t>
            </w:r>
          </w:p>
        </w:tc>
        <w:tc>
          <w:tcPr>
            <w:tcW w:w="6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10,313,336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Deductions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Benefits paid directly to participants</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2,439,826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Transfers out of the Plan (Note 1)</w:t>
            </w:r>
          </w:p>
        </w:tc>
        <w:tc>
          <w:tcPr>
            <w:tcW w:w="6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268,813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Total deductions</w:t>
            </w:r>
          </w:p>
        </w:tc>
        <w:tc>
          <w:tcPr>
            <w:tcW w:w="6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2,755,000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Arial" w:cs="Arial" w:eastAsia="Arial" w:hAnsi="Arial"/>
                <w:sz w:val="18"/>
                <w:szCs w:val="18"/>
                <w:color w:val="auto"/>
              </w:rPr>
              <w:t>Net increase</w:t>
            </w:r>
          </w:p>
        </w:tc>
        <w:tc>
          <w:tcPr>
            <w:tcW w:w="6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7,558,336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assets available for benefits at beginning of year</w:t>
            </w:r>
          </w:p>
        </w:tc>
        <w:tc>
          <w:tcPr>
            <w:tcW w:w="6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19,741,639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0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6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27,299,975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1- </w:t>
      </w:r>
      <w:r>
        <w:rPr>
          <w:rFonts w:ascii="Arial" w:cs="Arial" w:eastAsia="Arial" w:hAnsi="Arial"/>
          <w:sz w:val="18"/>
          <w:szCs w:val="18"/>
          <w:u w:val="single" w:color="auto"/>
          <w:color w:val="auto"/>
        </w:rPr>
        <w:t>Description of the Plan</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description of Casual Male Retail Group, Inc. 401(k) Salaried Savings Plan (the “Plan”) provides only general information. Participants should refer to the Plan document for a more complete description of the Plan’s provisions.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90"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The Plan is a defined contribution plan covering certain eligible employees of Casual Male Retail Group, Inc. (the “Company”). The Plan is subject to the provisions of the Employee Retirement Income Security Act of 1974 (ERISA).</w:t>
      </w:r>
    </w:p>
    <w:p>
      <w:pPr>
        <w:spacing w:after="0" w:line="13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Effective July 1, 2006, the Rochester Big and Tall Profit Sharing Plan was merged with this Plan and the Company’s 401(k) Hourly Savings Plan. Accordingly, the assets of $5,130,252, for the salaried participants who met the eligibility requirements, as defined below, were transferred into the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w:t>
      </w:r>
    </w:p>
    <w:p>
      <w:pPr>
        <w:spacing w:after="0" w:line="9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All regular, full-time (as defined in the Plan) salaried employees of the Company who have completed six months of employment and are at least 21 years of age are eligible to participate in the Plan. After completing age and service requirements, the employee can enter the Plan on the first day of any subsequent month.</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participants change positions at the Company, they may change from hourly to salary status or vice versa. Assets transferred to the Casual Male Retail Group, Inc. 401(k) Hourly Savings Plan during the year ended December 31, 2006 were $268,813. Assets transferred from the Casual Male Retail Group, Inc. 401(k) Hourly Savings Plan during the year ended December 31, 2006 were $107,122.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Contributions</w:t>
      </w:r>
    </w:p>
    <w:p>
      <w:pPr>
        <w:spacing w:after="0" w:line="9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Each year, participants may contribute from 1% to 80% of pretax annual compensation as defined in the Plan, subject to the provisions of ERISA. Participants may also contribute amounts representing distributions from other qualified defined benefit or defined contribution plans.</w:t>
      </w:r>
    </w:p>
    <w:p>
      <w:pPr>
        <w:spacing w:after="0" w:line="8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employer matching contribution is discretionary at the option of the Company’s Board of Directors. For the year ended December 31, 2006, the Company’s matching contribution was 50% up to the first 6% of compensation that a participant contributed to the Plan.</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Description of the Plan (continued)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Participants’ Accounts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Each participant’s account is credited with the participant’s contribution, the Company’s matching contribution, plan earnings and an allocation of plan expenses.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benefit to which a participant is entitled is the benefit that can be provided from the participant’s account.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Forfeitures</w:t>
      </w:r>
    </w:p>
    <w:p>
      <w:pPr>
        <w:spacing w:after="0" w:line="9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Amounts forfeited under the Plan are used to reduce future employer contributions and administrative expenses. At December 31, 2006 and 2005, forfeited non-vested accounts totaled $30,983 and $15,099, respectively.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Vesting</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Participants are immediately vested in their contributions plus actual earnings thereon. Vesting in the Company contribution portion of their accounts plus actual earnings thereon is based on years of continuous service. A participant is 100% vested after three years of credited service.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Options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Upon enrollment in the Plan, a participant may direct their elective contribution and Company contributions into various investment options offered by the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change their investment options at any time.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Participant Loans</w:t>
      </w:r>
    </w:p>
    <w:p>
      <w:pPr>
        <w:spacing w:after="0" w:line="90"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Participants may borrow the lesser of $50,000 reduced by the individual’s highest outstanding loan balance during the preceding twelve months or 50% of the individual’s vested balance with a minimum of $1,000 per loan. Loan transactions are treated as a transfer to/(from) the investment fund and from/(to) the Participant Loans fund. Loans are secured by the balance in the participant’s account. Loan terms range from one to five years unless the loan is used to purchase a primary residence, in which case the loan may be repaid over a fifteen-year period. Other restrictions, as specified in the Plan agreement, may apply to a participant’s loan transaction. Interest rates range from 5.0% to 10.5% at December 31, 2006. Principal and interest is paid ratably through payroll deductions.</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40"/>
          </w:cols>
          <w:pgMar w:left="240" w:top="45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Description of the Plan (continued)</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Expenses</w:t>
      </w:r>
    </w:p>
    <w:p>
      <w:pPr>
        <w:spacing w:after="0" w:line="9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 accordance with the Plan, all administrative expenses may be paid out of the Plan unless paid by the Company. During 2006, certain administrative expenses were paid by the Company.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termination of service for any reason, a participant may receive a lump sum amount equal to the vested value of the participant’s vested interest in his or her account, if the vested interest is $5,000 or less. If the participant’s vested interest is over $5,000, the participant may elect to receive payment in a lump-sum amount or installments paid over a certain number of years selected by the participant.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Termination</w:t>
      </w:r>
    </w:p>
    <w:p>
      <w:pPr>
        <w:spacing w:after="0" w:line="9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Although it has not expressed any intent to do so, the Company has the right under the Plan to discontinue its contributions at any time and to terminate the Plan subject to the provisions of ERISA. In the event of a plan termination, participants will become 100% vested in their accounts.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2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Summary of Significant Accounting Policies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Accounting</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have been prepared on the accrual basis of accounting.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Investment Valuation</w:t>
      </w:r>
    </w:p>
    <w:p>
      <w:pPr>
        <w:spacing w:after="0" w:line="9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Investments are stated at fair value. Mutual funds and common stocks are stated at fair value which equals the quoted market price on the last business day of the Plan year. The fair value of units in the common collective trust fund is the net fair value of the underlying assets as determined generally by using commercial quotation services. Participant loans are valued at their outstanding balances, which approximate fair value.</w:t>
      </w:r>
    </w:p>
    <w:p>
      <w:pPr>
        <w:spacing w:after="0" w:line="10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Purchases and sales of securities are recorded on a trade-date basis. Interest income is recorded on the accrual basis. Dividends are recorded on the ex-dividend date.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2 - </w:t>
      </w:r>
      <w:r>
        <w:rPr>
          <w:rFonts w:ascii="Arial" w:cs="Arial" w:eastAsia="Arial" w:hAnsi="Arial"/>
          <w:sz w:val="18"/>
          <w:szCs w:val="18"/>
          <w:u w:val="single" w:color="auto"/>
          <w:color w:val="auto"/>
        </w:rPr>
        <w:t>Summary of Significant Accounting Policies (continued)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9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changes therein and disclosure of contingent assets and liabilities. Actual results could differ from those estimates.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Adoption of New Pronouncement</w:t>
      </w:r>
    </w:p>
    <w:p>
      <w:pPr>
        <w:spacing w:after="0" w:line="9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As described in Financial Accounting Standards Board Staff Position, FSP AAD INV-1 and SOP 94-4-1, Reporting of Fully Benefit-Responsive Investment Contracts Held by Certain Investment Companies Subject to the AICPA Investment Company Guide and Defined-Contribution Health and Welfare and Pension Plans (the FSP), 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As required by the FSP, the Statement of Net Assets Available for Benefits presents the fair value of the investment contracts as well as the adjustment of the fully benefit-responsive investment contracts from fair value to contract value. The Statement of Changes in Net Assets Available for Benefits is prepared on a contract value basis. The Plan has adopted the financial statement presentation and disclosure requirements effective December 31, 2006.</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Payment of Benefits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Benefits are recorded when paid.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3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Investments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During 2006, the Plan’s investments (including investments purchased, sold as well as held during the year) appreciated in fair value as follows:</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85"/>
              </w:rPr>
              <w:t>Net Appreciation</w:t>
            </w:r>
          </w:p>
        </w:tc>
      </w:tr>
      <w:tr>
        <w:trPr>
          <w:trHeight w:val="149"/>
        </w:trPr>
        <w:tc>
          <w:tcPr>
            <w:tcW w:w="8600" w:type="dxa"/>
            <w:vAlign w:val="bottom"/>
          </w:tcPr>
          <w:p>
            <w:pPr>
              <w:spacing w:after="0"/>
              <w:rPr>
                <w:sz w:val="12"/>
                <w:szCs w:val="12"/>
                <w:color w:val="auto"/>
              </w:rPr>
            </w:pPr>
          </w:p>
        </w:tc>
        <w:tc>
          <w:tcPr>
            <w:tcW w:w="9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1"/>
              </w:rPr>
              <w:t>in Fair Value of</w:t>
            </w:r>
          </w:p>
        </w:tc>
      </w:tr>
      <w:tr>
        <w:trPr>
          <w:trHeight w:val="161"/>
        </w:trPr>
        <w:tc>
          <w:tcPr>
            <w:tcW w:w="86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5"/>
              </w:rPr>
              <w:t>Investments</w:t>
            </w: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764,908</w:t>
            </w:r>
          </w:p>
        </w:tc>
      </w:tr>
      <w:tr>
        <w:trPr>
          <w:trHeight w:val="216"/>
        </w:trPr>
        <w:tc>
          <w:tcPr>
            <w:tcW w:w="8600" w:type="dxa"/>
            <w:vAlign w:val="bottom"/>
          </w:tcPr>
          <w:p>
            <w:pPr>
              <w:spacing w:after="0"/>
              <w:rPr>
                <w:sz w:val="20"/>
                <w:szCs w:val="20"/>
                <w:color w:val="auto"/>
              </w:rPr>
            </w:pPr>
            <w:r>
              <w:rPr>
                <w:rFonts w:ascii="Arial" w:cs="Arial" w:eastAsia="Arial" w:hAnsi="Arial"/>
                <w:sz w:val="18"/>
                <w:szCs w:val="18"/>
                <w:color w:val="auto"/>
              </w:rPr>
              <w:t>Common collective trusts</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426,485</w:t>
            </w:r>
          </w:p>
        </w:tc>
      </w:tr>
      <w:tr>
        <w:trPr>
          <w:trHeight w:val="216"/>
        </w:trPr>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327,421</w:t>
            </w:r>
          </w:p>
        </w:tc>
      </w:tr>
      <w:tr>
        <w:trPr>
          <w:trHeight w:val="222"/>
        </w:trPr>
        <w:tc>
          <w:tcPr>
            <w:tcW w:w="860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1,518,814</w:t>
            </w:r>
          </w:p>
        </w:tc>
      </w:tr>
      <w:tr>
        <w:trPr>
          <w:trHeight w:val="20"/>
        </w:trPr>
        <w:tc>
          <w:tcPr>
            <w:tcW w:w="8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Investments that represent 5% or more of the Plan’s net assets available for benefits is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w w:val="94"/>
              </w:rPr>
              <w:t>December 31,</w:t>
            </w:r>
          </w:p>
        </w:tc>
        <w:tc>
          <w:tcPr>
            <w:tcW w:w="22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4,589,478</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4,662,221</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Putnam S&amp;P 500 Fund</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3,026,806</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2,987,527</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Growth Fund of America Class</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2,886,226</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10.6%</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1,617,559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Putnam RetirementReady 2010</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2,552,814</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PIMCO Total Return Adm</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1,220,039</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Putnam RetirementReady Maturity</w:t>
            </w:r>
          </w:p>
        </w:tc>
        <w:tc>
          <w:tcPr>
            <w:tcW w:w="3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2,521,026</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9.2%</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The George Putnam Fund of Boston</w:t>
            </w: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2,799,100</w:t>
            </w:r>
          </w:p>
        </w:tc>
        <w:tc>
          <w:tcPr>
            <w:tcW w:w="2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14.2%</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540" w:type="dxa"/>
            <w:vAlign w:val="bottom"/>
          </w:tcPr>
          <w:p>
            <w:pPr>
              <w:spacing w:after="0"/>
              <w:rPr>
                <w:sz w:val="19"/>
                <w:szCs w:val="19"/>
                <w:color w:val="auto"/>
              </w:rPr>
            </w:pPr>
          </w:p>
        </w:tc>
        <w:tc>
          <w:tcPr>
            <w:tcW w:w="3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15,576,350</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57.1%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13,286,446</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540" w:type="dxa"/>
            <w:vAlign w:val="bottom"/>
            <w:vMerge w:val="restart"/>
          </w:tcPr>
          <w:p>
            <w:pPr>
              <w:jc w:val="right"/>
              <w:ind w:right="2232"/>
              <w:spacing w:after="0"/>
              <w:rPr>
                <w:sz w:val="20"/>
                <w:szCs w:val="20"/>
                <w:color w:val="auto"/>
              </w:rPr>
            </w:pPr>
            <w:r>
              <w:rPr>
                <w:rFonts w:ascii="Arial" w:cs="Arial" w:eastAsia="Arial" w:hAnsi="Arial"/>
                <w:sz w:val="18"/>
                <w:szCs w:val="18"/>
                <w:color w:val="auto"/>
              </w:rPr>
              <w:t>8</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3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Investment Contract with Insurance Company</w:t>
      </w:r>
    </w:p>
    <w:p>
      <w:pPr>
        <w:spacing w:after="0" w:line="90"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Plan entered into a benefit-responsive investment contract with Putnam Investments (Putnam). Putnam maintains the contributions in a general account. The account is credited with earnings on the underlying investments and charged for participant withdrawals and administrative expenses. The guaranteed investment contract issuer is contractually obligated to repay the principal and a specified interest rate that is guaranteed to the Plan.</w:t>
      </w:r>
    </w:p>
    <w:p>
      <w:pPr>
        <w:spacing w:after="0" w:line="10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described in Note 2, because the guaranteed investment contract is fully benefit-responsive, contract value is the relevant measurement attribute for that portion of the net assets available for benefits attributable to the guaranteed investment contract. Contract value, as reported to the Plan by Putnam, represents contributions made under the contract, plus earnings, less participant withdrawals and administrative expenses. Participants may ordinarily direct the withdrawal or transfer of all or a portion of their investment at contract value.</w:t>
      </w:r>
    </w:p>
    <w:p>
      <w:pPr>
        <w:spacing w:after="0" w:line="143"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There are no reserves against contract value for credit risk of the contract issuer or otherwise. The crediting interest rate is based on a formula agreed upon with the issuer, but it may not be less than zero percent. Such interest rates are reviewed on a quarterly basis for resetting.</w:t>
      </w:r>
    </w:p>
    <w:p>
      <w:pPr>
        <w:spacing w:after="0" w:line="8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Certain events limit the ability of the Plan to transact at contract value with the issuer. Such events include the following: (1) amendments to the Plan documents (including complete or partial plan termination or merger with another plan), (2) changes to the Plan’s prohibition on competing investment options or deletion of equity wash provisions, (3) bankruptcy of the plan sponsor or other plan sponsor events (for example, divestitures or spin-offs of a subsidiary) that cause a significant withdrawal from the Plan, or (4) the failure of the trust to qualify for exemption from federal income taxes or any required prohibited transaction exemption under ERISA. The Plan administrator does not believe that the occurrence of any such event, which would limit the Plan’s ability to transact at contract value with participants, is probable.</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Financial Statements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4 - </w:t>
      </w:r>
      <w:r>
        <w:rPr>
          <w:rFonts w:ascii="Arial" w:cs="Arial" w:eastAsia="Arial" w:hAnsi="Arial"/>
          <w:sz w:val="18"/>
          <w:szCs w:val="18"/>
          <w:u w:val="single" w:color="auto"/>
          <w:color w:val="auto"/>
        </w:rPr>
        <w:t>Investment Contract with Insurance Company (continued)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guaranteed investment contract does not permit the insurance company to terminate the agreement prior to the scheduled maturity date.</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980" w:type="dxa"/>
            <w:vAlign w:val="bottom"/>
            <w:gridSpan w:val="2"/>
          </w:tcPr>
          <w:p>
            <w:pPr>
              <w:spacing w:after="0"/>
              <w:rPr>
                <w:sz w:val="20"/>
                <w:szCs w:val="20"/>
                <w:color w:val="auto"/>
              </w:rPr>
            </w:pPr>
            <w:r>
              <w:rPr>
                <w:rFonts w:ascii="Arial" w:cs="Arial" w:eastAsia="Arial" w:hAnsi="Arial"/>
                <w:sz w:val="14"/>
                <w:szCs w:val="14"/>
                <w:b w:val="1"/>
                <w:bCs w:val="1"/>
                <w:color w:val="auto"/>
              </w:rPr>
              <w:t>Average yields:</w:t>
            </w:r>
          </w:p>
        </w:tc>
        <w:tc>
          <w:tcPr>
            <w:tcW w:w="620" w:type="dxa"/>
            <w:vAlign w:val="bottom"/>
            <w:gridSpan w:val="2"/>
          </w:tcPr>
          <w:p>
            <w:pPr>
              <w:ind w:left="320"/>
              <w:spacing w:after="0"/>
              <w:rPr>
                <w:sz w:val="20"/>
                <w:szCs w:val="20"/>
                <w:color w:val="auto"/>
              </w:rPr>
            </w:pPr>
            <w:r>
              <w:rPr>
                <w:rFonts w:ascii="Arial" w:cs="Arial" w:eastAsia="Arial" w:hAnsi="Arial"/>
                <w:sz w:val="14"/>
                <w:szCs w:val="14"/>
                <w:b w:val="1"/>
                <w:bCs w:val="1"/>
                <w:color w:val="auto"/>
                <w:w w:val="89"/>
              </w:rPr>
              <w:t>2006</w:t>
            </w:r>
          </w:p>
        </w:tc>
        <w:tc>
          <w:tcPr>
            <w:tcW w:w="440" w:type="dxa"/>
            <w:vAlign w:val="bottom"/>
          </w:tcPr>
          <w:p>
            <w:pPr>
              <w:spacing w:after="0"/>
              <w:rPr>
                <w:sz w:val="14"/>
                <w:szCs w:val="14"/>
                <w:color w:val="auto"/>
              </w:rPr>
            </w:pPr>
          </w:p>
        </w:tc>
        <w:tc>
          <w:tcPr>
            <w:tcW w:w="320" w:type="dxa"/>
            <w:vAlign w:val="bottom"/>
          </w:tcPr>
          <w:p>
            <w:pPr>
              <w:ind w:left="20"/>
              <w:spacing w:after="0"/>
              <w:rPr>
                <w:sz w:val="20"/>
                <w:szCs w:val="20"/>
                <w:color w:val="auto"/>
              </w:rPr>
            </w:pPr>
            <w:r>
              <w:rPr>
                <w:rFonts w:ascii="Arial" w:cs="Arial" w:eastAsia="Arial" w:hAnsi="Arial"/>
                <w:sz w:val="14"/>
                <w:szCs w:val="14"/>
                <w:b w:val="1"/>
                <w:bCs w:val="1"/>
                <w:color w:val="auto"/>
                <w:w w:val="89"/>
              </w:rPr>
              <w:t>2005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shd w:val="clear" w:color="auto" w:fill="CCEEFF"/>
          </w:tcPr>
          <w:p>
            <w:pPr>
              <w:spacing w:after="0"/>
              <w:rPr>
                <w:sz w:val="20"/>
                <w:szCs w:val="20"/>
                <w:color w:val="auto"/>
              </w:rPr>
            </w:pPr>
            <w:r>
              <w:rPr>
                <w:rFonts w:ascii="Arial" w:cs="Arial" w:eastAsia="Arial" w:hAnsi="Arial"/>
                <w:sz w:val="18"/>
                <w:szCs w:val="18"/>
                <w:color w:val="auto"/>
              </w:rPr>
              <w:t>Based on actual earnings</w:t>
            </w:r>
          </w:p>
        </w:tc>
        <w:tc>
          <w:tcPr>
            <w:tcW w:w="3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4.69%</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4.72%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tcPr>
          <w:p>
            <w:pPr>
              <w:spacing w:after="0"/>
              <w:rPr>
                <w:sz w:val="20"/>
                <w:szCs w:val="20"/>
                <w:color w:val="auto"/>
              </w:rPr>
            </w:pPr>
            <w:r>
              <w:rPr>
                <w:rFonts w:ascii="Arial" w:cs="Arial" w:eastAsia="Arial" w:hAnsi="Arial"/>
                <w:sz w:val="18"/>
                <w:szCs w:val="18"/>
                <w:color w:val="auto"/>
              </w:rPr>
              <w:t>Based on interest rate credited to participants</w:t>
            </w:r>
          </w:p>
        </w:tc>
        <w:tc>
          <w:tcPr>
            <w:tcW w:w="1060" w:type="dxa"/>
            <w:vAlign w:val="bottom"/>
            <w:gridSpan w:val="3"/>
          </w:tcPr>
          <w:p>
            <w:pPr>
              <w:ind w:left="300"/>
              <w:spacing w:after="0"/>
              <w:rPr>
                <w:sz w:val="20"/>
                <w:szCs w:val="20"/>
                <w:color w:val="auto"/>
              </w:rPr>
            </w:pPr>
            <w:r>
              <w:rPr>
                <w:rFonts w:ascii="Arial" w:cs="Arial" w:eastAsia="Arial" w:hAnsi="Arial"/>
                <w:sz w:val="18"/>
                <w:szCs w:val="18"/>
                <w:color w:val="auto"/>
              </w:rPr>
              <w:t>5.07%</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5.19%</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5 - </w:t>
      </w:r>
      <w:r>
        <w:rPr>
          <w:rFonts w:ascii="Arial" w:cs="Arial" w:eastAsia="Arial" w:hAnsi="Arial"/>
          <w:sz w:val="18"/>
          <w:szCs w:val="18"/>
          <w:u w:val="single" w:color="auto"/>
          <w:color w:val="auto"/>
        </w:rPr>
        <w:t>Nonparticipant-Directed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Information about the net assets and the significant components of the change in net assets relating to the nonparticipant-directed investments is as follows: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02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Net assets:</w:t>
            </w:r>
          </w:p>
        </w:tc>
        <w:tc>
          <w:tcPr>
            <w:tcW w:w="160" w:type="dxa"/>
            <w:vAlign w:val="bottom"/>
          </w:tcPr>
          <w:p>
            <w:pPr>
              <w:spacing w:after="0"/>
              <w:rPr>
                <w:sz w:val="14"/>
                <w:szCs w:val="14"/>
                <w:color w:val="auto"/>
              </w:rPr>
            </w:pPr>
          </w:p>
        </w:tc>
        <w:tc>
          <w:tcPr>
            <w:tcW w:w="134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9"/>
        </w:trPr>
        <w:tc>
          <w:tcPr>
            <w:tcW w:w="9020" w:type="dxa"/>
            <w:vAlign w:val="bottom"/>
            <w:gridSpan w:val="5"/>
            <w:vMerge w:val="continue"/>
          </w:tcPr>
          <w:p>
            <w:pPr>
              <w:spacing w:after="0"/>
              <w:rPr>
                <w:sz w:val="12"/>
                <w:szCs w:val="12"/>
                <w:color w:val="auto"/>
              </w:rPr>
            </w:pPr>
          </w:p>
        </w:tc>
        <w:tc>
          <w:tcPr>
            <w:tcW w:w="460" w:type="dxa"/>
            <w:vAlign w:val="bottom"/>
            <w:tcBorders>
              <w:top w:val="single" w:sz="8" w:color="auto"/>
            </w:tcBorders>
            <w:gridSpan w:val="2"/>
          </w:tcPr>
          <w:p>
            <w:pPr>
              <w:ind w:left="160"/>
              <w:spacing w:after="0" w:line="142" w:lineRule="exact"/>
              <w:rPr>
                <w:sz w:val="20"/>
                <w:szCs w:val="20"/>
                <w:color w:val="auto"/>
              </w:rPr>
            </w:pPr>
            <w:r>
              <w:rPr>
                <w:rFonts w:ascii="Arial" w:cs="Arial" w:eastAsia="Arial" w:hAnsi="Arial"/>
                <w:sz w:val="14"/>
                <w:szCs w:val="14"/>
                <w:b w:val="1"/>
                <w:bCs w:val="1"/>
                <w:color w:val="auto"/>
                <w:w w:val="89"/>
              </w:rPr>
              <w:t>2006</w:t>
            </w: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Putnam Stable Value Fund</w:t>
            </w:r>
          </w:p>
        </w:tc>
        <w:tc>
          <w:tcPr>
            <w:tcW w:w="3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30,983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15,099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7"/>
          </w:tcPr>
          <w:p>
            <w:pPr>
              <w:jc w:val="center"/>
              <w:ind w:right="540"/>
              <w:spacing w:after="0"/>
              <w:rPr>
                <w:sz w:val="20"/>
                <w:szCs w:val="20"/>
                <w:color w:val="auto"/>
              </w:rPr>
            </w:pPr>
            <w:r>
              <w:rPr>
                <w:rFonts w:ascii="Arial" w:cs="Arial" w:eastAsia="Arial" w:hAnsi="Arial"/>
                <w:sz w:val="14"/>
                <w:szCs w:val="14"/>
                <w:b w:val="1"/>
                <w:bCs w:val="1"/>
                <w:color w:val="auto"/>
                <w:w w:val="88"/>
              </w:rPr>
              <w:t>For the Year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980" w:type="dxa"/>
            <w:vAlign w:val="bottom"/>
            <w:vMerge w:val="restart"/>
          </w:tcPr>
          <w:p>
            <w:pPr>
              <w:spacing w:after="0"/>
              <w:rPr>
                <w:sz w:val="20"/>
                <w:szCs w:val="20"/>
                <w:color w:val="auto"/>
              </w:rPr>
            </w:pPr>
            <w:r>
              <w:rPr>
                <w:rFonts w:ascii="Arial" w:cs="Arial" w:eastAsia="Arial" w:hAnsi="Arial"/>
                <w:sz w:val="14"/>
                <w:szCs w:val="14"/>
                <w:b w:val="1"/>
                <w:bCs w:val="1"/>
                <w:color w:val="auto"/>
              </w:rPr>
              <w:t>Changes in net assets:</w:t>
            </w:r>
          </w:p>
        </w:tc>
        <w:tc>
          <w:tcPr>
            <w:tcW w:w="580" w:type="dxa"/>
            <w:vAlign w:val="bottom"/>
            <w:gridSpan w:val="2"/>
            <w:vMerge w:val="restart"/>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7"/>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980" w:type="dxa"/>
            <w:vAlign w:val="bottom"/>
            <w:tcBorders>
              <w:bottom w:val="single" w:sz="8" w:color="auto"/>
            </w:tcBorders>
            <w:vMerge w:val="continue"/>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Borders>
              <w:bottom w:val="single" w:sz="8" w:color="auto"/>
            </w:tcBorders>
            <w:gridSpan w:val="3"/>
          </w:tcPr>
          <w:p>
            <w:pPr>
              <w:jc w:val="center"/>
              <w:ind w:left="189"/>
              <w:spacing w:after="0" w:line="148" w:lineRule="exact"/>
              <w:rPr>
                <w:sz w:val="20"/>
                <w:szCs w:val="20"/>
                <w:color w:val="auto"/>
              </w:rPr>
            </w:pPr>
            <w:r>
              <w:rPr>
                <w:rFonts w:ascii="Arial" w:cs="Arial" w:eastAsia="Arial" w:hAnsi="Arial"/>
                <w:sz w:val="14"/>
                <w:szCs w:val="14"/>
                <w:b w:val="1"/>
                <w:bCs w:val="1"/>
                <w:color w:val="auto"/>
                <w:w w:val="89"/>
              </w:rPr>
              <w:t>2006</w:t>
            </w:r>
          </w:p>
        </w:tc>
        <w:tc>
          <w:tcPr>
            <w:tcW w:w="2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and dividend income</w:t>
            </w:r>
          </w:p>
        </w:tc>
        <w:tc>
          <w:tcPr>
            <w:tcW w:w="4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670</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60" w:type="dxa"/>
            <w:vAlign w:val="bottom"/>
            <w:gridSpan w:val="3"/>
          </w:tcPr>
          <w:p>
            <w:pPr>
              <w:spacing w:after="0"/>
              <w:rPr>
                <w:sz w:val="20"/>
                <w:szCs w:val="20"/>
                <w:color w:val="auto"/>
              </w:rPr>
            </w:pPr>
            <w:r>
              <w:rPr>
                <w:rFonts w:ascii="Arial" w:cs="Arial" w:eastAsia="Arial" w:hAnsi="Arial"/>
                <w:sz w:val="18"/>
                <w:szCs w:val="18"/>
                <w:color w:val="auto"/>
              </w:rPr>
              <w:t>Forfeitures relating to current year distributions and withdrawals</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33,506</w:t>
            </w: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Administrative expenses</w:t>
            </w:r>
          </w:p>
        </w:tc>
        <w:tc>
          <w:tcPr>
            <w:tcW w:w="160" w:type="dxa"/>
            <w:vAlign w:val="bottom"/>
            <w:shd w:val="clear" w:color="auto" w:fill="CCEEFF"/>
          </w:tcPr>
          <w:p>
            <w:pPr>
              <w:spacing w:after="0"/>
              <w:rPr>
                <w:sz w:val="18"/>
                <w:szCs w:val="18"/>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(18,292)</w:t>
            </w:r>
          </w:p>
        </w:tc>
        <w:tc>
          <w:tcPr>
            <w:tcW w:w="520" w:type="dxa"/>
            <w:vAlign w:val="bottom"/>
            <w:tcBorders>
              <w:left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gridSpan w:val="4"/>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gridSpan w:val="4"/>
          </w:tcPr>
          <w:p>
            <w:pPr>
              <w:jc w:val="right"/>
              <w:spacing w:after="0"/>
              <w:rPr>
                <w:sz w:val="20"/>
                <w:szCs w:val="20"/>
                <w:color w:val="auto"/>
              </w:rPr>
            </w:pPr>
            <w:r>
              <w:rPr>
                <w:rFonts w:ascii="Arial" w:cs="Arial" w:eastAsia="Arial" w:hAnsi="Arial"/>
                <w:sz w:val="18"/>
                <w:szCs w:val="18"/>
                <w:color w:val="auto"/>
                <w:w w:val="87"/>
              </w:rPr>
              <w:t>15,884</w:t>
            </w: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6 - </w:t>
      </w:r>
      <w:r>
        <w:rPr>
          <w:rFonts w:ascii="Arial" w:cs="Arial" w:eastAsia="Arial" w:hAnsi="Arial"/>
          <w:sz w:val="18"/>
          <w:szCs w:val="18"/>
          <w:u w:val="single" w:color="auto"/>
          <w:color w:val="auto"/>
        </w:rPr>
        <w:t>Risks and Uncertainties</w:t>
      </w:r>
    </w:p>
    <w:p>
      <w:pPr>
        <w:spacing w:after="0" w:line="90"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The Plan invests in various investment securities. Investment securities are exposed to various risks such as interest rate, market and credit risks. Due to the level of risk associated with certain investment securities, it is at least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7 - </w:t>
      </w:r>
      <w:r>
        <w:rPr>
          <w:rFonts w:ascii="Arial" w:cs="Arial" w:eastAsia="Arial" w:hAnsi="Arial"/>
          <w:sz w:val="18"/>
          <w:szCs w:val="18"/>
          <w:u w:val="single" w:color="auto"/>
          <w:color w:val="auto"/>
        </w:rPr>
        <w:t>Income Tax Status</w:t>
      </w:r>
    </w:p>
    <w:p>
      <w:pPr>
        <w:spacing w:after="0" w:line="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The underlying non-standardized prototype plan has received an opinion letter from the Internal Revenue Service (IRS) dated August 9, 2002 stating that the form of the plan is qualified under Section 401 of the Internal Revenue Code and, therefore, the related trust is tax-exempt. In accordance with Revenue Procedure</w:t>
      </w:r>
    </w:p>
    <w:p>
      <w:pPr>
        <w:ind w:right="100"/>
        <w:spacing w:after="0" w:line="254" w:lineRule="auto"/>
        <w:rPr>
          <w:sz w:val="20"/>
          <w:szCs w:val="20"/>
          <w:color w:val="auto"/>
        </w:rPr>
      </w:pPr>
      <w:r>
        <w:rPr>
          <w:rFonts w:ascii="Arial" w:cs="Arial" w:eastAsia="Arial" w:hAnsi="Arial"/>
          <w:sz w:val="18"/>
          <w:szCs w:val="18"/>
          <w:color w:val="auto"/>
        </w:rPr>
        <w:t>2002-6 and Announcement 2001-77, the Plan Sponsor has determined that it is eligible to and has chosen to rely on the current IRS prototype plan opinion letter. Once qualified, the Plan is required to operate in conformity with the Code to maintain its qualification. The Plan has been amended since receiving the determination letter. However, the plan administrator believes the Plan is being operated in compliance with the applicable requirements of the Code and, therefore, believes that the Plan is qualified and the related trust is tax-exempt.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8 - </w:t>
      </w:r>
      <w:r>
        <w:rPr>
          <w:rFonts w:ascii="Arial" w:cs="Arial" w:eastAsia="Arial" w:hAnsi="Arial"/>
          <w:sz w:val="18"/>
          <w:szCs w:val="18"/>
          <w:u w:val="single" w:color="auto"/>
          <w:color w:val="auto"/>
        </w:rPr>
        <w:t>Excess Deferred Compensation Contributions</w:t>
      </w:r>
    </w:p>
    <w:p>
      <w:pPr>
        <w:spacing w:after="0" w:line="90"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Excess contributions to the Plan for the year ended December 31, 2006 were $123,253. The Company returned $100,900 of the excess contribution to the participants on March 15, 2007 and $22,353 on March 29, 2007. The $100,900 is recorded as a deduction from contributions for the year ended December 31, 2006 and the $22,353 will be shown as distributions for the year ended December 31, 2007.</w:t>
      </w:r>
    </w:p>
    <w:p>
      <w:pPr>
        <w:spacing w:after="0" w:line="14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color w:val="auto"/>
        </w:rPr>
        <w:t>Excess contributions to the Plan for the year ended December 31, 2005 were $167,391. The Company returned $58,103 of the excess contribution to the participants on March 14, 2006 and $109,288 on October 30, 2006.</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Note 9 - </w:t>
      </w:r>
      <w:r>
        <w:rPr>
          <w:rFonts w:ascii="Arial" w:cs="Arial" w:eastAsia="Arial" w:hAnsi="Arial"/>
          <w:sz w:val="18"/>
          <w:szCs w:val="18"/>
          <w:u w:val="single" w:color="auto"/>
          <w:color w:val="auto"/>
        </w:rPr>
        <w:t>Subsequent Event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Effective January 1, 2007, the assets of the Plan were transferred to Fidelity Investments.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Casual Male Retail Group, Inc. 401(k) Salaried Savings Plan</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04-2623104/Plan Number: 004</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 Line 4i – Schedule of Assets Held For Investment Purposes at End of Year</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86"/>
              </w:rPr>
              <w:t>Identity of Issue,</w:t>
            </w:r>
          </w:p>
        </w:tc>
        <w:tc>
          <w:tcPr>
            <w:tcW w:w="220" w:type="dxa"/>
            <w:vAlign w:val="bottom"/>
          </w:tcPr>
          <w:p>
            <w:pPr>
              <w:spacing w:after="0"/>
              <w:rPr>
                <w:sz w:val="14"/>
                <w:szCs w:val="14"/>
                <w:color w:val="auto"/>
              </w:rPr>
            </w:pPr>
          </w:p>
        </w:tc>
        <w:tc>
          <w:tcPr>
            <w:tcW w:w="5940" w:type="dxa"/>
            <w:vAlign w:val="bottom"/>
          </w:tcPr>
          <w:p>
            <w:pPr>
              <w:jc w:val="center"/>
              <w:spacing w:after="0"/>
              <w:rPr>
                <w:sz w:val="20"/>
                <w:szCs w:val="20"/>
                <w:color w:val="auto"/>
              </w:rPr>
            </w:pPr>
            <w:r>
              <w:rPr>
                <w:rFonts w:ascii="Arial" w:cs="Arial" w:eastAsia="Arial" w:hAnsi="Arial"/>
                <w:sz w:val="14"/>
                <w:szCs w:val="14"/>
                <w:b w:val="1"/>
                <w:bCs w:val="1"/>
                <w:color w:val="auto"/>
                <w:w w:val="86"/>
              </w:rPr>
              <w:t>Description of investment including</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Borrower, Lessor,</w:t>
            </w:r>
          </w:p>
        </w:tc>
        <w:tc>
          <w:tcPr>
            <w:tcW w:w="220" w:type="dxa"/>
            <w:vAlign w:val="bottom"/>
          </w:tcPr>
          <w:p>
            <w:pPr>
              <w:spacing w:after="0"/>
              <w:rPr>
                <w:sz w:val="12"/>
                <w:szCs w:val="12"/>
                <w:color w:val="auto"/>
              </w:rPr>
            </w:pPr>
          </w:p>
        </w:tc>
        <w:tc>
          <w:tcPr>
            <w:tcW w:w="5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maturity date, rate of interest,</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8"/>
        </w:trPr>
        <w:tc>
          <w:tcPr>
            <w:tcW w:w="20" w:type="dxa"/>
            <w:vAlign w:val="bottom"/>
          </w:tcPr>
          <w:p>
            <w:pPr>
              <w:spacing w:after="0"/>
              <w:rPr>
                <w:sz w:val="14"/>
                <w:szCs w:val="14"/>
                <w:color w:val="auto"/>
              </w:rPr>
            </w:pPr>
          </w:p>
        </w:tc>
        <w:tc>
          <w:tcPr>
            <w:tcW w:w="3060" w:type="dxa"/>
            <w:vAlign w:val="bottom"/>
          </w:tcPr>
          <w:p>
            <w:pPr>
              <w:jc w:val="center"/>
              <w:spacing w:after="0"/>
              <w:rPr>
                <w:sz w:val="20"/>
                <w:szCs w:val="20"/>
                <w:color w:val="auto"/>
              </w:rPr>
            </w:pPr>
            <w:r>
              <w:rPr>
                <w:rFonts w:ascii="Arial" w:cs="Arial" w:eastAsia="Arial" w:hAnsi="Arial"/>
                <w:sz w:val="14"/>
                <w:szCs w:val="14"/>
                <w:b w:val="1"/>
                <w:bCs w:val="1"/>
                <w:color w:val="auto"/>
                <w:w w:val="90"/>
              </w:rPr>
              <w:t>or Similar Party</w:t>
            </w:r>
          </w:p>
        </w:tc>
        <w:tc>
          <w:tcPr>
            <w:tcW w:w="220" w:type="dxa"/>
            <w:vAlign w:val="bottom"/>
          </w:tcPr>
          <w:p>
            <w:pPr>
              <w:spacing w:after="0"/>
              <w:rPr>
                <w:sz w:val="14"/>
                <w:szCs w:val="14"/>
                <w:color w:val="auto"/>
              </w:rPr>
            </w:pPr>
          </w:p>
        </w:tc>
        <w:tc>
          <w:tcPr>
            <w:tcW w:w="5940" w:type="dxa"/>
            <w:vAlign w:val="bottom"/>
          </w:tcPr>
          <w:p>
            <w:pPr>
              <w:jc w:val="center"/>
              <w:spacing w:after="0"/>
              <w:rPr>
                <w:sz w:val="20"/>
                <w:szCs w:val="20"/>
                <w:color w:val="auto"/>
              </w:rPr>
            </w:pPr>
            <w:r>
              <w:rPr>
                <w:rFonts w:ascii="Arial" w:cs="Arial" w:eastAsia="Arial" w:hAnsi="Arial"/>
                <w:sz w:val="14"/>
                <w:szCs w:val="14"/>
                <w:b w:val="1"/>
                <w:bCs w:val="1"/>
                <w:color w:val="auto"/>
                <w:w w:val="88"/>
              </w:rPr>
              <w:t>collateral, par, or maturity value</w:t>
            </w:r>
          </w:p>
        </w:tc>
        <w:tc>
          <w:tcPr>
            <w:tcW w:w="2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8"/>
              </w:rPr>
              <w:t>Shares/Units</w:t>
            </w:r>
          </w:p>
        </w:tc>
        <w:tc>
          <w:tcPr>
            <w:tcW w:w="220" w:type="dxa"/>
            <w:vAlign w:val="bottom"/>
          </w:tcPr>
          <w:p>
            <w:pPr>
              <w:spacing w:after="0"/>
              <w:rPr>
                <w:sz w:val="14"/>
                <w:szCs w:val="14"/>
                <w:color w:val="auto"/>
              </w:rPr>
            </w:pPr>
          </w:p>
        </w:tc>
        <w:tc>
          <w:tcPr>
            <w:tcW w:w="980" w:type="dxa"/>
            <w:vAlign w:val="bottom"/>
            <w:gridSpan w:val="3"/>
          </w:tcPr>
          <w:p>
            <w:pPr>
              <w:ind w:left="60"/>
              <w:spacing w:after="0"/>
              <w:rPr>
                <w:sz w:val="20"/>
                <w:szCs w:val="20"/>
                <w:color w:val="auto"/>
              </w:rPr>
            </w:pPr>
            <w:r>
              <w:rPr>
                <w:rFonts w:ascii="Arial" w:cs="Arial" w:eastAsia="Arial" w:hAnsi="Arial"/>
                <w:sz w:val="14"/>
                <w:szCs w:val="14"/>
                <w:b w:val="1"/>
                <w:bCs w:val="1"/>
                <w:color w:val="auto"/>
                <w:w w:val="97"/>
              </w:rPr>
              <w:t>Current Value</w:t>
            </w:r>
          </w:p>
        </w:tc>
      </w:tr>
      <w:tr>
        <w:trPr>
          <w:trHeight w:val="208"/>
        </w:trPr>
        <w:tc>
          <w:tcPr>
            <w:tcW w:w="20" w:type="dxa"/>
            <w:vAlign w:val="bottom"/>
          </w:tcPr>
          <w:p>
            <w:pPr>
              <w:spacing w:after="0"/>
              <w:rPr>
                <w:sz w:val="18"/>
                <w:szCs w:val="18"/>
                <w:color w:val="auto"/>
              </w:rPr>
            </w:pPr>
          </w:p>
        </w:tc>
        <w:tc>
          <w:tcPr>
            <w:tcW w:w="3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Commingled funds held through Putnam</w:t>
            </w:r>
          </w:p>
        </w:tc>
        <w:tc>
          <w:tcPr>
            <w:tcW w:w="220" w:type="dxa"/>
            <w:vAlign w:val="bottom"/>
            <w:shd w:val="clear" w:color="auto" w:fill="CCEEFF"/>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shd w:val="clear" w:color="auto" w:fill="CCEEFF"/>
          </w:tcPr>
          <w:p>
            <w:pPr>
              <w:spacing w:after="0"/>
              <w:rPr>
                <w:sz w:val="19"/>
                <w:szCs w:val="19"/>
                <w:color w:val="auto"/>
              </w:rPr>
            </w:pPr>
          </w:p>
        </w:tc>
        <w:tc>
          <w:tcPr>
            <w:tcW w:w="5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Stable Value Fund (1)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4,589,478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4,589,478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*Putnam S&amp;P 500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3,026,806</w:t>
            </w:r>
          </w:p>
        </w:tc>
        <w:tc>
          <w:tcPr>
            <w:tcW w:w="2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Mutual funds held through Putnam</w:t>
            </w:r>
          </w:p>
        </w:tc>
        <w:tc>
          <w:tcPr>
            <w:tcW w:w="2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060" w:type="dxa"/>
            <w:vAlign w:val="bottom"/>
          </w:tcPr>
          <w:p>
            <w:pPr>
              <w:ind w:left="200"/>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American Funds Growth Fund of America Class</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88,944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2,886,226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Pimco Total Return Adm</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127,979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1,328,422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Columbia Acorn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884,174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Dodge &amp; Cox Stock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5,589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857,760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Hotchkis &amp; Wiley Lg Cap Value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855,089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Janus Mid Cap Value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30,667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730,192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Dodge &amp; Cox International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692,482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Artisan Mid Cap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21,906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667,272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Columbia Small Cap Value Fund II</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35,450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484,242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MSIF Small company Growth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34,597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436,959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Victory Diversified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23,373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421,881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Retirementready Maturity</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44,105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2,521,026</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*Putnam International Equity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35,762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1,120,411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Retirementready 2010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43,984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2,552,814</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2015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625,717</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Retirementready 2020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402,821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2030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308,741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Retirementready 2025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3,436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257,299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2040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Retirementready 2045 Fund</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40,041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*Putnam Retirementready 2035 Fund</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35,401</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*Putnam Retirementready 2050 Fund ClassA</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*Casual Male Retail Group, Inc – Common Stock</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31,719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413,938</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 Participant loans</w:t>
            </w:r>
          </w:p>
        </w:tc>
        <w:tc>
          <w:tcPr>
            <w:tcW w:w="6160" w:type="dxa"/>
            <w:vAlign w:val="bottom"/>
            <w:gridSpan w:val="2"/>
          </w:tcPr>
          <w:p>
            <w:pPr>
              <w:ind w:left="220"/>
              <w:spacing w:after="0"/>
              <w:rPr>
                <w:sz w:val="20"/>
                <w:szCs w:val="20"/>
                <w:color w:val="auto"/>
              </w:rPr>
            </w:pPr>
            <w:r>
              <w:rPr>
                <w:rFonts w:ascii="Arial" w:cs="Arial" w:eastAsia="Arial" w:hAnsi="Arial"/>
                <w:sz w:val="18"/>
                <w:szCs w:val="18"/>
                <w:color w:val="auto"/>
              </w:rPr>
              <w:t>5.0% - 10.5%</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631,611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26,861,266</w:t>
            </w:r>
          </w:p>
        </w:tc>
        <w:tc>
          <w:tcPr>
            <w:tcW w:w="20" w:type="dxa"/>
            <w:vAlign w:val="bottom"/>
          </w:tcPr>
          <w:p>
            <w:pPr>
              <w:spacing w:after="0"/>
              <w:rPr>
                <w:sz w:val="18"/>
                <w:szCs w:val="18"/>
                <w:color w:val="auto"/>
              </w:rPr>
            </w:pPr>
          </w:p>
        </w:tc>
      </w:tr>
    </w:tbl>
    <w:p>
      <w:pPr>
        <w:spacing w:after="0" w:line="7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Indicates party-in-interest to the Plan.</w:t>
      </w:r>
    </w:p>
    <w:p>
      <w:pPr>
        <w:spacing w:after="0" w:line="90" w:lineRule="exact"/>
        <w:rPr>
          <w:sz w:val="20"/>
          <w:szCs w:val="20"/>
          <w:color w:val="auto"/>
        </w:rPr>
      </w:pPr>
    </w:p>
    <w:p>
      <w:pPr>
        <w:ind w:left="5620" w:right="2280" w:hanging="5612"/>
        <w:spacing w:after="0" w:line="440" w:lineRule="auto"/>
        <w:tabs>
          <w:tab w:leader="none" w:pos="448"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$30,983 of nonparticipant-directed, unallocated forfeitures for which historical cost approximates to current value. 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Index to 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5"/>
          <w:szCs w:val="15"/>
          <w:color w:val="auto"/>
        </w:rPr>
        <w:t>Certification pursuant to 18 U.S.C. Section 1350, as adopted pursuant to Section 906 of the Sarbanes –Oxley Act of 2002</w:t>
      </w:r>
    </w:p>
    <w:p>
      <w:pPr>
        <w:sectPr>
          <w:pgSz w:w="11900" w:h="16838" w:orient="portrait"/>
          <w:cols w:equalWidth="0" w:num="1">
            <w:col w:w="10219"/>
          </w:cols>
          <w:pgMar w:left="240" w:top="459" w:right="1440"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i w:val="1"/>
          <w:iCs w:val="1"/>
          <w:color w:val="auto"/>
        </w:rPr>
        <w:t xml:space="preserve">The Plan. </w:t>
      </w:r>
      <w:r>
        <w:rPr>
          <w:rFonts w:ascii="Arial" w:cs="Arial" w:eastAsia="Arial" w:hAnsi="Arial"/>
          <w:sz w:val="18"/>
          <w:szCs w:val="18"/>
          <w:color w:val="auto"/>
        </w:rPr>
        <w:t>Pursuant to the requirements of the Securities Exchange Act of 1934, the trustees (or other persons who administer the employee benefit plan) have</w:t>
      </w:r>
      <w:r>
        <w:rPr>
          <w:rFonts w:ascii="Arial" w:cs="Arial" w:eastAsia="Arial" w:hAnsi="Arial"/>
          <w:sz w:val="18"/>
          <w:szCs w:val="18"/>
          <w:i w:val="1"/>
          <w:iCs w:val="1"/>
          <w:color w:val="auto"/>
        </w:rPr>
        <w:t xml:space="preserve"> </w:t>
      </w:r>
      <w:r>
        <w:rPr>
          <w:rFonts w:ascii="Arial" w:cs="Arial" w:eastAsia="Arial" w:hAnsi="Arial"/>
          <w:sz w:val="18"/>
          <w:szCs w:val="18"/>
          <w:color w:val="auto"/>
        </w:rPr>
        <w:t>duly caused this annual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Casual Male Retail Group, Inc. 401(k) Salary Savings plan</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 Executive Vice President, Chief</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Financial Officer and Chief Operating Officer of</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 the Plan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ectPr>
          <w:pgSz w:w="11900" w:h="16838" w:orient="portrait"/>
          <w:cols w:equalWidth="0" w:num="1">
            <w:col w:w="11100"/>
          </w:cols>
          <w:pgMar w:left="240" w:top="459" w:right="55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color w:val="auto"/>
        </w:rPr>
        <w:t>Exhibit 23.1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We consent to the incorporation by reference in the Registration Statement (Form S-8, Reg. No. 333-112218) pertaining to the Casual Male Retail Group, Inc. 401(k) Salaried Savings Plan of Casual Male Retail Group, Inc of our report dated June 18, 2007, with respect to the financial statements and schedule of the Casual Male Retail Group, Inc. 401(k) Salaried Savings Plan included in this Annual Report on Form 11-K for the year ended December 31, 2006.</w:t>
      </w:r>
    </w:p>
    <w:p>
      <w:pPr>
        <w:spacing w:after="0" w:line="10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Mahoney Cohen &amp; Company, CPA,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p>
      <w:pPr>
        <w:sectPr>
          <w:pgSz w:w="11900" w:h="16838" w:orient="portrait"/>
          <w:cols w:equalWidth="0" w:num="1">
            <w:col w:w="11420"/>
          </w:cols>
          <w:pgMar w:left="240" w:top="131" w:right="239" w:bottom="1440" w:gutter="0" w:footer="0" w:header="0"/>
        </w:sectPr>
      </w:pPr>
    </w:p>
    <w:bookmarkStart w:id="17" w:name="page18"/>
    <w:bookmarkEnd w:id="17"/>
    <w:p>
      <w:pPr>
        <w:jc w:val="right"/>
        <w:spacing w:after="0"/>
        <w:rPr>
          <w:sz w:val="20"/>
          <w:szCs w:val="20"/>
          <w:color w:val="auto"/>
        </w:rPr>
      </w:pPr>
      <w:r>
        <w:rPr>
          <w:rFonts w:ascii="Arial" w:cs="Arial" w:eastAsia="Arial" w:hAnsi="Arial"/>
          <w:sz w:val="18"/>
          <w:szCs w:val="18"/>
          <w:color w:val="auto"/>
        </w:rPr>
        <w:t>Exhibit 32.1</w:t>
      </w:r>
    </w:p>
    <w:p>
      <w:pPr>
        <w:spacing w:after="0" w:line="17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As Adopted Pursuant to Section 906</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Of the Sarbanes-Oxley Act of 2002</w:t>
      </w:r>
    </w:p>
    <w:p>
      <w:pPr>
        <w:spacing w:after="0" w:line="16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In connection with the Annual Report on Form 11-K of the Casual Male Retail Group, Inc. 401(k) Salary Saving Plan (the “Plan”) for the period ending December 31, 2006 as filed with the Securities and Exchange Commission on the date hereof (the “Report”), I, Dennis R. Hernreich, Executive Vice President, Chief Financial Officer and Chief Operating Officer of Casual Male Retail Group, Inc., the Plan Administrator, certify pursuant to 18 U.S.C. Section 1350, as adopted pursuant to Section 906 of the Sarbanes-Oxley Act of 2002, that:</w:t>
      </w:r>
    </w:p>
    <w:p>
      <w:pPr>
        <w:spacing w:after="0" w:line="6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15(d) of the Securities Exchange Act of 1934, as amended (the “Exchange Act”); and</w:t>
      </w:r>
    </w:p>
    <w:p>
      <w:pPr>
        <w:spacing w:after="0" w:line="113" w:lineRule="exact"/>
        <w:rPr>
          <w:rFonts w:ascii="Arial" w:cs="Arial" w:eastAsia="Arial" w:hAnsi="Arial"/>
          <w:sz w:val="16"/>
          <w:szCs w:val="16"/>
          <w:color w:val="auto"/>
        </w:rPr>
      </w:pPr>
    </w:p>
    <w:p>
      <w:pPr>
        <w:ind w:left="900" w:right="58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net assets available for benefits, and changes in net assets available for benefits of the Plan.</w:t>
      </w:r>
    </w:p>
    <w:p>
      <w:pPr>
        <w:spacing w:after="0" w:line="132" w:lineRule="exact"/>
        <w:rPr>
          <w:sz w:val="20"/>
          <w:szCs w:val="20"/>
          <w:color w:val="auto"/>
        </w:rPr>
      </w:pPr>
    </w:p>
    <w:p>
      <w:pPr>
        <w:jc w:val="both"/>
        <w:ind w:right="280"/>
        <w:spacing w:after="0" w:line="306" w:lineRule="auto"/>
        <w:rPr>
          <w:sz w:val="20"/>
          <w:szCs w:val="20"/>
          <w:color w:val="auto"/>
        </w:rPr>
      </w:pPr>
      <w:r>
        <w:rPr>
          <w:rFonts w:ascii="Arial" w:cs="Arial" w:eastAsia="Arial" w:hAnsi="Arial"/>
          <w:sz w:val="16"/>
          <w:szCs w:val="16"/>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Casual Male Retail Group, Inc. and will be retained by Casual Male Retail Group, Inc. and furnished to the Securities and Exchange Commission or its staff upon request.</w:t>
      </w:r>
    </w:p>
    <w:p>
      <w:pPr>
        <w:spacing w:after="0" w:line="363" w:lineRule="exact"/>
        <w:rPr>
          <w:sz w:val="20"/>
          <w:szCs w:val="20"/>
          <w:color w:val="auto"/>
        </w:rPr>
      </w:pPr>
    </w:p>
    <w:p>
      <w:pPr>
        <w:ind w:left="6860"/>
        <w:spacing w:after="0"/>
        <w:tabs>
          <w:tab w:leader="none" w:pos="718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ENNIS</w:t>
      </w:r>
      <w:r>
        <w:rPr>
          <w:rFonts w:ascii="Arial" w:cs="Arial" w:eastAsia="Arial" w:hAnsi="Arial"/>
          <w:sz w:val="16"/>
          <w:szCs w:val="16"/>
          <w:color w:val="auto"/>
        </w:rPr>
        <w:t xml:space="preserve"> R. H</w:t>
      </w:r>
      <w:r>
        <w:rPr>
          <w:rFonts w:ascii="Arial" w:cs="Arial" w:eastAsia="Arial" w:hAnsi="Arial"/>
          <w:sz w:val="13"/>
          <w:szCs w:val="13"/>
          <w:color w:val="auto"/>
        </w:rPr>
        <w:t>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Dennis R. Hernreich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Operating Officer of Casual Male Retail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Group, Inc., the Plan Administrator</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June 26, 2007</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2019-12-20T18:13:22Z</dcterms:created>
  <dcterms:modified xsi:type="dcterms:W3CDTF">2019-12-20T18:13:22Z</dcterms:modified>
</cp:coreProperties>
</file>