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20, 2010</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300" w:space="720"/>
            <w:col w:w="300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May 20, 2010, Casual Male Retail Group, Inc. (the “Company”) issued a press release announcing the Company’s sales and results of operations for the first quarter of fiscal 2010. A copy of this press release is attached hereto as Exhibit 99.1.</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announcing sales and operating results for the first quarter of fiscal 2010.</w:t>
      </w:r>
    </w:p>
    <w:p>
      <w:pPr>
        <w:sectPr>
          <w:pgSz w:w="11900" w:h="16838" w:orient="portrait"/>
          <w:cols w:equalWidth="0" w:num="1">
            <w:col w:w="11280"/>
          </w:cols>
          <w:pgMar w:left="240" w:top="27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Dennis R. Hernreich</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Executive Vice President and Chief Financial Officer</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May 20, 2010</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118110</wp:posOffset>
            </wp:positionV>
            <wp:extent cx="2573020" cy="73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302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FIRST QUARTER 2010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First Quarter Earnings $0.09 Per Diluted Share versus $0.01 Per Diluted Share Last Year</w:t>
      </w:r>
    </w:p>
    <w:p>
      <w:pPr>
        <w:spacing w:after="0" w:line="159"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CANTON, MA (May 20, 2010) </w:t>
      </w:r>
      <w:r>
        <w:rPr>
          <w:rFonts w:ascii="Arial" w:cs="Arial" w:eastAsia="Arial" w:hAnsi="Arial"/>
          <w:sz w:val="18"/>
          <w:szCs w:val="18"/>
          <w:color w:val="auto"/>
        </w:rPr>
        <w:t>—</w:t>
      </w:r>
      <w:r>
        <w:rPr>
          <w:rFonts w:ascii="Arial" w:cs="Arial" w:eastAsia="Arial" w:hAnsi="Arial"/>
          <w:sz w:val="18"/>
          <w:szCs w:val="18"/>
          <w:b w:val="1"/>
          <w:bCs w:val="1"/>
          <w:color w:val="auto"/>
        </w:rPr>
        <w:t xml:space="preserve"> Casual Male Retail Group, Inc. (NASDAQ: “CMRG”)</w:t>
      </w:r>
      <w:r>
        <w:rPr>
          <w:rFonts w:ascii="Arial" w:cs="Arial" w:eastAsia="Arial" w:hAnsi="Arial"/>
          <w:sz w:val="18"/>
          <w:szCs w:val="18"/>
          <w:color w:val="auto"/>
        </w:rPr>
        <w:t>, the largest retailer of big &amp; tall men’s apparel and accessories,</w:t>
      </w:r>
      <w:r>
        <w:rPr>
          <w:rFonts w:ascii="Arial" w:cs="Arial" w:eastAsia="Arial" w:hAnsi="Arial"/>
          <w:sz w:val="18"/>
          <w:szCs w:val="18"/>
          <w:b w:val="1"/>
          <w:bCs w:val="1"/>
          <w:color w:val="auto"/>
        </w:rPr>
        <w:t xml:space="preserve"> </w:t>
      </w:r>
      <w:r>
        <w:rPr>
          <w:rFonts w:ascii="Arial" w:cs="Arial" w:eastAsia="Arial" w:hAnsi="Arial"/>
          <w:sz w:val="18"/>
          <w:szCs w:val="18"/>
          <w:color w:val="auto"/>
        </w:rPr>
        <w:t>today reported operating results for the first quarter ended May 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Highlights (1QFY10 vs. 1QFY09)</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increased to $4.2 million, or $0.09 per diluted share, from a net income of $0.3 million, or $0.01 per diluted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Comparable sales decreased 0.7% and total sales decreased 2.6% to $95.0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improved 330 basis points to 45.9%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 raises FY 2010 EPS guidance to $0.26 to $0.29 per diluted share from $0.23 to $0.26 per diluted share</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David Levin, President and CEO, stated, “We are pleased with our first quarter results, as they were characterized by continuing improvements in comparable sales, gross margin and expense control/operating leverage. In the quarter, we saw a strong customer response to fresh new merchandise around key selling weeks and are encouraged by the overall directional trend in our traffic trends. While customers continue to be mindful of their discretionary spending on apparel, we are seeing an increased willingness to spend when the weather is favorable. Flattening sales trends, along with higher merchandise margin from strong inventory and promotional controls, provide us the confidence to raise our fiscal 2010 EPS guidance range to $0.26 to $0.29 per diluted share from our previous guidance of $0.23 to $0.26 per diluted share.”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the first quarter of fiscal 2010, total sales declined 2.6% to $95.0 million and comparable sales declined 0.7% as compared to the prior year’s first quarter. During the first quarter of fiscal 2010, comparable sales for our Rochester business increased 4.6% while comparable sales for our Casual Male XL business decreased by 2.4%. Sales across our direct marketing catalogs and e-commerce businesses increased by 0.6% for the first quarter of fiscal 2010 as compared to the prior year’s first quarter.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 Margin</w:t>
      </w:r>
    </w:p>
    <w:p>
      <w:pPr>
        <w:spacing w:after="0" w:line="96"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For the first quarter of fiscal 2010, gross margin increased 330 basis points to 45.9%. The increase was the result of a 280 basis point improvement in merchandise margin and a 50 basis point improvement in occupancy costs.</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SG&amp;A</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a dollar basis, SG&amp;A expenses decreased 4.1% to $35.6 million for the first quarter of fiscal 2010. As a percentage of sales, SG&amp;A expenses declined 60 basis points to 37.5% in the first quarter of fiscal 2010 as compared to 38.1% in the first quarter of fiscal 2009.</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During the first quarter of fiscal 2010, we continued to benefit from the cost reductions that we took during the first half of fiscal 2009. Approximately two-thirds of the savings were the result of improved field productivity with the remaining cost savings resulting from reduced marketing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Net interest expense for the first quarter of fiscal 2010 decreased to $0.2 million from $0.3 million in the prior year. This decrease was primarily the result of a decrease in total indebtedness over the prior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Free cash flow from operations improved by $2.8 million to $(0.1) million in the first quarter of fiscal 2010 as compared to $(2.9) million in the first quarter of fiscal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&amp; Liquidity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Total debt decreased 78.2%, or $43.0 million, to $12.0 million at the end of first quarter of fiscal 2010 from $55.0 million at the end of first quarter of fiscal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 May 1, 2010, the Company had $60.0 million available under its credit line facility.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Inventories decreased 6.6% to $98.7 million at the end of the first quarter of fiscal 2010 from $105.6 million at the end of first quarter of fiscal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Destination XL</w:t>
      </w:r>
    </w:p>
    <w:p>
      <w:pPr>
        <w:spacing w:after="0" w:line="9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Company expects to open four Destination XL stores during the second and third quarters of fiscal 2010. The first store, which is scheduled to open July 2010, will be in Schaumburg, Illinois, with stores in Memphis, Tennessee; Las Vegas, Nevada; and Houston, Texas to open by August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Updated Fiscal 2010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May 20, 2010, the company is projecting the following for the fiscal year ending January 29, 2011:</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Comparable sales +1% to -1% with total sales of $385 - $395 million (unchanged)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margin of 44.9% to 45.4% (previous range 44.6% to 45.2%)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SG&amp;A expenses to decline by approximately 2.0% (unchanged)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of $0.26-$0.29 (previous range $0.23-$0.26)</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 quarterly basis, expect to see improvements in earnings in the third and fourth quarters of fiscal 2010, consistent with the expected 2010 annual improvement to 2009, but no improvement expected in the second quarter</w:t>
      </w:r>
    </w:p>
    <w:p>
      <w:pPr>
        <w:sectPr>
          <w:pgSz w:w="11900" w:h="16838" w:orient="portrait"/>
          <w:cols w:equalWidth="0" w:num="1">
            <w:col w:w="11400"/>
          </w:cols>
          <w:pgMar w:left="240" w:top="274" w:right="259" w:bottom="1440" w:gutter="0" w:footer="0" w:header="0"/>
        </w:sectPr>
      </w:pPr>
    </w:p>
    <w:bookmarkStart w:id="5" w:name="page6"/>
    <w:bookmarkEnd w:id="5"/>
    <w:p>
      <w:pPr>
        <w:ind w:left="900" w:right="5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Free cash flow of approximately $20 million, which is based on operating cash flow of approximately $30 million less capital expenditures of approximately $10 million (unchanged)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In addition to the financial measures prepared in accordance with generally accepted accounting principles (GAAP), the above discussion also refers to non-GAAP free cash flow of $(0.1) million and $(2.9) million for the three months ended May 1, 2010 and May 2, 2009, respectively and estimated non-GAAP free cash flow of $20.0 million for fiscal 2010. The presentation of non-GAAP free cash flow is not a measure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release may not be comparable to similar measures used by other companies. The Company calculates free cash flows as cash flow from operating activities less capital expenditures and less discretionary store asset acquisitions.</w:t>
      </w:r>
    </w:p>
    <w:p>
      <w:pPr>
        <w:spacing w:after="0" w:line="1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86"/>
              </w:rPr>
              <w:t>For the three months ended</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8"/>
              </w:rPr>
              <w:t>Projected Cash</w:t>
            </w:r>
          </w:p>
        </w:tc>
        <w:tc>
          <w:tcPr>
            <w:tcW w:w="0" w:type="dxa"/>
            <w:vAlign w:val="bottom"/>
          </w:tcPr>
          <w:p>
            <w:pPr>
              <w:spacing w:after="0"/>
              <w:rPr>
                <w:sz w:val="1"/>
                <w:szCs w:val="1"/>
                <w:color w:val="auto"/>
              </w:rPr>
            </w:pPr>
          </w:p>
        </w:tc>
      </w:tr>
      <w:tr>
        <w:trPr>
          <w:trHeight w:val="80"/>
        </w:trPr>
        <w:tc>
          <w:tcPr>
            <w:tcW w:w="4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gridSpan w:val="3"/>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restart"/>
          </w:tcPr>
          <w:p>
            <w:pPr>
              <w:jc w:val="right"/>
              <w:ind w:right="420"/>
              <w:spacing w:after="0" w:line="149" w:lineRule="exact"/>
              <w:rPr>
                <w:sz w:val="20"/>
                <w:szCs w:val="20"/>
                <w:color w:val="auto"/>
              </w:rPr>
            </w:pPr>
            <w:r>
              <w:rPr>
                <w:rFonts w:ascii="Arial" w:cs="Arial" w:eastAsia="Arial" w:hAnsi="Arial"/>
                <w:sz w:val="14"/>
                <w:szCs w:val="14"/>
                <w:b w:val="1"/>
                <w:bCs w:val="1"/>
                <w:color w:val="auto"/>
              </w:rPr>
              <w:t>Flow</w:t>
            </w:r>
          </w:p>
        </w:tc>
        <w:tc>
          <w:tcPr>
            <w:tcW w:w="0" w:type="dxa"/>
            <w:vAlign w:val="bottom"/>
          </w:tcPr>
          <w:p>
            <w:pPr>
              <w:spacing w:after="0"/>
              <w:rPr>
                <w:sz w:val="1"/>
                <w:szCs w:val="1"/>
                <w:color w:val="auto"/>
              </w:rPr>
            </w:pPr>
          </w:p>
        </w:tc>
      </w:tr>
      <w:tr>
        <w:trPr>
          <w:trHeight w:val="48"/>
        </w:trPr>
        <w:tc>
          <w:tcPr>
            <w:tcW w:w="4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260" w:type="dxa"/>
            <w:vAlign w:val="bottom"/>
          </w:tcPr>
          <w:p>
            <w:pPr>
              <w:ind w:left="200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May 1, 2010</w:t>
            </w:r>
          </w:p>
        </w:tc>
        <w:tc>
          <w:tcPr>
            <w:tcW w:w="820" w:type="dxa"/>
            <w:vAlign w:val="bottom"/>
          </w:tcPr>
          <w:p>
            <w:pPr>
              <w:spacing w:after="0"/>
              <w:rPr>
                <w:sz w:val="14"/>
                <w:szCs w:val="1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May 2, 2009</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8"/>
              </w:rPr>
              <w:t>Fiscal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 from operating activities</w:t>
            </w:r>
          </w:p>
        </w:tc>
        <w:tc>
          <w:tcPr>
            <w:tcW w:w="1400" w:type="dxa"/>
            <w:vAlign w:val="bottom"/>
            <w:gridSpan w:val="2"/>
            <w:shd w:val="clear" w:color="auto" w:fill="CCEEFF"/>
          </w:tcPr>
          <w:p>
            <w:pPr>
              <w:ind w:left="1180"/>
              <w:spacing w:after="0"/>
              <w:rPr>
                <w:sz w:val="20"/>
                <w:szCs w:val="20"/>
                <w:color w:val="auto"/>
              </w:rPr>
            </w:pPr>
            <w:r>
              <w:rPr>
                <w:rFonts w:ascii="Arial" w:cs="Arial" w:eastAsia="Arial" w:hAnsi="Arial"/>
                <w:sz w:val="18"/>
                <w:szCs w:val="18"/>
                <w:i w:val="1"/>
                <w:i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0.6</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w w:val="97"/>
              </w:rPr>
              <w:t>(2.2)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i w:val="1"/>
                <w:iCs w:val="1"/>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30.0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i w:val="1"/>
                <w:iCs w:val="1"/>
                <w:color w:val="auto"/>
              </w:rPr>
              <w:t>Less: Capital expenditures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8"/>
                <w:szCs w:val="18"/>
                <w:i w:val="1"/>
                <w:iCs w:val="1"/>
                <w:color w:val="auto"/>
              </w:rPr>
              <w:t>(0.7)</w:t>
            </w:r>
          </w:p>
        </w:tc>
        <w:tc>
          <w:tcPr>
            <w:tcW w:w="42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w w:val="97"/>
              </w:rPr>
              <w:t>(0.7)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Less: Discretionary store asset acquisitions</w:t>
            </w:r>
          </w:p>
        </w:tc>
        <w:tc>
          <w:tcPr>
            <w:tcW w:w="1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w:t>
            </w:r>
          </w:p>
        </w:tc>
        <w:tc>
          <w:tcPr>
            <w:tcW w:w="8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20"/>
                <w:szCs w:val="20"/>
                <w:color w:val="auto"/>
              </w:rPr>
            </w:pPr>
            <w:r>
              <w:rPr>
                <w:rFonts w:ascii="Arial" w:cs="Arial" w:eastAsia="Arial" w:hAnsi="Arial"/>
                <w:sz w:val="18"/>
                <w:szCs w:val="18"/>
                <w:i w:val="1"/>
                <w:iCs w:val="1"/>
                <w:color w:val="auto"/>
              </w:rPr>
              <w:t>Estimated Free Cash Flow</w:t>
            </w:r>
          </w:p>
        </w:tc>
        <w:tc>
          <w:tcPr>
            <w:tcW w:w="1400" w:type="dxa"/>
            <w:vAlign w:val="bottom"/>
            <w:gridSpan w:val="2"/>
          </w:tcPr>
          <w:p>
            <w:pPr>
              <w:ind w:left="1180"/>
              <w:spacing w:after="0"/>
              <w:rPr>
                <w:sz w:val="20"/>
                <w:szCs w:val="20"/>
                <w:color w:val="auto"/>
              </w:rPr>
            </w:pPr>
            <w:r>
              <w:rPr>
                <w:rFonts w:ascii="Arial" w:cs="Arial" w:eastAsia="Arial" w:hAnsi="Arial"/>
                <w:sz w:val="18"/>
                <w:szCs w:val="18"/>
                <w:i w:val="1"/>
                <w:iCs w:val="1"/>
                <w:color w:val="auto"/>
              </w:rPr>
              <w:t>$</w:t>
            </w:r>
          </w:p>
        </w:tc>
        <w:tc>
          <w:tcPr>
            <w:tcW w:w="1320" w:type="dxa"/>
            <w:vAlign w:val="bottom"/>
            <w:gridSpan w:val="2"/>
          </w:tcPr>
          <w:p>
            <w:pPr>
              <w:jc w:val="right"/>
              <w:ind w:right="780"/>
              <w:spacing w:after="0"/>
              <w:rPr>
                <w:sz w:val="20"/>
                <w:szCs w:val="20"/>
                <w:color w:val="auto"/>
              </w:rPr>
            </w:pPr>
            <w:r>
              <w:rPr>
                <w:rFonts w:ascii="Arial" w:cs="Arial" w:eastAsia="Arial" w:hAnsi="Arial"/>
                <w:sz w:val="18"/>
                <w:szCs w:val="18"/>
                <w:i w:val="1"/>
                <w:iCs w:val="1"/>
                <w:color w:val="auto"/>
              </w:rPr>
              <w:t>(0.1)</w:t>
            </w:r>
          </w:p>
        </w:tc>
        <w:tc>
          <w:tcPr>
            <w:tcW w:w="420" w:type="dxa"/>
            <w:vAlign w:val="bottom"/>
          </w:tcPr>
          <w:p>
            <w:pPr>
              <w:spacing w:after="0"/>
              <w:rPr>
                <w:sz w:val="20"/>
                <w:szCs w:val="20"/>
                <w:color w:val="auto"/>
              </w:rPr>
            </w:pPr>
            <w:r>
              <w:rPr>
                <w:rFonts w:ascii="Arial" w:cs="Arial" w:eastAsia="Arial" w:hAnsi="Arial"/>
                <w:sz w:val="18"/>
                <w:szCs w:val="18"/>
                <w:i w:val="1"/>
                <w:iCs w:val="1"/>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w w:val="97"/>
              </w:rPr>
              <w:t>(2.9)</w:t>
            </w:r>
          </w:p>
        </w:tc>
        <w:tc>
          <w:tcPr>
            <w:tcW w:w="500" w:type="dxa"/>
            <w:vAlign w:val="bottom"/>
            <w:gridSpan w:val="2"/>
          </w:tcPr>
          <w:p>
            <w:pPr>
              <w:ind w:left="400"/>
              <w:spacing w:after="0"/>
              <w:rPr>
                <w:sz w:val="20"/>
                <w:szCs w:val="20"/>
                <w:color w:val="auto"/>
              </w:rPr>
            </w:pPr>
            <w:r>
              <w:rPr>
                <w:rFonts w:ascii="Arial" w:cs="Arial" w:eastAsia="Arial" w:hAnsi="Arial"/>
                <w:sz w:val="18"/>
                <w:szCs w:val="18"/>
                <w:i w:val="1"/>
                <w:iCs w:val="1"/>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20.0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Investors are invited to listen to a broadcast of the Company’s conference call to discuss its earnings results for the first quarter of fiscal 2010. The conference call will broadcast live today, Thursday, May 20, 2010 at 9:00 a.m. Eastern Daylight Time and can be accessed at </w:t>
      </w:r>
      <w:r>
        <w:rPr>
          <w:rFonts w:ascii="Arial" w:cs="Arial" w:eastAsia="Arial" w:hAnsi="Arial"/>
          <w:sz w:val="16"/>
          <w:szCs w:val="16"/>
          <w:u w:val="single" w:color="auto"/>
          <w:color w:val="auto"/>
        </w:rPr>
        <w:t>www.casualmalexl.com</w:t>
      </w:r>
      <w:r>
        <w:rPr>
          <w:rFonts w:ascii="Arial" w:cs="Arial" w:eastAsia="Arial" w:hAnsi="Arial"/>
          <w:sz w:val="16"/>
          <w:szCs w:val="16"/>
          <w:color w:val="auto"/>
        </w:rPr>
        <w:t xml:space="preserve"> and then clicking on the investor relations icon.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13"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Casual Male Retail Group, Inc., the largest retailer of big and tall men’s apparel with operations throughout the United States, Canada and Europe, operates 457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Casual Male XL retail and outlet stores, 19 Rochester Clothing stores, and direct to consumer businesses which include several catalogs and e-commerce sites.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headquartered in Canton, Massachusetts, and its common stock is listed on the NASDAQ Global Market under the symbol “CMRG.”</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Certain information contained in this press release, including the Company’s expectations regarding fiscal 2010, constitutes forward-looking statements under the federal securities laws. The discussion of forward-looking</w:t>
      </w:r>
    </w:p>
    <w:p>
      <w:pPr>
        <w:sectPr>
          <w:pgSz w:w="11900" w:h="16838" w:orient="portrait"/>
          <w:cols w:equalWidth="0" w:num="1">
            <w:col w:w="11420"/>
          </w:cols>
          <w:pgMar w:left="240" w:top="280" w:right="239" w:bottom="1440" w:gutter="0" w:footer="0" w:header="0"/>
        </w:sectPr>
      </w:pPr>
    </w:p>
    <w:bookmarkStart w:id="6" w:name="page7"/>
    <w:bookmarkEnd w:id="6"/>
    <w:p>
      <w:pPr>
        <w:ind w:right="80"/>
        <w:spacing w:after="0" w:line="29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19, 2010, that set forth certain risks and uncertainties that may have an impact on future results and direction of the Company.</w:t>
      </w:r>
    </w:p>
    <w:p>
      <w:pPr>
        <w:spacing w:after="0" w:line="116"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jeffunger@usa.net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John Rouleau</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203-682-8342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John.Rouleau@icrinc.com</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400"/>
          </w:cols>
          <w:pgMar w:left="240" w:top="28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8"/>
              </w:rPr>
              <w:t>For the 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May 1, 2010</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May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74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2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41,558</w:t>
            </w:r>
          </w:p>
        </w:tc>
        <w:tc>
          <w:tcPr>
            <w:tcW w:w="0" w:type="dxa"/>
            <w:vAlign w:val="bottom"/>
          </w:tcPr>
          <w:p>
            <w:pPr>
              <w:spacing w:after="0"/>
              <w:rPr>
                <w:sz w:val="1"/>
                <w:szCs w:val="1"/>
                <w:color w:val="auto"/>
              </w:rPr>
            </w:pPr>
          </w:p>
        </w:tc>
      </w:tr>
      <w:tr>
        <w:trPr>
          <w:trHeight w:val="323"/>
        </w:trPr>
        <w:tc>
          <w:tcPr>
            <w:tcW w:w="67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7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 basic and diluted</w:t>
            </w:r>
          </w:p>
        </w:tc>
        <w:tc>
          <w:tcPr>
            <w:tcW w:w="2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20" w:type="dxa"/>
            <w:vAlign w:val="bottom"/>
            <w:gridSpan w:val="2"/>
            <w:vMerge w:val="continue"/>
          </w:tcPr>
          <w:p>
            <w:pPr>
              <w:spacing w:after="0"/>
              <w:rPr>
                <w:sz w:val="18"/>
                <w:szCs w:val="18"/>
                <w:color w:val="auto"/>
              </w:rPr>
            </w:pPr>
          </w:p>
        </w:tc>
        <w:tc>
          <w:tcPr>
            <w:tcW w:w="2740" w:type="dxa"/>
            <w:vAlign w:val="bottom"/>
            <w:gridSpan w:val="2"/>
          </w:tcPr>
          <w:p>
            <w:pPr>
              <w:ind w:left="2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30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Basic</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46,659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41,450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 2010 and January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May 1,</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January 30,</w:t>
            </w:r>
          </w:p>
        </w:tc>
      </w:tr>
      <w:tr>
        <w:trPr>
          <w:trHeight w:val="161"/>
        </w:trPr>
        <w:tc>
          <w:tcPr>
            <w:tcW w:w="9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r>
      <w:tr>
        <w:trPr>
          <w:trHeight w:val="21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322"/>
        </w:trPr>
        <w:tc>
          <w:tcPr>
            <w:tcW w:w="9800" w:type="dxa"/>
            <w:vAlign w:val="bottom"/>
          </w:tcPr>
          <w:p>
            <w:pPr>
              <w:spacing w:after="0"/>
              <w:rPr>
                <w:sz w:val="20"/>
                <w:szCs w:val="20"/>
                <w:color w:val="auto"/>
              </w:rPr>
            </w:pPr>
            <w:r>
              <w:rPr>
                <w:rFonts w:ascii="Arial" w:cs="Arial" w:eastAsia="Arial" w:hAnsi="Arial"/>
                <w:sz w:val="18"/>
                <w:szCs w:val="18"/>
                <w:color w:val="auto"/>
              </w:rPr>
              <w:t>Cash and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5,554</w:t>
            </w:r>
          </w:p>
        </w:tc>
        <w:tc>
          <w:tcPr>
            <w:tcW w:w="2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4,302</w:t>
            </w:r>
          </w:p>
        </w:tc>
      </w:tr>
      <w:tr>
        <w:trPr>
          <w:trHeight w:val="218"/>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89,977</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10,874</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41,888</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32,809</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22"/>
        </w:trPr>
        <w:tc>
          <w:tcPr>
            <w:tcW w:w="98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189,830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181,039</w:t>
            </w:r>
          </w:p>
        </w:tc>
      </w:tr>
      <w:tr>
        <w:trPr>
          <w:trHeight w:val="20"/>
        </w:trPr>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1"/>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322"/>
        </w:trPr>
        <w:tc>
          <w:tcPr>
            <w:tcW w:w="980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55,441</w:t>
            </w:r>
          </w:p>
        </w:tc>
        <w:tc>
          <w:tcPr>
            <w:tcW w:w="2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52,550</w:t>
            </w:r>
          </w:p>
        </w:tc>
      </w:tr>
      <w:tr>
        <w:trPr>
          <w:trHeight w:val="218"/>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23,446</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7,576</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98,353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93,223</w:t>
            </w:r>
          </w:p>
        </w:tc>
      </w:tr>
      <w:tr>
        <w:trPr>
          <w:trHeight w:val="222"/>
        </w:trPr>
        <w:tc>
          <w:tcPr>
            <w:tcW w:w="980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189,830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181,039</w:t>
            </w:r>
          </w:p>
        </w:tc>
      </w:tr>
      <w:tr>
        <w:trPr>
          <w:trHeight w:val="20"/>
        </w:trPr>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2019-12-10T07:56:00Z</dcterms:created>
  <dcterms:modified xsi:type="dcterms:W3CDTF">2019-12-10T07:56:00Z</dcterms:modified>
</cp:coreProperties>
</file>