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
        <w:spacing w:after="0"/>
        <w:rPr>
          <w:sz w:val="20"/>
          <w:szCs w:val="20"/>
          <w:color w:val="auto"/>
        </w:rPr>
      </w:pPr>
      <w:r>
        <w:rPr>
          <w:rFonts w:ascii="Courier New" w:cs="Courier New" w:eastAsia="Courier New" w:hAnsi="Courier New"/>
          <w:sz w:val="16"/>
          <w:szCs w:val="16"/>
          <w:color w:val="auto"/>
        </w:rPr>
        <w:t>As filed with the Securities and Exchange Commission on August 23, 2002.</w:t>
      </w:r>
    </w:p>
    <w:p>
      <w:pPr>
        <w:spacing w:after="0" w:line="188" w:lineRule="exact"/>
        <w:rPr>
          <w:sz w:val="24"/>
          <w:szCs w:val="24"/>
          <w:color w:val="auto"/>
        </w:rPr>
      </w:pPr>
    </w:p>
    <w:p>
      <w:pPr>
        <w:ind w:left="5142"/>
        <w:spacing w:after="0"/>
        <w:rPr>
          <w:sz w:val="20"/>
          <w:szCs w:val="20"/>
          <w:color w:val="auto"/>
        </w:rPr>
      </w:pPr>
      <w:r>
        <w:rPr>
          <w:rFonts w:ascii="Courier New" w:cs="Courier New" w:eastAsia="Courier New" w:hAnsi="Courier New"/>
          <w:sz w:val="15"/>
          <w:szCs w:val="15"/>
          <w:color w:val="auto"/>
        </w:rPr>
        <w:t>Registration No. 333-90742</w:t>
      </w:r>
    </w:p>
    <w:p>
      <w:pPr>
        <w:spacing w:after="0" w:line="194" w:lineRule="exact"/>
        <w:rPr>
          <w:sz w:val="24"/>
          <w:szCs w:val="24"/>
          <w:color w:val="auto"/>
        </w:rPr>
      </w:pPr>
    </w:p>
    <w:p>
      <w:pPr>
        <w:jc w:val="center"/>
        <w:ind w:right="36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638"/>
        <w:spacing w:after="0"/>
        <w:rPr>
          <w:sz w:val="20"/>
          <w:szCs w:val="20"/>
          <w:color w:val="auto"/>
        </w:rPr>
      </w:pPr>
      <w:r>
        <w:rPr>
          <w:rFonts w:ascii="Courier New" w:cs="Courier New" w:eastAsia="Courier New" w:hAnsi="Courier New"/>
          <w:sz w:val="16"/>
          <w:szCs w:val="16"/>
          <w:color w:val="auto"/>
        </w:rPr>
        <w:t>Washington, D.C. 20549</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AMENDMENT NO. 1</w:t>
      </w:r>
    </w:p>
    <w:p>
      <w:pPr>
        <w:spacing w:after="0" w:line="2"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S-3</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CASUAL MALE RETAIL GROUP, INC.</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(formerly known as Designs, Inc.)</w:t>
      </w:r>
    </w:p>
    <w:p>
      <w:pPr>
        <w:spacing w:after="0" w:line="2"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6"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2960" w:type="dxa"/>
            <w:vAlign w:val="bottom"/>
          </w:tcPr>
          <w:p>
            <w:pPr>
              <w:ind w:left="1240"/>
              <w:spacing w:after="0"/>
              <w:rPr>
                <w:sz w:val="20"/>
                <w:szCs w:val="20"/>
                <w:color w:val="auto"/>
              </w:rPr>
            </w:pPr>
            <w:r>
              <w:rPr>
                <w:rFonts w:ascii="Courier New" w:cs="Courier New" w:eastAsia="Courier New" w:hAnsi="Courier New"/>
                <w:sz w:val="16"/>
                <w:szCs w:val="16"/>
                <w:color w:val="auto"/>
              </w:rPr>
              <w:t>Delaware</w:t>
            </w:r>
          </w:p>
        </w:tc>
        <w:tc>
          <w:tcPr>
            <w:tcW w:w="466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04-2623104</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(State or other jurisdiction of</w:t>
            </w:r>
          </w:p>
        </w:tc>
        <w:tc>
          <w:tcPr>
            <w:tcW w:w="4660" w:type="dxa"/>
            <w:vAlign w:val="bottom"/>
          </w:tcPr>
          <w:p>
            <w:pPr>
              <w:jc w:val="right"/>
              <w:spacing w:after="0"/>
              <w:rPr>
                <w:sz w:val="20"/>
                <w:szCs w:val="20"/>
                <w:color w:val="auto"/>
              </w:rPr>
            </w:pPr>
            <w:r>
              <w:rPr>
                <w:rFonts w:ascii="Courier New" w:cs="Courier New" w:eastAsia="Courier New" w:hAnsi="Courier New"/>
                <w:sz w:val="16"/>
                <w:szCs w:val="16"/>
                <w:color w:val="auto"/>
              </w:rPr>
              <w:t>(I.R.S. Employer Identification Number)</w:t>
            </w:r>
          </w:p>
        </w:tc>
      </w:tr>
      <w:tr>
        <w:trPr>
          <w:trHeight w:val="183"/>
        </w:trPr>
        <w:tc>
          <w:tcPr>
            <w:tcW w:w="7620" w:type="dxa"/>
            <w:vAlign w:val="bottom"/>
            <w:gridSpan w:val="2"/>
          </w:tcPr>
          <w:p>
            <w:pPr>
              <w:jc w:val="right"/>
              <w:ind w:right="4501"/>
              <w:spacing w:after="0"/>
              <w:rPr>
                <w:sz w:val="20"/>
                <w:szCs w:val="20"/>
                <w:color w:val="auto"/>
              </w:rPr>
            </w:pPr>
            <w:r>
              <w:rPr>
                <w:rFonts w:ascii="Courier New" w:cs="Courier New" w:eastAsia="Courier New" w:hAnsi="Courier New"/>
                <w:sz w:val="16"/>
                <w:szCs w:val="16"/>
                <w:color w:val="auto"/>
              </w:rPr>
              <w:t>incorporation or  organization)</w:t>
            </w:r>
          </w:p>
        </w:tc>
      </w:tr>
      <w:tr>
        <w:trPr>
          <w:trHeight w:val="367"/>
        </w:trPr>
        <w:tc>
          <w:tcPr>
            <w:tcW w:w="2960" w:type="dxa"/>
            <w:vAlign w:val="bottom"/>
          </w:tcPr>
          <w:p>
            <w:pPr>
              <w:spacing w:after="0"/>
              <w:rPr>
                <w:sz w:val="24"/>
                <w:szCs w:val="24"/>
                <w:color w:val="auto"/>
              </w:rPr>
            </w:pPr>
          </w:p>
        </w:tc>
        <w:tc>
          <w:tcPr>
            <w:tcW w:w="4660" w:type="dxa"/>
            <w:vAlign w:val="bottom"/>
          </w:tcPr>
          <w:p>
            <w:pPr>
              <w:jc w:val="center"/>
              <w:ind w:right="2781"/>
              <w:spacing w:after="0"/>
              <w:rPr>
                <w:sz w:val="20"/>
                <w:szCs w:val="20"/>
                <w:color w:val="auto"/>
              </w:rPr>
            </w:pPr>
            <w:r>
              <w:rPr>
                <w:rFonts w:ascii="Courier New" w:cs="Courier New" w:eastAsia="Courier New" w:hAnsi="Courier New"/>
                <w:sz w:val="16"/>
                <w:szCs w:val="16"/>
                <w:color w:val="auto"/>
                <w:w w:val="98"/>
              </w:rPr>
              <w:t>555 Turnpike Street</w:t>
            </w:r>
          </w:p>
        </w:tc>
      </w:tr>
      <w:tr>
        <w:trPr>
          <w:trHeight w:val="183"/>
        </w:trPr>
        <w:tc>
          <w:tcPr>
            <w:tcW w:w="76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8"/>
              </w:rPr>
              <w:t>Canton, Massachusetts 02021</w:t>
            </w:r>
          </w:p>
        </w:tc>
      </w:tr>
      <w:tr>
        <w:trPr>
          <w:trHeight w:val="183"/>
        </w:trPr>
        <w:tc>
          <w:tcPr>
            <w:tcW w:w="2960" w:type="dxa"/>
            <w:vAlign w:val="bottom"/>
          </w:tcPr>
          <w:p>
            <w:pPr>
              <w:spacing w:after="0"/>
              <w:rPr>
                <w:sz w:val="15"/>
                <w:szCs w:val="15"/>
                <w:color w:val="auto"/>
              </w:rPr>
            </w:pPr>
          </w:p>
        </w:tc>
        <w:tc>
          <w:tcPr>
            <w:tcW w:w="4660" w:type="dxa"/>
            <w:vAlign w:val="bottom"/>
          </w:tcPr>
          <w:p>
            <w:pPr>
              <w:jc w:val="center"/>
              <w:ind w:right="2881"/>
              <w:spacing w:after="0"/>
              <w:rPr>
                <w:sz w:val="20"/>
                <w:szCs w:val="20"/>
                <w:color w:val="auto"/>
              </w:rPr>
            </w:pPr>
            <w:r>
              <w:rPr>
                <w:rFonts w:ascii="Courier New" w:cs="Courier New" w:eastAsia="Courier New" w:hAnsi="Courier New"/>
                <w:sz w:val="16"/>
                <w:szCs w:val="16"/>
                <w:color w:val="auto"/>
                <w:w w:val="99"/>
              </w:rPr>
              <w:t>(781) 828-9300</w:t>
            </w:r>
          </w:p>
        </w:tc>
      </w:tr>
      <w:tr>
        <w:trPr>
          <w:trHeight w:val="183"/>
        </w:trPr>
        <w:tc>
          <w:tcPr>
            <w:tcW w:w="76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(Address, including zip code, and telephone</w:t>
            </w:r>
          </w:p>
        </w:tc>
      </w:tr>
      <w:tr>
        <w:trPr>
          <w:trHeight w:val="183"/>
        </w:trPr>
        <w:tc>
          <w:tcPr>
            <w:tcW w:w="7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number, including area code, of Registrant's principal</w:t>
            </w:r>
          </w:p>
        </w:tc>
      </w:tr>
      <w:tr>
        <w:trPr>
          <w:trHeight w:val="183"/>
        </w:trPr>
        <w:tc>
          <w:tcPr>
            <w:tcW w:w="2960" w:type="dxa"/>
            <w:vAlign w:val="bottom"/>
          </w:tcPr>
          <w:p>
            <w:pPr>
              <w:spacing w:after="0"/>
              <w:rPr>
                <w:sz w:val="15"/>
                <w:szCs w:val="15"/>
                <w:color w:val="auto"/>
              </w:rPr>
            </w:pPr>
          </w:p>
        </w:tc>
        <w:tc>
          <w:tcPr>
            <w:tcW w:w="4660" w:type="dxa"/>
            <w:vAlign w:val="bottom"/>
          </w:tcPr>
          <w:p>
            <w:pPr>
              <w:jc w:val="center"/>
              <w:ind w:right="2861"/>
              <w:spacing w:after="0"/>
              <w:rPr>
                <w:sz w:val="20"/>
                <w:szCs w:val="20"/>
                <w:color w:val="auto"/>
              </w:rPr>
            </w:pPr>
            <w:r>
              <w:rPr>
                <w:rFonts w:ascii="Courier New" w:cs="Courier New" w:eastAsia="Courier New" w:hAnsi="Courier New"/>
                <w:sz w:val="16"/>
                <w:szCs w:val="16"/>
                <w:color w:val="auto"/>
                <w:w w:val="99"/>
              </w:rPr>
              <w:t>executive offices)</w:t>
            </w:r>
          </w:p>
        </w:tc>
      </w:tr>
      <w:tr>
        <w:trPr>
          <w:trHeight w:val="183"/>
        </w:trPr>
        <w:tc>
          <w:tcPr>
            <w:tcW w:w="2960" w:type="dxa"/>
            <w:vAlign w:val="bottom"/>
          </w:tcPr>
          <w:p>
            <w:pPr>
              <w:spacing w:after="0"/>
              <w:rPr>
                <w:sz w:val="15"/>
                <w:szCs w:val="15"/>
                <w:color w:val="auto"/>
              </w:rPr>
            </w:pPr>
          </w:p>
        </w:tc>
        <w:tc>
          <w:tcPr>
            <w:tcW w:w="4660" w:type="dxa"/>
            <w:vAlign w:val="bottom"/>
          </w:tcPr>
          <w:p>
            <w:pPr>
              <w:jc w:val="center"/>
              <w:ind w:right="2881"/>
              <w:spacing w:after="0"/>
              <w:rPr>
                <w:sz w:val="20"/>
                <w:szCs w:val="20"/>
                <w:color w:val="auto"/>
              </w:rPr>
            </w:pPr>
            <w:r>
              <w:rPr>
                <w:rFonts w:ascii="Courier New" w:cs="Courier New" w:eastAsia="Courier New" w:hAnsi="Courier New"/>
                <w:sz w:val="16"/>
                <w:szCs w:val="16"/>
                <w:color w:val="auto"/>
              </w:rPr>
              <w:t>----------------</w:t>
            </w:r>
          </w:p>
        </w:tc>
      </w:tr>
      <w:tr>
        <w:trPr>
          <w:trHeight w:val="367"/>
        </w:trPr>
        <w:tc>
          <w:tcPr>
            <w:tcW w:w="2960" w:type="dxa"/>
            <w:vAlign w:val="bottom"/>
          </w:tcPr>
          <w:p>
            <w:pPr>
              <w:spacing w:after="0"/>
              <w:rPr>
                <w:sz w:val="24"/>
                <w:szCs w:val="24"/>
                <w:color w:val="auto"/>
              </w:rPr>
            </w:pPr>
          </w:p>
        </w:tc>
        <w:tc>
          <w:tcPr>
            <w:tcW w:w="4660" w:type="dxa"/>
            <w:vAlign w:val="bottom"/>
          </w:tcPr>
          <w:p>
            <w:pPr>
              <w:jc w:val="center"/>
              <w:ind w:right="2781"/>
              <w:spacing w:after="0"/>
              <w:rPr>
                <w:sz w:val="20"/>
                <w:szCs w:val="20"/>
                <w:color w:val="auto"/>
              </w:rPr>
            </w:pPr>
            <w:r>
              <w:rPr>
                <w:rFonts w:ascii="Courier New" w:cs="Courier New" w:eastAsia="Courier New" w:hAnsi="Courier New"/>
                <w:sz w:val="16"/>
                <w:szCs w:val="16"/>
                <w:color w:val="auto"/>
                <w:w w:val="98"/>
              </w:rPr>
              <w:t>Dennis R. Hernreich</w:t>
            </w:r>
          </w:p>
        </w:tc>
      </w:tr>
      <w:tr>
        <w:trPr>
          <w:trHeight w:val="183"/>
        </w:trPr>
        <w:tc>
          <w:tcPr>
            <w:tcW w:w="76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Chief Financial Officer</w:t>
            </w:r>
          </w:p>
        </w:tc>
      </w:tr>
      <w:tr>
        <w:trPr>
          <w:trHeight w:val="183"/>
        </w:trPr>
        <w:tc>
          <w:tcPr>
            <w:tcW w:w="2960" w:type="dxa"/>
            <w:vAlign w:val="bottom"/>
          </w:tcPr>
          <w:p>
            <w:pPr>
              <w:spacing w:after="0"/>
              <w:rPr>
                <w:sz w:val="15"/>
                <w:szCs w:val="15"/>
                <w:color w:val="auto"/>
              </w:rPr>
            </w:pPr>
          </w:p>
        </w:tc>
        <w:tc>
          <w:tcPr>
            <w:tcW w:w="4660" w:type="dxa"/>
            <w:vAlign w:val="bottom"/>
          </w:tcPr>
          <w:p>
            <w:pPr>
              <w:jc w:val="center"/>
              <w:ind w:right="2781"/>
              <w:spacing w:after="0"/>
              <w:rPr>
                <w:sz w:val="20"/>
                <w:szCs w:val="20"/>
                <w:color w:val="auto"/>
              </w:rPr>
            </w:pPr>
            <w:r>
              <w:rPr>
                <w:rFonts w:ascii="Courier New" w:cs="Courier New" w:eastAsia="Courier New" w:hAnsi="Courier New"/>
                <w:sz w:val="16"/>
                <w:szCs w:val="16"/>
                <w:color w:val="auto"/>
                <w:w w:val="98"/>
              </w:rPr>
              <w:t>555 Turnpike Street</w:t>
            </w:r>
          </w:p>
        </w:tc>
      </w:tr>
      <w:tr>
        <w:trPr>
          <w:trHeight w:val="183"/>
        </w:trPr>
        <w:tc>
          <w:tcPr>
            <w:tcW w:w="76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8"/>
              </w:rPr>
              <w:t>Canton, Massachusetts 02021</w:t>
            </w:r>
          </w:p>
        </w:tc>
      </w:tr>
      <w:tr>
        <w:trPr>
          <w:trHeight w:val="183"/>
        </w:trPr>
        <w:tc>
          <w:tcPr>
            <w:tcW w:w="2960" w:type="dxa"/>
            <w:vAlign w:val="bottom"/>
          </w:tcPr>
          <w:p>
            <w:pPr>
              <w:spacing w:after="0"/>
              <w:rPr>
                <w:sz w:val="15"/>
                <w:szCs w:val="15"/>
                <w:color w:val="auto"/>
              </w:rPr>
            </w:pPr>
          </w:p>
        </w:tc>
        <w:tc>
          <w:tcPr>
            <w:tcW w:w="4660" w:type="dxa"/>
            <w:vAlign w:val="bottom"/>
          </w:tcPr>
          <w:p>
            <w:pPr>
              <w:jc w:val="center"/>
              <w:ind w:right="2881"/>
              <w:spacing w:after="0"/>
              <w:rPr>
                <w:sz w:val="20"/>
                <w:szCs w:val="20"/>
                <w:color w:val="auto"/>
              </w:rPr>
            </w:pPr>
            <w:r>
              <w:rPr>
                <w:rFonts w:ascii="Courier New" w:cs="Courier New" w:eastAsia="Courier New" w:hAnsi="Courier New"/>
                <w:sz w:val="16"/>
                <w:szCs w:val="16"/>
                <w:color w:val="auto"/>
                <w:w w:val="99"/>
              </w:rPr>
              <w:t>(781) 828-9300</w:t>
            </w:r>
          </w:p>
        </w:tc>
      </w:tr>
      <w:tr>
        <w:trPr>
          <w:trHeight w:val="183"/>
        </w:trPr>
        <w:tc>
          <w:tcPr>
            <w:tcW w:w="762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(Name, address, including zip code, and telephone number,</w:t>
            </w:r>
          </w:p>
        </w:tc>
      </w:tr>
      <w:tr>
        <w:trPr>
          <w:trHeight w:val="183"/>
        </w:trPr>
        <w:tc>
          <w:tcPr>
            <w:tcW w:w="7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including area code, of agent for service)</w:t>
            </w:r>
          </w:p>
        </w:tc>
      </w:tr>
      <w:tr>
        <w:trPr>
          <w:trHeight w:val="183"/>
        </w:trPr>
        <w:tc>
          <w:tcPr>
            <w:tcW w:w="2960" w:type="dxa"/>
            <w:vAlign w:val="bottom"/>
          </w:tcPr>
          <w:p>
            <w:pPr>
              <w:spacing w:after="0"/>
              <w:rPr>
                <w:sz w:val="15"/>
                <w:szCs w:val="15"/>
                <w:color w:val="auto"/>
              </w:rPr>
            </w:pPr>
          </w:p>
        </w:tc>
        <w:tc>
          <w:tcPr>
            <w:tcW w:w="4660" w:type="dxa"/>
            <w:vAlign w:val="bottom"/>
          </w:tcPr>
          <w:p>
            <w:pPr>
              <w:jc w:val="center"/>
              <w:ind w:right="2781"/>
              <w:spacing w:after="0"/>
              <w:rPr>
                <w:sz w:val="20"/>
                <w:szCs w:val="20"/>
                <w:color w:val="auto"/>
              </w:rPr>
            </w:pPr>
            <w:r>
              <w:rPr>
                <w:rFonts w:ascii="Courier New" w:cs="Courier New" w:eastAsia="Courier New" w:hAnsi="Courier New"/>
                <w:sz w:val="16"/>
                <w:szCs w:val="16"/>
                <w:color w:val="auto"/>
              </w:rPr>
              <w:t>-----------------</w:t>
            </w:r>
          </w:p>
        </w:tc>
      </w:tr>
      <w:tr>
        <w:trPr>
          <w:trHeight w:val="367"/>
        </w:trPr>
        <w:tc>
          <w:tcPr>
            <w:tcW w:w="2960" w:type="dxa"/>
            <w:vAlign w:val="bottom"/>
          </w:tcPr>
          <w:p>
            <w:pPr>
              <w:spacing w:after="0"/>
              <w:rPr>
                <w:sz w:val="24"/>
                <w:szCs w:val="24"/>
                <w:color w:val="auto"/>
              </w:rPr>
            </w:pPr>
          </w:p>
        </w:tc>
        <w:tc>
          <w:tcPr>
            <w:tcW w:w="4660" w:type="dxa"/>
            <w:vAlign w:val="bottom"/>
          </w:tcPr>
          <w:p>
            <w:pPr>
              <w:jc w:val="center"/>
              <w:ind w:right="2861"/>
              <w:spacing w:after="0"/>
              <w:rPr>
                <w:sz w:val="20"/>
                <w:szCs w:val="20"/>
                <w:color w:val="auto"/>
              </w:rPr>
            </w:pPr>
            <w:r>
              <w:rPr>
                <w:rFonts w:ascii="Courier New" w:cs="Courier New" w:eastAsia="Courier New" w:hAnsi="Courier New"/>
                <w:sz w:val="16"/>
                <w:szCs w:val="16"/>
                <w:color w:val="auto"/>
                <w:w w:val="98"/>
              </w:rPr>
              <w:t>Copy to:</w:t>
            </w:r>
          </w:p>
        </w:tc>
      </w:tr>
    </w:tbl>
    <w:p>
      <w:pPr>
        <w:spacing w:after="0" w:line="186"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Peter G. Smith, Esq.</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Kramer Levin Naftalis &amp; Frankel LLP</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919 Third Avenue</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(212) 715-9100</w:t>
      </w:r>
    </w:p>
    <w:p>
      <w:pPr>
        <w:spacing w:after="0" w:line="188" w:lineRule="exact"/>
        <w:rPr>
          <w:sz w:val="24"/>
          <w:szCs w:val="24"/>
          <w:color w:val="auto"/>
        </w:rPr>
      </w:pPr>
    </w:p>
    <w:p>
      <w:pPr>
        <w:jc w:val="both"/>
        <w:ind w:left="2" w:right="3640" w:firstLine="858"/>
        <w:spacing w:after="0"/>
        <w:rPr>
          <w:sz w:val="20"/>
          <w:szCs w:val="20"/>
          <w:color w:val="auto"/>
        </w:rPr>
      </w:pPr>
      <w:r>
        <w:rPr>
          <w:rFonts w:ascii="Courier New" w:cs="Courier New" w:eastAsia="Courier New" w:hAnsi="Courier New"/>
          <w:sz w:val="16"/>
          <w:szCs w:val="16"/>
          <w:color w:val="auto"/>
        </w:rPr>
        <w:t>Approximate date of commencement of proposed sale to the public: At such time or times as may be determined by the selling stockholders after this Registration Statement becomes effective.</w:t>
      </w:r>
    </w:p>
    <w:p>
      <w:pPr>
        <w:sectPr>
          <w:pgSz w:w="11900" w:h="16838" w:orient="portrait"/>
          <w:cols w:equalWidth="0" w:num="1">
            <w:col w:w="11262"/>
          </w:cols>
          <w:pgMar w:left="238" w:top="237" w:right="399" w:bottom="0" w:gutter="0" w:footer="0" w:header="0"/>
        </w:sectPr>
      </w:pPr>
    </w:p>
    <w:p>
      <w:pPr>
        <w:spacing w:after="0" w:line="190" w:lineRule="exact"/>
        <w:rPr>
          <w:sz w:val="24"/>
          <w:szCs w:val="24"/>
          <w:color w:val="auto"/>
        </w:rPr>
      </w:pPr>
    </w:p>
    <w:p>
      <w:pPr>
        <w:ind w:left="2" w:firstLine="858"/>
        <w:spacing w:after="0"/>
        <w:rPr>
          <w:sz w:val="20"/>
          <w:szCs w:val="20"/>
          <w:color w:val="auto"/>
        </w:rPr>
      </w:pPr>
      <w:r>
        <w:rPr>
          <w:rFonts w:ascii="Courier New" w:cs="Courier New" w:eastAsia="Courier New" w:hAnsi="Courier New"/>
          <w:sz w:val="16"/>
          <w:szCs w:val="16"/>
          <w:color w:val="auto"/>
        </w:rPr>
        <w:t>If the only securities pursuant to dividend or interest box. |_|</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right"/>
        <w:ind w:right="3640"/>
        <w:spacing w:after="0" w:line="271" w:lineRule="auto"/>
        <w:rPr>
          <w:sz w:val="20"/>
          <w:szCs w:val="20"/>
          <w:color w:val="auto"/>
        </w:rPr>
      </w:pPr>
      <w:r>
        <w:rPr>
          <w:rFonts w:ascii="Courier New" w:cs="Courier New" w:eastAsia="Courier New" w:hAnsi="Courier New"/>
          <w:sz w:val="15"/>
          <w:szCs w:val="15"/>
          <w:color w:val="auto"/>
        </w:rPr>
        <w:t>being registered on this Form are being offered reinvestment plans, please check the following</w:t>
      </w:r>
    </w:p>
    <w:p>
      <w:pPr>
        <w:spacing w:after="0" w:line="350" w:lineRule="exact"/>
        <w:rPr>
          <w:sz w:val="24"/>
          <w:szCs w:val="24"/>
          <w:color w:val="auto"/>
        </w:rPr>
      </w:pPr>
    </w:p>
    <w:p>
      <w:pPr>
        <w:sectPr>
          <w:pgSz w:w="11900" w:h="16838" w:orient="portrait"/>
          <w:cols w:equalWidth="0" w:num="2">
            <w:col w:w="3042" w:space="100"/>
            <w:col w:w="8120"/>
          </w:cols>
          <w:pgMar w:left="238" w:top="237" w:right="399" w:bottom="0" w:gutter="0" w:footer="0" w:header="0"/>
          <w:type w:val="continuous"/>
        </w:sectPr>
      </w:pPr>
    </w:p>
    <w:p>
      <w:pPr>
        <w:jc w:val="both"/>
        <w:ind w:left="2" w:right="3640" w:firstLine="858"/>
        <w:spacing w:after="0" w:line="241"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as amended (the "Securities Act"), check the following box. |X|</w:t>
      </w:r>
    </w:p>
    <w:p>
      <w:pPr>
        <w:spacing w:after="0" w:line="189" w:lineRule="exact"/>
        <w:rPr>
          <w:sz w:val="24"/>
          <w:szCs w:val="24"/>
          <w:color w:val="auto"/>
        </w:rPr>
      </w:pPr>
    </w:p>
    <w:p>
      <w:pPr>
        <w:jc w:val="both"/>
        <w:ind w:left="2" w:right="3640" w:firstLine="858"/>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 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1660" w:type="dxa"/>
            <w:vAlign w:val="bottom"/>
          </w:tcPr>
          <w:p>
            <w:pPr>
              <w:ind w:left="860"/>
              <w:spacing w:after="0"/>
              <w:rPr>
                <w:sz w:val="20"/>
                <w:szCs w:val="20"/>
                <w:color w:val="auto"/>
              </w:rPr>
            </w:pPr>
            <w:r>
              <w:rPr>
                <w:rFonts w:ascii="Courier New" w:cs="Courier New" w:eastAsia="Courier New" w:hAnsi="Courier New"/>
                <w:sz w:val="16"/>
                <w:szCs w:val="16"/>
                <w:color w:val="auto"/>
              </w:rPr>
              <w:t>If this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Form</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is a</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w w:val="98"/>
              </w:rPr>
              <w:t>post-effective</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amendment</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w w:val="98"/>
              </w:rPr>
              <w:t>filed  pursuant  to Rule</w:t>
            </w:r>
          </w:p>
        </w:tc>
      </w:tr>
      <w:tr>
        <w:trPr>
          <w:trHeight w:val="183"/>
        </w:trPr>
        <w:tc>
          <w:tcPr>
            <w:tcW w:w="3660" w:type="dxa"/>
            <w:vAlign w:val="bottom"/>
            <w:gridSpan w:val="4"/>
          </w:tcPr>
          <w:p>
            <w:pPr>
              <w:spacing w:after="0"/>
              <w:rPr>
                <w:sz w:val="20"/>
                <w:szCs w:val="20"/>
                <w:color w:val="auto"/>
              </w:rPr>
            </w:pPr>
            <w:r>
              <w:rPr>
                <w:rFonts w:ascii="Courier New" w:cs="Courier New" w:eastAsia="Courier New" w:hAnsi="Courier New"/>
                <w:sz w:val="16"/>
                <w:szCs w:val="16"/>
                <w:color w:val="auto"/>
                <w:w w:val="99"/>
              </w:rPr>
              <w:t>462(c) under the Securities Act, check</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following box</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and list the Securities</w:t>
            </w: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Act  registration</w:t>
            </w:r>
          </w:p>
        </w:tc>
        <w:tc>
          <w:tcPr>
            <w:tcW w:w="110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7"/>
              </w:rPr>
              <w:t>statement</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number</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the  earlier</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effective  registration</w:t>
            </w:r>
          </w:p>
        </w:tc>
      </w:tr>
      <w:tr>
        <w:trPr>
          <w:trHeight w:val="183"/>
        </w:trPr>
        <w:tc>
          <w:tcPr>
            <w:tcW w:w="1660" w:type="dxa"/>
            <w:vAlign w:val="bottom"/>
          </w:tcPr>
          <w:p>
            <w:pPr>
              <w:spacing w:after="0"/>
              <w:rPr>
                <w:sz w:val="20"/>
                <w:szCs w:val="20"/>
                <w:color w:val="auto"/>
              </w:rPr>
            </w:pPr>
            <w:r>
              <w:rPr>
                <w:rFonts w:ascii="Courier New" w:cs="Courier New" w:eastAsia="Courier New" w:hAnsi="Courier New"/>
                <w:sz w:val="16"/>
                <w:szCs w:val="16"/>
                <w:color w:val="auto"/>
              </w:rPr>
              <w:t>statement for the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same</w:t>
            </w:r>
          </w:p>
        </w:tc>
        <w:tc>
          <w:tcPr>
            <w:tcW w:w="32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offering. |_| _______</w:t>
            </w:r>
          </w:p>
        </w:tc>
        <w:tc>
          <w:tcPr>
            <w:tcW w:w="2280" w:type="dxa"/>
            <w:vAlign w:val="bottom"/>
          </w:tcPr>
          <w:p>
            <w:pPr>
              <w:spacing w:after="0"/>
              <w:rPr>
                <w:sz w:val="15"/>
                <w:szCs w:val="15"/>
                <w:color w:val="auto"/>
              </w:rPr>
            </w:pPr>
          </w:p>
        </w:tc>
      </w:tr>
    </w:tbl>
    <w:p>
      <w:pPr>
        <w:spacing w:after="0" w:line="188" w:lineRule="exact"/>
        <w:rPr>
          <w:sz w:val="24"/>
          <w:szCs w:val="24"/>
          <w:color w:val="auto"/>
        </w:rPr>
      </w:pPr>
    </w:p>
    <w:p>
      <w:pPr>
        <w:ind w:left="2" w:right="3640" w:firstLine="858"/>
        <w:spacing w:after="0" w:line="239" w:lineRule="auto"/>
        <w:rPr>
          <w:sz w:val="20"/>
          <w:szCs w:val="20"/>
          <w:color w:val="auto"/>
        </w:rPr>
      </w:pPr>
      <w:r>
        <w:rPr>
          <w:rFonts w:ascii="Courier New" w:cs="Courier New" w:eastAsia="Courier New" w:hAnsi="Courier New"/>
          <w:sz w:val="16"/>
          <w:szCs w:val="16"/>
          <w:color w:val="auto"/>
        </w:rPr>
        <w:t>If the delivery of the prospectus is expected to be made pursuant to Rule 434, please check the following box. |_|</w:t>
      </w:r>
    </w:p>
    <w:p>
      <w:pPr>
        <w:spacing w:after="0" w:line="186"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0" w:lineRule="exact"/>
        <w:rPr>
          <w:rFonts w:ascii="Courier New" w:cs="Courier New" w:eastAsia="Courier New" w:hAnsi="Courier New"/>
          <w:sz w:val="15"/>
          <w:szCs w:val="15"/>
          <w:color w:val="auto"/>
        </w:rPr>
      </w:pPr>
    </w:p>
    <w:p>
      <w:pPr>
        <w:ind w:left="62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Proposed</w:t>
      </w:r>
    </w:p>
    <w:p>
      <w:pPr>
        <w:spacing w:after="0" w:line="2"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2520" w:type="dxa"/>
            <w:vAlign w:val="bottom"/>
          </w:tcPr>
          <w:p>
            <w:pPr>
              <w:ind w:left="700"/>
              <w:spacing w:after="0"/>
              <w:rPr>
                <w:sz w:val="20"/>
                <w:szCs w:val="20"/>
                <w:color w:val="auto"/>
              </w:rPr>
            </w:pPr>
            <w:r>
              <w:rPr>
                <w:rFonts w:ascii="Courier New" w:cs="Courier New" w:eastAsia="Courier New" w:hAnsi="Courier New"/>
                <w:sz w:val="16"/>
                <w:szCs w:val="16"/>
                <w:color w:val="auto"/>
              </w:rPr>
              <w:t>Number of Shares</w:t>
            </w:r>
          </w:p>
        </w:tc>
        <w:tc>
          <w:tcPr>
            <w:tcW w:w="20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Maximum</w:t>
            </w:r>
          </w:p>
        </w:tc>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Proposed Maximum</w:t>
            </w: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Amount of</w:t>
            </w:r>
          </w:p>
        </w:tc>
      </w:tr>
      <w:tr>
        <w:trPr>
          <w:trHeight w:val="183"/>
        </w:trPr>
        <w:tc>
          <w:tcPr>
            <w:tcW w:w="3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Title of Shares</w:t>
            </w:r>
          </w:p>
        </w:tc>
        <w:tc>
          <w:tcPr>
            <w:tcW w:w="2520" w:type="dxa"/>
            <w:vAlign w:val="bottom"/>
          </w:tcPr>
          <w:p>
            <w:pPr>
              <w:jc w:val="center"/>
              <w:ind w:left="441"/>
              <w:spacing w:after="0"/>
              <w:rPr>
                <w:sz w:val="20"/>
                <w:szCs w:val="20"/>
                <w:color w:val="auto"/>
              </w:rPr>
            </w:pPr>
            <w:r>
              <w:rPr>
                <w:rFonts w:ascii="Courier New" w:cs="Courier New" w:eastAsia="Courier New" w:hAnsi="Courier New"/>
                <w:sz w:val="16"/>
                <w:szCs w:val="16"/>
                <w:color w:val="auto"/>
                <w:w w:val="99"/>
              </w:rPr>
              <w:t>to be</w:t>
            </w:r>
          </w:p>
        </w:tc>
        <w:tc>
          <w:tcPr>
            <w:tcW w:w="2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Offering Price</w:t>
            </w:r>
          </w:p>
        </w:tc>
        <w:tc>
          <w:tcPr>
            <w:tcW w:w="18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Aggregate</w:t>
            </w:r>
          </w:p>
        </w:tc>
        <w:tc>
          <w:tcPr>
            <w:tcW w:w="1720" w:type="dxa"/>
            <w:vAlign w:val="bottom"/>
          </w:tcPr>
          <w:p>
            <w:pPr>
              <w:jc w:val="center"/>
              <w:ind w:right="121"/>
              <w:spacing w:after="0"/>
              <w:rPr>
                <w:sz w:val="20"/>
                <w:szCs w:val="20"/>
                <w:color w:val="auto"/>
              </w:rPr>
            </w:pPr>
            <w:r>
              <w:rPr>
                <w:rFonts w:ascii="Courier New" w:cs="Courier New" w:eastAsia="Courier New" w:hAnsi="Courier New"/>
                <w:sz w:val="16"/>
                <w:szCs w:val="16"/>
                <w:color w:val="auto"/>
              </w:rPr>
              <w:t>Registration</w:t>
            </w:r>
          </w:p>
        </w:tc>
      </w:tr>
      <w:tr>
        <w:trPr>
          <w:trHeight w:val="183"/>
        </w:trPr>
        <w:tc>
          <w:tcPr>
            <w:tcW w:w="3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to be Registered</w:t>
            </w:r>
          </w:p>
        </w:tc>
        <w:tc>
          <w:tcPr>
            <w:tcW w:w="2520" w:type="dxa"/>
            <w:vAlign w:val="bottom"/>
          </w:tcPr>
          <w:p>
            <w:pPr>
              <w:jc w:val="center"/>
              <w:ind w:left="441"/>
              <w:spacing w:after="0"/>
              <w:rPr>
                <w:sz w:val="20"/>
                <w:szCs w:val="20"/>
                <w:color w:val="auto"/>
              </w:rPr>
            </w:pPr>
            <w:r>
              <w:rPr>
                <w:rFonts w:ascii="Courier New" w:cs="Courier New" w:eastAsia="Courier New" w:hAnsi="Courier New"/>
                <w:sz w:val="16"/>
                <w:szCs w:val="16"/>
                <w:color w:val="auto"/>
                <w:w w:val="99"/>
              </w:rPr>
              <w:t>Registered(1)</w:t>
            </w:r>
          </w:p>
        </w:tc>
        <w:tc>
          <w:tcPr>
            <w:tcW w:w="20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Per Share</w:t>
            </w:r>
          </w:p>
        </w:tc>
        <w:tc>
          <w:tcPr>
            <w:tcW w:w="18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Offering Price(2)</w:t>
            </w:r>
          </w:p>
        </w:tc>
        <w:tc>
          <w:tcPr>
            <w:tcW w:w="17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Fee(2)</w:t>
            </w:r>
          </w:p>
        </w:tc>
      </w:tr>
      <w:tr>
        <w:trPr>
          <w:trHeight w:val="183"/>
        </w:trPr>
        <w:tc>
          <w:tcPr>
            <w:tcW w:w="77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 -------------------------------------- ---------------------- -----------------</w:t>
            </w:r>
          </w:p>
        </w:tc>
        <w:tc>
          <w:tcPr>
            <w:tcW w:w="35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 --------------</w:t>
            </w:r>
          </w:p>
        </w:tc>
      </w:tr>
    </w:tbl>
    <w:p>
      <w:pPr>
        <w:sectPr>
          <w:pgSz w:w="11900" w:h="16838" w:orient="portrait"/>
          <w:cols w:equalWidth="0" w:num="1">
            <w:col w:w="11262"/>
          </w:cols>
          <w:pgMar w:left="238" w:top="237" w:right="399" w:bottom="0" w:gutter="0" w:footer="0" w:header="0"/>
          <w:type w:val="continuous"/>
        </w:sectPr>
      </w:pPr>
    </w:p>
    <w:bookmarkStart w:id="1" w:name="page2"/>
    <w:bookmarkEnd w:id="1"/>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480" w:type="dxa"/>
            <w:vAlign w:val="bottom"/>
          </w:tcPr>
          <w:p>
            <w:pPr>
              <w:spacing w:after="0"/>
              <w:rPr>
                <w:sz w:val="20"/>
                <w:szCs w:val="20"/>
                <w:color w:val="auto"/>
              </w:rPr>
            </w:pPr>
            <w:r>
              <w:rPr>
                <w:rFonts w:ascii="Courier New" w:cs="Courier New" w:eastAsia="Courier New" w:hAnsi="Courier New"/>
                <w:sz w:val="16"/>
                <w:szCs w:val="16"/>
                <w:color w:val="auto"/>
              </w:rPr>
              <w:t>Common stock, par value $0.01</w:t>
            </w:r>
          </w:p>
        </w:tc>
        <w:tc>
          <w:tcPr>
            <w:tcW w:w="2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24,809,338</w:t>
            </w:r>
          </w:p>
        </w:tc>
        <w:tc>
          <w:tcPr>
            <w:tcW w:w="17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$4.595</w:t>
            </w:r>
          </w:p>
        </w:tc>
        <w:tc>
          <w:tcPr>
            <w:tcW w:w="2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$113,998,909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$10,488</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 ---------------------- ----------------- --------------------- --------------</w:t>
      </w:r>
    </w:p>
    <w:p>
      <w:pPr>
        <w:spacing w:after="0" w:line="380" w:lineRule="exact"/>
        <w:rPr>
          <w:sz w:val="20"/>
          <w:szCs w:val="20"/>
          <w:color w:val="auto"/>
        </w:rPr>
      </w:pPr>
    </w:p>
    <w:p>
      <w:pPr>
        <w:jc w:val="both"/>
        <w:ind w:left="862" w:right="3640" w:hanging="862"/>
        <w:spacing w:after="0" w:line="260" w:lineRule="auto"/>
        <w:tabs>
          <w:tab w:leader="none" w:pos="8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1,379,300 shares of common stock issued to certain selling stockholders in recently completed private placement transactions, (ii) 18,016,200 shares of common stock issued following the conversion on August 8, 2002 of 180,162 shares of the Registrant's Series B Convertible Preferred Stock issued to certain selling stockholders in recently completed private placement transactions, (iii) 3,391,471 shares of common stock issuable upon exercise of outstanding warrants issued in the recently completed private placement transactions, (iv) 1,140,000 shares of common stock issuable upon exercise of presently outstanding options and (v) 882,367 presently outstanding shares of common stock issued to certain selling stockholders.</w:t>
      </w:r>
    </w:p>
    <w:p>
      <w:pPr>
        <w:spacing w:after="0" w:line="176" w:lineRule="exact"/>
        <w:rPr>
          <w:rFonts w:ascii="Courier New" w:cs="Courier New" w:eastAsia="Courier New" w:hAnsi="Courier New"/>
          <w:sz w:val="15"/>
          <w:szCs w:val="15"/>
          <w:color w:val="auto"/>
        </w:rPr>
      </w:pPr>
    </w:p>
    <w:p>
      <w:pPr>
        <w:jc w:val="both"/>
        <w:ind w:left="862" w:right="3640" w:hanging="862"/>
        <w:spacing w:after="0" w:line="261" w:lineRule="auto"/>
        <w:tabs>
          <w:tab w:leader="none" w:pos="8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maximum aggregate offering price was estimated solely for the purpose of calculating the registration fee pursuant to Rule 457(c) under the Securities Act, based on the average of the high and low sales prices for the Registrant's common stock reported on the Nasdaq National Market on August 19, 2002. A filing fee of $11,625 was previously paid in connection with the initial filing of the Registrant's Registration Statement on Form S-3 filed on June 18, 2002.</w:t>
      </w:r>
    </w:p>
    <w:p>
      <w:pPr>
        <w:spacing w:after="0" w:line="174" w:lineRule="exact"/>
        <w:rPr>
          <w:sz w:val="20"/>
          <w:szCs w:val="20"/>
          <w:color w:val="auto"/>
        </w:rPr>
      </w:pPr>
    </w:p>
    <w:p>
      <w:pPr>
        <w:jc w:val="both"/>
        <w:ind w:left="2" w:right="3640"/>
        <w:spacing w:after="0" w:line="24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ectPr>
          <w:pgSz w:w="11900" w:h="16838" w:orient="portrait"/>
          <w:cols w:equalWidth="0" w:num="1">
            <w:col w:w="11262"/>
          </w:cols>
          <w:pgMar w:left="238" w:top="322" w:right="399" w:bottom="1440" w:gutter="0" w:footer="0" w:header="0"/>
        </w:sectPr>
      </w:pPr>
    </w:p>
    <w:bookmarkStart w:id="2" w:name="page3"/>
    <w:bookmarkEnd w:id="2"/>
    <w:p>
      <w:pPr>
        <w:jc w:val="both"/>
        <w:ind w:right="2599"/>
        <w:spacing w:after="0" w:line="241" w:lineRule="auto"/>
        <w:rPr>
          <w:sz w:val="20"/>
          <w:szCs w:val="20"/>
          <w:color w:val="auto"/>
        </w:rPr>
      </w:pPr>
      <w:r>
        <w:rPr>
          <w:rFonts w:ascii="Courier New" w:cs="Courier New" w:eastAsia="Courier New" w:hAnsi="Courier New"/>
          <w:sz w:val="16"/>
          <w:szCs w:val="16"/>
          <w:color w:val="auto"/>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Subject to completion, dated August 23, 2002</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Preliminary Prospectus</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24,809,338 SHARES</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CASUAL MALE RETAIL GROUP, INC.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This prospectus relates to the offer and sale by the selling stockholders listed beginning on page 10 of up to 24,809,338 shares of common stock, par value $0.01 per share, of Casual Male Retail Group, Inc. (formerly known as Designs, Inc.), consisting of (i) 1,379,300 shares of recently issued common stock, (ii) 18,016,200 shares of common stock issued following the conversion on August 8, 2002 of our series B convertible preferred stock, par value $0.01 per share, (iii) 3,391,471 shares of common stock issuable upon exercise of outstanding warrants, (iv) 1,140,000 shares of common stock issuable upon exercise of outstanding options and (v) 882,367 presently outstanding shares of common stock.</w:t>
      </w:r>
    </w:p>
    <w:p>
      <w:pPr>
        <w:spacing w:after="0" w:line="190"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issued 1,379,300 shares of common stock and 180,162 shares of series B preferred stock to certain selling stockholders in various private placement transactions in April and May 2002. Each share of series B preferred stock was automatically converted into 100 shares of common stock following the approval of the issuance of such common stock by our stockholders at the annual meeting of stockholders held on August 8, 2002. The selling stockholders may sell all or some of their respective shares offered pursuant to this prospectus through public or private transactions, at prevailing market prices, or at privately negotiated prices. We will not receive any proceeds from the sale of any of the shares by the selling stockholders.</w:t>
      </w:r>
    </w:p>
    <w:p>
      <w:pPr>
        <w:spacing w:after="0" w:line="190" w:lineRule="exact"/>
        <w:rPr>
          <w:sz w:val="20"/>
          <w:szCs w:val="20"/>
          <w:color w:val="auto"/>
        </w:rPr>
      </w:pPr>
    </w:p>
    <w:p>
      <w:pPr>
        <w:jc w:val="both"/>
        <w:ind w:right="2599" w:firstLine="858"/>
        <w:spacing w:after="0"/>
        <w:rPr>
          <w:sz w:val="20"/>
          <w:szCs w:val="20"/>
          <w:color w:val="auto"/>
        </w:rPr>
      </w:pPr>
      <w:r>
        <w:rPr>
          <w:rFonts w:ascii="Courier New" w:cs="Courier New" w:eastAsia="Courier New" w:hAnsi="Courier New"/>
          <w:sz w:val="16"/>
          <w:szCs w:val="16"/>
          <w:color w:val="auto"/>
        </w:rPr>
        <w:t>Our common stock is listed on the Nasdaq National Market under the symbol "CMRG" (and was formerly listed under the symbol "DESI"). On August 22, 2002, the last reported sale price of our common stock was $4.60 per share.</w:t>
      </w:r>
    </w:p>
    <w:p>
      <w:pPr>
        <w:spacing w:after="0" w:line="190" w:lineRule="exact"/>
        <w:rPr>
          <w:sz w:val="20"/>
          <w:szCs w:val="20"/>
          <w:color w:val="auto"/>
        </w:rPr>
      </w:pPr>
    </w:p>
    <w:p>
      <w:pPr>
        <w:jc w:val="both"/>
        <w:ind w:right="2599" w:firstLine="858"/>
        <w:spacing w:after="0" w:line="239" w:lineRule="auto"/>
        <w:rPr>
          <w:sz w:val="20"/>
          <w:szCs w:val="20"/>
          <w:color w:val="auto"/>
        </w:rPr>
      </w:pPr>
      <w:r>
        <w:rPr>
          <w:rFonts w:ascii="Courier New" w:cs="Courier New" w:eastAsia="Courier New" w:hAnsi="Courier New"/>
          <w:sz w:val="16"/>
          <w:szCs w:val="16"/>
          <w:color w:val="auto"/>
        </w:rPr>
        <w:t>Investing in our common stock involves risks. See "Risk Factors" beginning on page 4.</w:t>
      </w:r>
    </w:p>
    <w:p>
      <w:pPr>
        <w:spacing w:after="0" w:line="189" w:lineRule="exact"/>
        <w:rPr>
          <w:sz w:val="20"/>
          <w:szCs w:val="20"/>
          <w:color w:val="auto"/>
        </w:rPr>
      </w:pPr>
    </w:p>
    <w:p>
      <w:pPr>
        <w:jc w:val="both"/>
        <w:ind w:right="2599" w:firstLine="858"/>
        <w:spacing w:after="0" w:line="241"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date of this prospectus is [___________], 2002.</w:t>
      </w:r>
    </w:p>
    <w:p>
      <w:pPr>
        <w:sectPr>
          <w:pgSz w:w="11900" w:h="16838" w:orient="portrait"/>
          <w:cols w:equalWidth="0" w:num="1">
            <w:col w:w="10219"/>
          </w:cols>
          <w:pgMar w:left="240" w:top="85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4000" w:type="dxa"/>
            <w:vAlign w:val="bottom"/>
          </w:tcPr>
          <w:p>
            <w:pPr>
              <w:jc w:val="center"/>
              <w:ind w:left="1361"/>
              <w:spacing w:after="0"/>
              <w:rPr>
                <w:sz w:val="20"/>
                <w:szCs w:val="20"/>
                <w:color w:val="auto"/>
              </w:rPr>
            </w:pPr>
            <w:r>
              <w:rPr>
                <w:rFonts w:ascii="Courier New" w:cs="Courier New" w:eastAsia="Courier New" w:hAnsi="Courier New"/>
                <w:sz w:val="16"/>
                <w:szCs w:val="16"/>
                <w:color w:val="auto"/>
              </w:rPr>
              <w:t>TABLE OF CONTENTS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55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72"/>
              </w:rPr>
              <w:t>THE COMPANY...................................................................</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w:t>
            </w:r>
          </w:p>
        </w:tc>
      </w:tr>
      <w:tr>
        <w:trPr>
          <w:trHeight w:val="367"/>
        </w:trPr>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83"/>
              </w:rPr>
              <w:t>RECENT DEVELOPMENTS...........................................................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risk factors</w:t>
            </w:r>
          </w:p>
        </w:tc>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w w:val="80"/>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w:t>
            </w:r>
          </w:p>
        </w:tc>
      </w:tr>
      <w:tr>
        <w:trPr>
          <w:trHeight w:val="367"/>
        </w:trPr>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83"/>
              </w:rPr>
              <w:t>FORWARD-LOOKING STATEMENTS....................................................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r>
      <w:tr>
        <w:trPr>
          <w:trHeight w:val="367"/>
        </w:trPr>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83"/>
              </w:rPr>
              <w:t>USE OF PROCEEDS...............................................................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r>
      <w:tr>
        <w:trPr>
          <w:trHeight w:val="367"/>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72"/>
              </w:rPr>
              <w:t>DIVIDENDS.....................................................................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r>
      <w:tr>
        <w:trPr>
          <w:trHeight w:val="367"/>
        </w:trPr>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83"/>
              </w:rPr>
              <w:t>SELLING STOCKHOLDERS..........................................................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r>
      <w:tr>
        <w:trPr>
          <w:trHeight w:val="367"/>
        </w:trPr>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84"/>
              </w:rPr>
              <w:t>PLAN OF DISTRIBUTION.........................................................</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w:t>
            </w:r>
          </w:p>
        </w:tc>
      </w:tr>
      <w:tr>
        <w:trPr>
          <w:trHeight w:val="367"/>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73"/>
              </w:rPr>
              <w:t>EXPERTS......................................................................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r>
      <w:tr>
        <w:trPr>
          <w:trHeight w:val="367"/>
        </w:trPr>
        <w:tc>
          <w:tcPr>
            <w:tcW w:w="6240" w:type="dxa"/>
            <w:vAlign w:val="bottom"/>
            <w:gridSpan w:val="3"/>
          </w:tcPr>
          <w:p>
            <w:pPr>
              <w:spacing w:after="0"/>
              <w:rPr>
                <w:sz w:val="20"/>
                <w:szCs w:val="20"/>
                <w:color w:val="auto"/>
              </w:rPr>
            </w:pPr>
            <w:r>
              <w:rPr>
                <w:rFonts w:ascii="Courier New" w:cs="Courier New" w:eastAsia="Courier New" w:hAnsi="Courier New"/>
                <w:sz w:val="16"/>
                <w:szCs w:val="16"/>
                <w:color w:val="auto"/>
                <w:w w:val="84"/>
              </w:rPr>
              <w:t>WHERE YOU CAN FIND MORE INFORMATION..........................................</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w:t>
            </w:r>
          </w:p>
        </w:tc>
      </w:tr>
      <w:tr>
        <w:trPr>
          <w:trHeight w:val="550"/>
        </w:trPr>
        <w:tc>
          <w:tcPr>
            <w:tcW w:w="1140" w:type="dxa"/>
            <w:vAlign w:val="bottom"/>
          </w:tcPr>
          <w:p>
            <w:pPr>
              <w:spacing w:after="0"/>
              <w:rPr>
                <w:sz w:val="24"/>
                <w:szCs w:val="24"/>
                <w:color w:val="auto"/>
              </w:rPr>
            </w:pPr>
          </w:p>
        </w:tc>
        <w:tc>
          <w:tcPr>
            <w:tcW w:w="510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7"/>
        </w:trPr>
        <w:tc>
          <w:tcPr>
            <w:tcW w:w="64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You should rely only on the information or representations</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provided in</w:t>
            </w:r>
          </w:p>
        </w:tc>
      </w:tr>
      <w:tr>
        <w:trPr>
          <w:trHeight w:val="183"/>
        </w:trPr>
        <w:tc>
          <w:tcPr>
            <w:tcW w:w="5140" w:type="dxa"/>
            <w:vAlign w:val="bottom"/>
            <w:gridSpan w:val="2"/>
          </w:tcPr>
          <w:p>
            <w:pPr>
              <w:spacing w:after="0"/>
              <w:rPr>
                <w:sz w:val="20"/>
                <w:szCs w:val="20"/>
                <w:color w:val="auto"/>
              </w:rPr>
            </w:pPr>
            <w:r>
              <w:rPr>
                <w:rFonts w:ascii="Courier New" w:cs="Courier New" w:eastAsia="Courier New" w:hAnsi="Courier New"/>
                <w:sz w:val="16"/>
                <w:szCs w:val="16"/>
                <w:color w:val="auto"/>
                <w:w w:val="98"/>
              </w:rPr>
              <w:t>this prospectus or incorporated by reference into this</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prospectus.</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We have not</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authorized</w:t>
            </w:r>
          </w:p>
        </w:tc>
        <w:tc>
          <w:tcPr>
            <w:tcW w:w="4000" w:type="dxa"/>
            <w:vAlign w:val="bottom"/>
          </w:tcPr>
          <w:p>
            <w:pPr>
              <w:spacing w:after="0"/>
              <w:rPr>
                <w:sz w:val="20"/>
                <w:szCs w:val="20"/>
                <w:color w:val="auto"/>
              </w:rPr>
            </w:pPr>
            <w:r>
              <w:rPr>
                <w:rFonts w:ascii="Courier New" w:cs="Courier New" w:eastAsia="Courier New" w:hAnsi="Courier New"/>
                <w:sz w:val="16"/>
                <w:szCs w:val="16"/>
                <w:color w:val="auto"/>
              </w:rPr>
              <w:t>anyone to provide you with any different</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information</w:t>
            </w:r>
          </w:p>
        </w:tc>
        <w:tc>
          <w:tcPr>
            <w:tcW w:w="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or to</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make any</w:t>
            </w:r>
          </w:p>
        </w:tc>
      </w:tr>
      <w:tr>
        <w:trPr>
          <w:trHeight w:val="183"/>
        </w:trPr>
        <w:tc>
          <w:tcPr>
            <w:tcW w:w="1140" w:type="dxa"/>
            <w:vAlign w:val="bottom"/>
          </w:tcPr>
          <w:p>
            <w:pPr>
              <w:spacing w:after="0"/>
              <w:rPr>
                <w:sz w:val="20"/>
                <w:szCs w:val="20"/>
                <w:color w:val="auto"/>
              </w:rPr>
            </w:pPr>
            <w:r>
              <w:rPr>
                <w:rFonts w:ascii="Courier New" w:cs="Courier New" w:eastAsia="Courier New" w:hAnsi="Courier New"/>
                <w:sz w:val="16"/>
                <w:szCs w:val="16"/>
                <w:color w:val="auto"/>
              </w:rPr>
              <w:t>different</w:t>
            </w:r>
          </w:p>
        </w:tc>
        <w:tc>
          <w:tcPr>
            <w:tcW w:w="4000" w:type="dxa"/>
            <w:vAlign w:val="bottom"/>
          </w:tcPr>
          <w:p>
            <w:pPr>
              <w:spacing w:after="0"/>
              <w:rPr>
                <w:sz w:val="20"/>
                <w:szCs w:val="20"/>
                <w:color w:val="auto"/>
              </w:rPr>
            </w:pPr>
            <w:r>
              <w:rPr>
                <w:rFonts w:ascii="Courier New" w:cs="Courier New" w:eastAsia="Courier New" w:hAnsi="Courier New"/>
                <w:sz w:val="16"/>
                <w:szCs w:val="16"/>
                <w:color w:val="auto"/>
                <w:w w:val="98"/>
              </w:rPr>
              <w:t>representations  in  connection  with  any</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offering</w:t>
            </w:r>
          </w:p>
        </w:tc>
        <w:tc>
          <w:tcPr>
            <w:tcW w:w="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made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by  this</w:t>
            </w:r>
          </w:p>
        </w:tc>
      </w:tr>
    </w:tbl>
    <w:p>
      <w:pPr>
        <w:spacing w:after="0" w:line="5"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prospectus. This prospectus does not constitute an offer to sell, or a solicitation of an offer to buy, in any state where the offer or sale is prohibited. Neither the delivery of this prospectus, nor any sale made under this prospectus shall, under any circumstances, imply that the information in this prospectus is correct as of any date after the date of this prospectus.</w:t>
      </w:r>
    </w:p>
    <w:p>
      <w:pPr>
        <w:spacing w:after="0" w:line="18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48" w:right="1440" w:bottom="1440" w:gutter="0" w:footer="0" w:header="0"/>
        </w:sectPr>
      </w:pPr>
    </w:p>
    <w:bookmarkStart w:id="4" w:name="page5"/>
    <w:bookmarkEnd w:id="4"/>
    <w:p>
      <w:pPr>
        <w:ind w:left="3342"/>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Casual Male Retail Group, Inc. (formerly known as Designs, Inc.) is a publicly traded, Massachusetts-based brand retail operator which has historically specialized in selling quality branded apparel and accessories in outlet malls throughout the eastern part of the United States and Puerto Rico. All references in this prospectus to "Casual Male Retail Group," the "Company," "we," "us" and "our" are to Casual Male Retail Group, Inc. and its subsidiaries. For over 25 years, through a license agreement with Levi Strauss &amp; Co., we owned and operated retail outlet stores selling exclusively Levi's(R) branded merchandise.</w:t>
      </w:r>
    </w:p>
    <w:p>
      <w:pPr>
        <w:spacing w:after="0" w:line="189" w:lineRule="exact"/>
        <w:rPr>
          <w:sz w:val="20"/>
          <w:szCs w:val="20"/>
          <w:color w:val="auto"/>
        </w:rPr>
      </w:pPr>
    </w:p>
    <w:p>
      <w:pPr>
        <w:jc w:val="both"/>
        <w:ind w:left="2" w:right="2599" w:firstLine="858"/>
        <w:spacing w:after="0"/>
        <w:rPr>
          <w:sz w:val="20"/>
          <w:szCs w:val="20"/>
          <w:color w:val="auto"/>
        </w:rPr>
      </w:pPr>
      <w:r>
        <w:rPr>
          <w:rFonts w:ascii="Courier New" w:cs="Courier New" w:eastAsia="Courier New" w:hAnsi="Courier New"/>
          <w:sz w:val="16"/>
          <w:szCs w:val="16"/>
          <w:color w:val="auto"/>
        </w:rPr>
        <w:t>Expanding upon our core competency of operating retail stores for branded apparel in the outlet channel of distribution, we recently entered into the following arrangements with two well-known apparel manufacturers:</w:t>
      </w:r>
    </w:p>
    <w:p>
      <w:pPr>
        <w:spacing w:after="0" w:line="190" w:lineRule="exact"/>
        <w:rPr>
          <w:sz w:val="20"/>
          <w:szCs w:val="20"/>
          <w:color w:val="auto"/>
        </w:rPr>
      </w:pPr>
    </w:p>
    <w:p>
      <w:pPr>
        <w:jc w:val="both"/>
        <w:ind w:left="482" w:right="2599" w:hanging="482"/>
        <w:spacing w:after="0" w:line="242"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2002, we entered into a license agreement with Candie's, Inc., a leading designer and marketer of young women's footwear, apparel and accessories. Under this license agreement, we plan, over the next five years, to open and operate 75 Candie's(R) branded retail stores in outlet malls and value centers throughout the United States. We plan to open 11 Candie's(R) branded stores in outlet malls during the fiscal year ending February 1, 2003.</w:t>
      </w:r>
    </w:p>
    <w:p>
      <w:pPr>
        <w:spacing w:after="0" w:line="187" w:lineRule="exact"/>
        <w:rPr>
          <w:rFonts w:ascii="Courier New" w:cs="Courier New" w:eastAsia="Courier New" w:hAnsi="Courier New"/>
          <w:sz w:val="16"/>
          <w:szCs w:val="16"/>
          <w:color w:val="auto"/>
        </w:rPr>
      </w:pPr>
    </w:p>
    <w:p>
      <w:pPr>
        <w:jc w:val="both"/>
        <w:ind w:left="482" w:right="2599" w:hanging="482"/>
        <w:spacing w:after="0" w:line="242" w:lineRule="auto"/>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2002, we finalized an exclusive joint venture agreement with EcKo Complex, LLC, a leading design-driven lifestyle brand targeting young men and women. EcKo has worldwide annual sales exceeding $200 million. Under the joint venture agreement, we will open and operate 75 EcKo(R) branded outlet stores throughout the United States over a six-year period. We plan to open five EcKo(R) branded outlet stores during fiscal 2003.</w:t>
      </w:r>
    </w:p>
    <w:p>
      <w:pPr>
        <w:spacing w:after="0" w:line="187" w:lineRule="exact"/>
        <w:rPr>
          <w:sz w:val="20"/>
          <w:szCs w:val="20"/>
          <w:color w:val="auto"/>
        </w:rPr>
      </w:pPr>
    </w:p>
    <w:p>
      <w:pPr>
        <w:jc w:val="both"/>
        <w:ind w:left="2" w:right="2599" w:firstLine="858"/>
        <w:spacing w:after="0" w:line="241" w:lineRule="auto"/>
        <w:rPr>
          <w:sz w:val="20"/>
          <w:szCs w:val="20"/>
          <w:color w:val="auto"/>
        </w:rPr>
      </w:pPr>
      <w:r>
        <w:rPr>
          <w:rFonts w:ascii="Courier New" w:cs="Courier New" w:eastAsia="Courier New" w:hAnsi="Courier New"/>
          <w:sz w:val="16"/>
          <w:szCs w:val="16"/>
          <w:color w:val="auto"/>
        </w:rPr>
        <w:t>We are continuing discussions with several other manufacturers as we strive to become a premier operator of branded retail outlet stores. We believe that manufacturers will find Casual Male Retail Group as their logical solution for an outlet channel of distribution of their branded merchandise.</w:t>
      </w:r>
    </w:p>
    <w:p>
      <w:pPr>
        <w:spacing w:after="0" w:line="189"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As of May 14, 2002, pursuant to an asset purchase agreement entered into as of May 2, 2002, by the Company, Casual Male Corp. and certain of its subsidiaries (which we refer to, collectively, as "old Casual Male"), we completed the acquisition of substantially all of the assets of old Casual Male for a purchase price of approximately $170 million, plus the assumption of certain operating liabilities. We were selected as the highest and best bidder for the old Casual Male assets at a bankruptcy court ordered auction commencing on May 1, 2002 and concluding on May 2, 2002, and our acquisition of old Casual Male was approved by the court on May 7, 2002.</w:t>
      </w:r>
    </w:p>
    <w:p>
      <w:pPr>
        <w:spacing w:after="0" w:line="189"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Old Casual Male was a leading independent specialty retailer of fashion, casual and dress apparel for big and tall men with annual sales that exceeded $350 million. Old Casual Male sold its branded merchandise through various channels of distribution including full price and outlet retail stores, direct mail and the internet. Old Casual Male had been operating under the protection of the U.S. Bankruptcy Court since May 2001.</w:t>
      </w:r>
    </w:p>
    <w:p>
      <w:pPr>
        <w:spacing w:after="0" w:line="187"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The Casual Male acquisition, along with the payment of certain related fees and expenses, was completed with funds provided by: (i) approximately $30.2 million in additional borrowings from our amended three-year $120.0 million senior secured credit facility with our bank, Fleet Retail Finance, Inc., (ii) $15.0 million in a three-year term loan with a subsidiary of Fleet Retail Finance, (iii) proceeds from the private placement in April and May 2002 of $24.5 million principal amount of 12% senior subordinated notes due 2007 together with detachable warrants to acquire 1,715,000 shares of our common stock at an exercise price of $0.01 per share and additional detachable warrants to acquire 1,176,471 shares of our common stock at an exercise price of $8.50 per share, (iv) proceeds from the private placement in April and May 2002 of $11.0 million principal amount of 5% senior subordinated notes due 2007, (v) approximately $82.5 million of proceeds from the private placement in April and May 2002 of approximately 1,379,300 shares of newly issued common stock and 180,162 shares of series B preferred stock, and (vi) the assumption of a mortgage note in a principal amount of approximately $12.2 million.</w:t>
      </w:r>
    </w:p>
    <w:p>
      <w:pPr>
        <w:spacing w:after="0" w:line="194" w:lineRule="exact"/>
        <w:rPr>
          <w:sz w:val="20"/>
          <w:szCs w:val="20"/>
          <w:color w:val="auto"/>
        </w:rPr>
      </w:pPr>
    </w:p>
    <w:p>
      <w:pPr>
        <w:jc w:val="both"/>
        <w:ind w:left="2" w:right="2599" w:firstLine="858"/>
        <w:spacing w:after="0" w:line="239" w:lineRule="auto"/>
        <w:rPr>
          <w:sz w:val="20"/>
          <w:szCs w:val="20"/>
          <w:color w:val="auto"/>
        </w:rPr>
      </w:pPr>
      <w:r>
        <w:rPr>
          <w:rFonts w:ascii="Courier New" w:cs="Courier New" w:eastAsia="Courier New" w:hAnsi="Courier New"/>
          <w:sz w:val="16"/>
          <w:szCs w:val="16"/>
          <w:color w:val="auto"/>
        </w:rPr>
        <w:t>Our principle executive offices are located at 555 Turnpike Street, Canton, Massachusetts 02021, and our telephone number is (781) 828-9300.</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848"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6"/>
          <w:szCs w:val="16"/>
          <w:color w:val="auto"/>
        </w:rPr>
        <w:t>RECENT DEVELOPMENTS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At the Company's annual meeting of stockholders held on August 8, 2002, the stockholders of the Company voted in favor of changing the Company's corporate name from Designs, Inc. to Casual Male Retail Group, Inc. Also at the annual meeting, the stockholders voted in favor of (i) changing the Company's state of incorporation from Delaware to Nevada, (ii) increasing the number of authorized shares of common stock from 50,000,000 shares to 75,000,000 shares and (iii) issuing additional shares of common stock upon the conversion of the Company's series B preferred stock and the exercise of certain outstanding warrants.</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On August 7, 2002, the Company announced that due to the continued erosion of the Levi's brand in the marketplace and Levi Strauss &amp; Co.'s consistent inability to provide a balanced assortment of product for our Levi's(R) and Dockers(R) stores, the Company evaluated the current trends of its Levi's(R)/Dockers(R) outlet stores as a result of the continuing comparable store sale decreases the business was experiencing. As a result, the Company plans to close between 34 and 40 Levi's(R)/Dockers(R) stores, combine 6 to 8 other stores and reduce the square footage in another 20 to 25 stores. The Company expects to close between 15 and 20 Levi's(R) and Dockers(R) outlet stores over the next twelve to eighteen months, and has already started negotiations with several landlords to terminate leases on the remaining underperforming stores. At the same time, the Company is continuing to execute its integration plan to combine the operations of Designs, Inc. with Casual Male and is in the process of relocating the Company's distribution facility and corporate offices to Canton, Massachusetts.</w:t>
      </w:r>
    </w:p>
    <w:p>
      <w:pPr>
        <w:spacing w:after="0" w:line="193"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On August 23, 2002, the Company announced its second quarter financial results. For the second quarter of fiscal 2003, the Company reported a net loss of $12.9 million, which includes restructuring charges totaling $11.0 million, primarily related to the previously announced restructuring of the Company's Levi's(R)/Dockers(R) business and the integration of the Casual Male operations. This compares to a net income of $0.7 million in the corresponding period of the prior year. For the six months ended August 3, 2002, the Company reported a net loss of $14.7 million, of which $11.0 million relates to the aforementioned restructuring charges recorded in the second quarter of fiscal 2003. This compares to a net loss of $0.7 million in the corresponding period of the prior year. As a result of the restructuring charge, the income tax benefit previously recorded in the first quarter of the current year was reversed in the second quarter, such that no income tax benefit has been recognized in the year-to-date results. Without the impact of the $11.0 million restructuring charge, the Company would have reported a net loss of $0.5 million for the second quarter of fiscal 2003 and a net loss of $2.3 million for the six months ended August 3, 2002.</w:t>
      </w:r>
    </w:p>
    <w:p>
      <w:pPr>
        <w:spacing w:after="0" w:line="19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Investing in shares of our common stock involves a high degree of risk. You should carefully consider the following risk factors and all other information contained in this prospectus before purchasing our common stock. The risks and uncertainties described below are those that we currently believe may materially affect our company. Additional risks and uncertainties may also impair our business operations. If the following risks actually occur, our business, financial condition and results of operations could be seriously harmed, the trading price of our common stock could decline and you could lose all or part of your investment.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Market in Which We Operate</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Our sales will suffer if we fail to accurately predict changing fashion trends and consumer preferences.</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Our business is dependent upon our being able to predict fashion trends, customer preferences and other fashion-related factors. Customer tastes and fashion trends are volatile and tend to change rapidly. Our success depends in large part upon management's ability to effectively predict and respond to changing fashion tastes and consumer demands and to translate market trends to appropriate saleable product offerings far in advance. If we are unable to successfully predict or respond to changing styles or trends and misjudge the market for our products or any new product lines, our sales will be lower and we may be faced with a substantial amount of unsold inventory or missed opportunities. In response, we may be forced to rely on additional markdowns or promotional sales to dispose of excess, slow-moving inventory. In addition, the failure to satisfy consumer demand could have serious longer-term consequences, such as an adverse impact on our brand recognition and the loss of market share to our competitors.</w:t>
      </w:r>
    </w:p>
    <w:p>
      <w:pPr>
        <w:spacing w:after="0" w:line="192"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Macroeconomic factors adversely affecting the retail industry could also adversely impact our business.</w:t>
      </w:r>
    </w:p>
    <w:p>
      <w:pPr>
        <w:spacing w:after="0" w:line="189" w:lineRule="exact"/>
        <w:rPr>
          <w:sz w:val="20"/>
          <w:szCs w:val="20"/>
          <w:color w:val="auto"/>
        </w:rPr>
      </w:pPr>
    </w:p>
    <w:p>
      <w:pPr>
        <w:jc w:val="both"/>
        <w:ind w:right="2599" w:firstLine="858"/>
        <w:spacing w:after="0" w:line="241" w:lineRule="auto"/>
        <w:rPr>
          <w:sz w:val="20"/>
          <w:szCs w:val="20"/>
          <w:color w:val="auto"/>
        </w:rPr>
      </w:pPr>
      <w:r>
        <w:rPr>
          <w:rFonts w:ascii="Courier New" w:cs="Courier New" w:eastAsia="Courier New" w:hAnsi="Courier New"/>
          <w:sz w:val="16"/>
          <w:szCs w:val="16"/>
          <w:color w:val="auto"/>
        </w:rPr>
        <w:t>Our sales could be adversely affected by a weak retail environment. Apparel retailers are subject to general economic conditions and purchases of apparel may decline at any time, especially during recessionary periods. In addition, our financial performance is also sensitive to changes in consumer spending trends and shopping patterns.</w:t>
      </w:r>
    </w:p>
    <w:p>
      <w:pPr>
        <w:sectPr>
          <w:pgSz w:w="11900" w:h="16838" w:orient="portrait"/>
          <w:cols w:equalWidth="0" w:num="1">
            <w:col w:w="10219"/>
          </w:cols>
          <w:pgMar w:left="240" w:top="665" w:right="1440" w:bottom="0" w:gutter="0" w:footer="0" w:header="0"/>
        </w:sectPr>
      </w:pPr>
    </w:p>
    <w:bookmarkStart w:id="6" w:name="page7"/>
    <w:bookmarkEnd w:id="6"/>
    <w:p>
      <w:pPr>
        <w:ind w:left="25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22" w:right="1440" w:bottom="1440" w:gutter="0" w:footer="0" w:header="0"/>
        </w:sectPr>
      </w:pPr>
    </w:p>
    <w:bookmarkStart w:id="7" w:name="page8"/>
    <w:bookmarkEnd w:id="7"/>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understand that the retail industry can be adversely affected by certain economic factors outside of our control that would affect our costs as well as consumer spending behavior. Some of these factors include rising interest rates, negative consumer sentiment brought about by uncertainty over economic recovery and national security, inflation, and rising unemployment. Further, it is well known in the apparel industry that when economic conditions worsen, men are more reluctant than women and children to shop for clothes for themselves. We have no ability to predict or control these economic and political variables.</w:t>
      </w:r>
    </w:p>
    <w:p>
      <w:pPr>
        <w:spacing w:after="0" w:line="189"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We could lose market share to competitors in the retail industry, which would have a serious adverse impact on our revenues.</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United States casual apparel market, men's big and tall market and footwear industry are highly competitive with many national and regional department stores, specialty apparel retailers and discount stores offering a broad range of apparel products similar to the products that we sell. Besides retail competitors, we consider any casual apparel manufacturer operating in outlet parks throughout the United States to be a competitor in the casual apparel market. Due to consolidation in the men's apparel industry, it is possible that another competitor, either a mass merchant or a men's specialty store or specialty apparel catalog, could gain market share in men's big and tall apparel due to more favorable pricing, locations, brand and fashion assortment and size availability. Recently, sales of Levi's(R) brand jeans have been impacted by the increased competition from private labels as well as fashion jeans market entrants and by a decrease in national sales trends of Levi's(R) brand products. Our future Candie's(R) Outlet stores face substantial competition in each of our product lines from, among other brands, Skechers, Steve Madden and Esprit. The presence in the marketplace of various fashion trends and the limited availability of shelf space also can affect competition.</w:t>
      </w:r>
    </w:p>
    <w:p>
      <w:pPr>
        <w:spacing w:after="0" w:line="194" w:lineRule="exact"/>
        <w:rPr>
          <w:sz w:val="20"/>
          <w:szCs w:val="20"/>
          <w:color w:val="auto"/>
        </w:rPr>
      </w:pPr>
    </w:p>
    <w:p>
      <w:pPr>
        <w:jc w:val="both"/>
        <w:ind w:right="2599" w:firstLine="858"/>
        <w:spacing w:after="0"/>
        <w:rPr>
          <w:sz w:val="20"/>
          <w:szCs w:val="20"/>
          <w:color w:val="auto"/>
        </w:rPr>
      </w:pPr>
      <w:r>
        <w:rPr>
          <w:rFonts w:ascii="Courier New" w:cs="Courier New" w:eastAsia="Courier New" w:hAnsi="Courier New"/>
          <w:sz w:val="16"/>
          <w:szCs w:val="16"/>
          <w:color w:val="auto"/>
        </w:rPr>
        <w:t>We may not be able to compete successfully with our competitors in the future and could lose brand recognition and market share. A significant loss of market share would put the Company's profitability at risk.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advertising and promotion efforts may not result in increased sales.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Our business is directly affected by the success or failure of the advertising and promotional efforts of our vendors. Future advertising efforts of our company, our vendors or our other licensors may be costly and may not result in increased sales. If a major advertising campaign were undertaken without success, then the Company's failure to realize any revenues from its advertising and promotional expenditures, together with the possible resulting erosion of brand recognition and loss of market share, would have an adverse impact on its overall profitability.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Operations</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Our business is likely to be damaged if we are unable to keep certain key personnel.</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Our future success is dependent on the personal efforts, performance and abilities of our key management. Although none of our senior executives is close to retirement age and we are not currently aware of any tensions between management and any senior executive, there is always the possibility that a key member of the management team could become unwilling or unable to continue in that capacity for other reasons. The loss of the services of one or more of the key members of our management team could have a material adverse impact on our business, financial condition and results of operations. The competition is intense for the type of highly skilled individuals with relevant industry experience that we require and we may not be able to attract and retain new employees of the caliber needed to achieve our objectives.</w:t>
      </w:r>
    </w:p>
    <w:p>
      <w:pPr>
        <w:spacing w:after="0" w:line="191"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If we fail to adequately upgrade and enhance our information systems and control procedures, our systems may not be able to support our requirements.</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Company depends heavily upon technology and information systems to control inventory, sales, markdowns, merchandise on hand and other critical information. We periodically review, improve and, under certain circumstances, replace our technology and management information systems to provide enhanced support to all operating areas of our company. However, we may not be able to successfully implement required enhancements</w:t>
      </w: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1" w:right="1440" w:bottom="1440" w:gutter="0" w:footer="0" w:header="0"/>
        </w:sectPr>
      </w:pPr>
    </w:p>
    <w:bookmarkStart w:id="8" w:name="page9"/>
    <w:bookmarkEnd w:id="8"/>
    <w:p>
      <w:pPr>
        <w:jc w:val="both"/>
        <w:ind w:right="2599"/>
        <w:spacing w:after="0"/>
        <w:rPr>
          <w:sz w:val="20"/>
          <w:szCs w:val="20"/>
          <w:color w:val="auto"/>
        </w:rPr>
      </w:pPr>
      <w:r>
        <w:rPr>
          <w:rFonts w:ascii="Courier New" w:cs="Courier New" w:eastAsia="Courier New" w:hAnsi="Courier New"/>
          <w:sz w:val="16"/>
          <w:szCs w:val="16"/>
          <w:color w:val="auto"/>
        </w:rPr>
        <w:t>to our operating systems in the future. If such upgrades and enhancements are not successfully implemented, then our current systems may not be able to continue to support adequately our future management information requirements.</w:t>
      </w:r>
    </w:p>
    <w:p>
      <w:pPr>
        <w:spacing w:after="0" w:line="190"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Any significant deficiencies in our management information systems resulting in less than optimal systems performance could adversely affect our business operations. If we fail to continue to improve upon and enhance our present management information systems, then we may not be able to resolve or eliminate any existing or potential difficulties, which could have a significant impact on our business and results of operations.</w:t>
      </w:r>
    </w:p>
    <w:p>
      <w:pPr>
        <w:spacing w:after="0" w:line="187"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If the third party manufacturers upon which we are dependent are unable or unwilling to meet our needs, then we may be unable to obtain sufficient products of adequate quality.</w:t>
      </w:r>
    </w:p>
    <w:p>
      <w:pPr>
        <w:spacing w:after="0" w:line="190"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do not own or operate any manufacturing facilities and are therefore dependent on third parties for the manufacture of the products we sell, which are the core of our business and without which our business would be in jeopardy.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w:t>
      </w:r>
    </w:p>
    <w:p>
      <w:pPr>
        <w:spacing w:after="0" w:line="190"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w:t>
      </w:r>
    </w:p>
    <w:p>
      <w:pPr>
        <w:spacing w:after="0" w:line="187" w:lineRule="exact"/>
        <w:rPr>
          <w:sz w:val="20"/>
          <w:szCs w:val="20"/>
          <w:color w:val="auto"/>
        </w:rPr>
      </w:pPr>
    </w:p>
    <w:p>
      <w:pPr>
        <w:jc w:val="both"/>
        <w:ind w:right="2599" w:firstLine="858"/>
        <w:spacing w:after="0" w:line="241" w:lineRule="auto"/>
        <w:rPr>
          <w:sz w:val="20"/>
          <w:szCs w:val="20"/>
          <w:color w:val="auto"/>
        </w:rPr>
      </w:pPr>
      <w:r>
        <w:rPr>
          <w:rFonts w:ascii="Courier New" w:cs="Courier New" w:eastAsia="Courier New" w:hAnsi="Courier New"/>
          <w:sz w:val="16"/>
          <w:szCs w:val="16"/>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profit margins, or both, will suffer.</w:t>
      </w:r>
    </w:p>
    <w:p>
      <w:pPr>
        <w:spacing w:after="0" w:line="190"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If our trademarks or licenses are compromised, then the market for our products could decline.</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own and use a number of trademarks and operate under certain trademark license agreements. We believe that these trademarks have significant value and are instrumental in our ability to create and sustain demand for and market our products. We cannot assure that these trademarks and licensing agreements will remain in effect or that they will be renewed. In addition, any future disputes concerning these trademarks and licenses may cause us to incur significant litigation costs or force us to suspend use of the trademarks. For additional details about our license agreements, you should refer to our Annual Report on Form 10-K for the fiscal year ended February 2, 2002 (which we refer to as the "Form 10-K"), which is incorporated herein by reference.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not be able to successfully expand our operations as planned.</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plan to significantly expand our operations in fiscal 2003 by opening several new stores and we expect to have capital expenditures of approximately $4.0 million. Our expansion plans are discussed in detail in the Form 10-K. Our growth strategy depends on our ability to open and operate new retail stores on a profitable basis. Our operating complexity and management responsibilities will increase as we continue to grow, and we may face challenges in managing our future growth. This anticipated growth will require that we continue to expand and improve our operations, including our distribution infrastructure, and expand, train and manage our employee base. In addition, we may be unable to hire a sufficient number of qualified personnel to work in our new stores or to successfully integrate the stores into our business. Our expansion prospects also depend on a number of other factors, many of which are beyond our control, including, among other things: economic conditions, competition, and consumer preferences. We may not be able to achieve our store expansion goals and, even if we succeed in opening new stores as planned, our newly opened stores may not achieve revenue or profitability levels comparable to those of our existing stores in the time periods estimated by us, or at all.</w:t>
      </w: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Acts of terrorism or war could adversely impact our business.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Additional actual or threatened acts of terrorism or war could negatively impact availability of merchandise or consumer spending trends and may otherwise adversely impact our business. Depending upon the nature of an attack or threatened attack, consumers may be unwilling or unable to go to our retail outlets or may otherwise decrease spending in general. A significant decrease in consumer spending could have a significant adverse impact on our revenues.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In addition, a small portion of our merchandise is imported from other countries. If imported goods become difficult or impossible to bring into the United States, and if we cannot obtain such merchandise from other sources at similar costs, our sales and profit margins may be adversely affected. In the event that commercial transportation is curtailed or substantially delayed, our business may be adversely impacted, as we may have difficulty shipping merchandise to our distribution centers and stores, as well as fulfilling catalog and internet orders.</w:t>
      </w:r>
    </w:p>
    <w:p>
      <w:pPr>
        <w:spacing w:after="0" w:line="189" w:lineRule="exact"/>
        <w:rPr>
          <w:sz w:val="20"/>
          <w:szCs w:val="20"/>
          <w:color w:val="auto"/>
        </w:rPr>
      </w:pPr>
    </w:p>
    <w:p>
      <w:pPr>
        <w:jc w:val="both"/>
        <w:ind w:right="2599" w:firstLine="858"/>
        <w:spacing w:after="0"/>
        <w:rPr>
          <w:sz w:val="20"/>
          <w:szCs w:val="20"/>
          <w:color w:val="auto"/>
        </w:rPr>
      </w:pPr>
      <w:r>
        <w:rPr>
          <w:rFonts w:ascii="Courier New" w:cs="Courier New" w:eastAsia="Courier New" w:hAnsi="Courier New"/>
          <w:sz w:val="16"/>
          <w:szCs w:val="16"/>
          <w:color w:val="auto"/>
        </w:rPr>
        <w:t>In extreme circumstances, we may be required to suspend operations in some or all of our stores, which could have a material adverse impact on our business, financial condition and result of operations.</w:t>
      </w:r>
    </w:p>
    <w:p>
      <w:pPr>
        <w:spacing w:after="0" w:line="190"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Additional issuances of our common stock would cause you to incur immediate dilution.</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In private placement transactions in April and May 2002, we issued shares of common stock, preferred stock convertible into common stock and warrants to purchase common stock. The issuance of common stock upon conversion of the preferred stock and exercise of the warrants and other issuances of additional common stock by us, from time to time, subjects our common stock to the dilutive effects of such issuances.</w:t>
      </w:r>
    </w:p>
    <w:p>
      <w:pPr>
        <w:spacing w:after="0" w:line="187"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Several provisions of our governing law could discourage, delay or prevent transactions that stockholders might otherwise consider favorable.</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It is possible that certain provisions of the Delaware corporate law or, if we change our state of incorporation from Delaware to Nevada (as approved at our annual meeting of stockholders on August 8, 2002), the Nevada corporate law may make it more difficult to accomplish transactions which stockholders may otherwise deem to be in their best interests. Such provisions may be deemed to have an anti-takeover effect and may delay, defer or prevent a tender offer or takeover attempt that might result in the receipt of a premium over the market price for the securities held by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Our Acquisition of Casual Male</w:t>
      </w:r>
    </w:p>
    <w:p>
      <w:pPr>
        <w:spacing w:after="0" w:line="188"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We may fail to realize the cost savings we anticipated from the Casual Male acquisition.</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anticipate significant cost savings following our May 2002 acquisition of substantially all the assets of Casual Male, primarily through headcount reductions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and reducing our profitability.</w:t>
      </w:r>
    </w:p>
    <w:p>
      <w:pPr>
        <w:spacing w:after="0" w:line="191"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We may not be able to successfully integrate the Company's prior operations with the Casual Male operations.</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Following the Casual Male acquisition, we face execution risk on two fronts: (i) successful post-acquisition integration of Casual Male operations and (ii) on-schedule store openings as outlined in our licensing and joint venture agreements with Candie's, Inc. and EcKo Complex, LLC, respectively. It is possible that unforeseen pitfalls during the post-acquisition integration effort could adversely affect our core operation of operating branded outlet stores. In such an event, both sales and profit margins would be adversely impacted.</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440" w:gutter="0" w:footer="0" w:header="0"/>
        </w:sectPr>
      </w:pPr>
    </w:p>
    <w:bookmarkStart w:id="10" w:name="page11"/>
    <w:bookmarkEnd w:id="10"/>
    <w:p>
      <w:pPr>
        <w:jc w:val="both"/>
        <w:ind w:right="2599"/>
        <w:spacing w:after="0" w:line="239" w:lineRule="auto"/>
        <w:rPr>
          <w:sz w:val="20"/>
          <w:szCs w:val="20"/>
          <w:color w:val="auto"/>
        </w:rPr>
      </w:pPr>
      <w:r>
        <w:rPr>
          <w:rFonts w:ascii="Courier New" w:cs="Courier New" w:eastAsia="Courier New" w:hAnsi="Courier New"/>
          <w:sz w:val="16"/>
          <w:szCs w:val="16"/>
          <w:color w:val="auto"/>
        </w:rPr>
        <w:t>We may not succeed in our efforts to manage multiple brands in different channels of distribution.</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Several retailers have had problems executing a corporate strategy aimed at operating multiple brands in multiple channels. We have expertise in the outlet channel of distribution, but the Casual Male acquisition introduces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 of Casual Male's merchandise inventory. Under the current operating model, this function is mostly the responsibility of the branded manufacturer.</w:t>
      </w:r>
    </w:p>
    <w:p>
      <w:pPr>
        <w:spacing w:after="0" w:line="190"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If the size of our target demographic group shrinks, our sales are likely to decrease.</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Research provided to Casual Male by The NPD Group suggests that big and tall men account for approximately 10% of the male population. Casual Male currently targets big and tall men in the 25-54 age group. However, as more and more food retailers begin to compete on the basis of providing more healthy menus, and American pop-culture becomes more health conscious, the size of this target demographic could decrease, resulting in lower sales.</w:t>
      </w:r>
    </w:p>
    <w:p>
      <w:pPr>
        <w:spacing w:after="0" w:line="187"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Covenants with our lenders may prevent management from doing things that would otherwise be in the Company's best interests.</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Third Amended and Restated Loan and Security Agreement that we entered into with Fleet Retail Finance and other lenders on May 14, 2002 contains numerous operating covenants that will limit the discretion of management with respect to certain business matters, and which will place restrictions on, among other things, our ability to incur additional indebtedness, to create liens or other encumbrances, and to make certain payments or investments, loans and guarantees. This could have a material adverse effect on our business, financial condition and results of operation.</w:t>
      </w:r>
    </w:p>
    <w:p>
      <w:pPr>
        <w:spacing w:after="0" w:line="189" w:lineRule="exact"/>
        <w:rPr>
          <w:sz w:val="20"/>
          <w:szCs w:val="20"/>
          <w:color w:val="auto"/>
        </w:rPr>
      </w:pPr>
    </w:p>
    <w:p>
      <w:pPr>
        <w:jc w:val="both"/>
        <w:ind w:right="2599"/>
        <w:spacing w:after="0" w:line="239" w:lineRule="auto"/>
        <w:rPr>
          <w:sz w:val="20"/>
          <w:szCs w:val="20"/>
          <w:color w:val="auto"/>
        </w:rPr>
      </w:pPr>
      <w:r>
        <w:rPr>
          <w:rFonts w:ascii="Courier New" w:cs="Courier New" w:eastAsia="Courier New" w:hAnsi="Courier New"/>
          <w:sz w:val="16"/>
          <w:szCs w:val="16"/>
          <w:color w:val="auto"/>
        </w:rPr>
        <w:t>Changes in the Company's credit profile following the Casual Male acquisition could have a detrimental effect on its relationship with its suppliers.</w:t>
      </w:r>
    </w:p>
    <w:p>
      <w:pPr>
        <w:spacing w:after="0" w:line="189" w:lineRule="exact"/>
        <w:rPr>
          <w:sz w:val="20"/>
          <w:szCs w:val="20"/>
          <w:color w:val="auto"/>
        </w:rPr>
      </w:pPr>
    </w:p>
    <w:p>
      <w:pPr>
        <w:jc w:val="both"/>
        <w:ind w:right="2599" w:firstLine="858"/>
        <w:spacing w:after="0" w:line="260" w:lineRule="auto"/>
        <w:rPr>
          <w:sz w:val="20"/>
          <w:szCs w:val="20"/>
          <w:color w:val="auto"/>
        </w:rPr>
      </w:pPr>
      <w:r>
        <w:rPr>
          <w:rFonts w:ascii="Courier New" w:cs="Courier New" w:eastAsia="Courier New" w:hAnsi="Courier New"/>
          <w:sz w:val="15"/>
          <w:szCs w:val="15"/>
          <w:color w:val="auto"/>
        </w:rPr>
        <w:t>As a result of the additional debt we incurred to finance the Casual Male acquisition, we have become a highly leveraged company. This will have several important effects on our future operations including, but not limited to, (i) a substantial portion of our cash flow from operations must be dedicated to the payment of interest on our indebtedness and will not be available for other purposes, (ii) certain restrictions related to our borrowing may limit our ability to borrow additional funds or dispose of assets and may affect our flexibility in planning for, and reacting to, changes in it business, including other possible acquisition activities, and (iii) our ability to obtain additional financing in the future for working capital, capital expenditures, acquisitions, general corporate or other purposes may be impaired.</w:t>
      </w:r>
    </w:p>
    <w:p>
      <w:pPr>
        <w:spacing w:after="0" w:line="176"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Based on the foregoing, our credit risk profile has changed from that of a historically unleveraged company to that of a highly leveraged company. As such, certain suppliers may change the terms under which they are willing to extend trade credit to us. In the event that suppliers reduce credit terms or place us on a cash-on-delivery (C.O.D.) basis, our working capital liquidity could be substantially reduced.</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7" w:right="1440" w:bottom="1440" w:gutter="0" w:footer="0" w:header="0"/>
        </w:sectPr>
      </w:pPr>
    </w:p>
    <w:bookmarkStart w:id="11" w:name="page12"/>
    <w:bookmarkEnd w:id="11"/>
    <w:p>
      <w:pPr>
        <w:ind w:left="2580"/>
        <w:spacing w:after="0"/>
        <w:rPr>
          <w:sz w:val="20"/>
          <w:szCs w:val="20"/>
          <w:color w:val="auto"/>
        </w:rPr>
      </w:pPr>
      <w:r>
        <w:rPr>
          <w:rFonts w:ascii="Courier New" w:cs="Courier New" w:eastAsia="Courier New" w:hAnsi="Courier New"/>
          <w:sz w:val="16"/>
          <w:szCs w:val="16"/>
          <w:color w:val="auto"/>
        </w:rPr>
        <w:t>FORWARD-LOOKING STATEMENTS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This prospectus contains forward looking statements, which include statements based on our current expectations, assumptions, estimates and projections about our business and our industry. The nature of forward-looking information is that such information involves assumptions, risks and uncertainties. Forward-looking information requires our management to make assumptions, estimates, forecasts and projections regarding our future results as well as the future effectiveness of our strategic plans and future operational decisions. Forward-looking statements made by us or on our behalf are subject to the risk that the forecasts, projections, and expectations of management, or assumptions underlying such forecasts, projections and expectations, may become inaccurate. Accordingly, our future financial positions, the actual results of our operations and the implementation of our plans and operations may differ materially from forward-looking statements made by us or on our behalf.</w:t>
      </w:r>
    </w:p>
    <w:p>
      <w:pPr>
        <w:spacing w:after="0" w:line="192"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use words such as "believes," "anticipates," "expects," "intends," "plans" and similar expressions to identify forward-looking statements, but these are not the exclusive means of identifying these statements. Actual results could differ materially from those projected in any forward-looking statements for the reasons detailed in "Risk Factors" or elsewhere in this prospectus. Before you decide to invest in our common stock, you should be aware that if any of the events described in the "Risk Factors" section and elsewhere in this prospectus occur, they could have an adverse affect on our business. We assume no obligation to update any forward-looking statement.</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jc w:val="both"/>
        <w:ind w:right="2599" w:firstLine="858"/>
        <w:spacing w:after="0" w:line="263" w:lineRule="auto"/>
        <w:rPr>
          <w:sz w:val="20"/>
          <w:szCs w:val="20"/>
          <w:color w:val="auto"/>
        </w:rPr>
      </w:pPr>
      <w:r>
        <w:rPr>
          <w:rFonts w:ascii="Courier New" w:cs="Courier New" w:eastAsia="Courier New" w:hAnsi="Courier New"/>
          <w:sz w:val="15"/>
          <w:szCs w:val="15"/>
          <w:color w:val="auto"/>
        </w:rPr>
        <w:t>We presently intend to retain earnings for working capital and to fund capital expenditures. Accordingly, there is no present intention to pay dividends on any shares of our common stock. In addition, the Third Amended and Restated Loan and Security Agreement further restricts the payment of dividends.</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jc w:val="both"/>
        <w:ind w:right="2599" w:firstLine="858"/>
        <w:spacing w:after="0" w:line="239" w:lineRule="auto"/>
        <w:rPr>
          <w:sz w:val="20"/>
          <w:szCs w:val="20"/>
          <w:color w:val="auto"/>
        </w:rPr>
      </w:pPr>
      <w:r>
        <w:rPr>
          <w:rFonts w:ascii="Courier New" w:cs="Courier New" w:eastAsia="Courier New" w:hAnsi="Courier New"/>
          <w:sz w:val="16"/>
          <w:szCs w:val="16"/>
          <w:color w:val="auto"/>
        </w:rPr>
        <w:t>We will not receive any proceeds from any sales of the shares offered pursuant to this prospectus.</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SELLING STOCKHOLDERS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In May 2002, we issued to certain investors who are selling stockholders hereunder a total of 180,162 shares of series B preferred stock and 1,379,300 shares of common stock, and we have issued to the placement agent for certain such transactions warrants to purchase 500,000 shares of common stock at an exercise price of $4.25 per share. Each share of series B preferred stock was automatically converted into 100 shares of common stock upon approval by our stockholders of the proposal to approve the issuance of common stock upon conversion of the series B preferred stock at the annual meeting of our stockholders held on August 8, 2002. These transactions and the process of stockholder approval are described more fully in our Current Report on Form 8-K filed on May 23, 2002, as amended on May 23, 2002 and June 14, 2002, and our definitive proxy statement filed on July 8, 2002, all of which are incorporated herein by reference.</w:t>
      </w:r>
    </w:p>
    <w:p>
      <w:pPr>
        <w:spacing w:after="0" w:line="192" w:lineRule="exact"/>
        <w:rPr>
          <w:sz w:val="20"/>
          <w:szCs w:val="20"/>
          <w:color w:val="auto"/>
        </w:rPr>
      </w:pPr>
    </w:p>
    <w:p>
      <w:pPr>
        <w:jc w:val="both"/>
        <w:ind w:right="2599" w:firstLine="858"/>
        <w:spacing w:after="0" w:line="241" w:lineRule="auto"/>
        <w:rPr>
          <w:sz w:val="20"/>
          <w:szCs w:val="20"/>
          <w:color w:val="auto"/>
        </w:rPr>
      </w:pPr>
      <w:r>
        <w:rPr>
          <w:rFonts w:ascii="Courier New" w:cs="Courier New" w:eastAsia="Courier New" w:hAnsi="Courier New"/>
          <w:sz w:val="16"/>
          <w:szCs w:val="16"/>
          <w:color w:val="auto"/>
        </w:rPr>
        <w:t>Also in April and May 2002, in connection with the private placement of our senior subordinated notes, we issued certain purchasers of such notes who are selling stockholders hereunder detachable warrants to purchase an aggregate of 2,891,471 shares of common stock with initial exercise prices ranging from $0.01 to $8.50 per share.</w:t>
      </w:r>
    </w:p>
    <w:p>
      <w:pPr>
        <w:spacing w:after="0" w:line="190"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following table sets forth information as of June 3, 2002, regarding the beneficial ownership of shares of common stock by the selling stockholders. The table presents the total number of shares of common stock owned by the selling stockholders prior to the offering contemplated by this prospectus, the total number of shares included in the offering and, assuming the selling stockholders will offer all of the shares listed in the table below pursuant to the offering contemplated by this prospectus, the total number of shares of common stock owned by the selling stockholders after completion of the offering. This prospectus offers, and the registration statement of which this prospectus forms a part registers, only the shares which are listed in the table below in the column titled "Number of shares of Offered Common Stock." Selling stockholders may sell only those shares pursuant to the offering. The presentation is based on (i) 15,989,343 shares of our common stock that were reported as outstanding on June 3, 2002, (ii)</w:t>
      </w:r>
    </w:p>
    <w:p>
      <w:pPr>
        <w:spacing w:after="0" w:line="200" w:lineRule="exact"/>
        <w:rPr>
          <w:sz w:val="20"/>
          <w:szCs w:val="20"/>
          <w:color w:val="auto"/>
        </w:r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48" w:right="1440" w:bottom="938" w:gutter="0" w:footer="0" w:header="0"/>
        </w:sectPr>
      </w:pPr>
    </w:p>
    <w:bookmarkStart w:id="12" w:name="page13"/>
    <w:bookmarkEnd w:id="12"/>
    <w:p>
      <w:pPr>
        <w:jc w:val="both"/>
        <w:ind w:right="3900"/>
        <w:spacing w:after="0" w:line="265" w:lineRule="auto"/>
        <w:rPr>
          <w:sz w:val="20"/>
          <w:szCs w:val="20"/>
          <w:color w:val="auto"/>
        </w:rPr>
      </w:pPr>
      <w:r>
        <w:rPr>
          <w:rFonts w:ascii="Courier New" w:cs="Courier New" w:eastAsia="Courier New" w:hAnsi="Courier New"/>
          <w:sz w:val="15"/>
          <w:szCs w:val="15"/>
          <w:color w:val="auto"/>
        </w:rPr>
        <w:t>18,016,200 shares of our common stock issued upon conversion of the series B preferred stock on August 8, 2002 and (iii) 4,531,471 shares of our common stock anticipated to be issued or issuable upon exercise of warrants and options.</w:t>
      </w:r>
    </w:p>
    <w:p>
      <w:pPr>
        <w:spacing w:after="0" w:line="171" w:lineRule="exact"/>
        <w:rPr>
          <w:sz w:val="20"/>
          <w:szCs w:val="20"/>
          <w:color w:val="auto"/>
        </w:rPr>
      </w:pPr>
    </w:p>
    <w:p>
      <w:pPr>
        <w:jc w:val="both"/>
        <w:ind w:right="3900" w:firstLine="858"/>
        <w:spacing w:after="0" w:line="241" w:lineRule="auto"/>
        <w:rPr>
          <w:sz w:val="20"/>
          <w:szCs w:val="20"/>
          <w:color w:val="auto"/>
        </w:rPr>
      </w:pPr>
      <w:r>
        <w:rPr>
          <w:rFonts w:ascii="Courier New" w:cs="Courier New" w:eastAsia="Courier New" w:hAnsi="Courier New"/>
          <w:sz w:val="16"/>
          <w:szCs w:val="16"/>
          <w:color w:val="auto"/>
        </w:rPr>
        <w:t>The following table and notes following the table were prepared based on information provided to us by the listed selling stockholders. Other than as set forth in the footnotes to the following table, the selling stockholders have not had any material relationship with Casual Male Retail Group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4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4520" w:type="dxa"/>
            <w:vAlign w:val="bottom"/>
          </w:tcPr>
          <w:p>
            <w:pPr>
              <w:spacing w:after="0"/>
              <w:rPr>
                <w:sz w:val="15"/>
                <w:szCs w:val="15"/>
                <w:color w:val="auto"/>
              </w:rPr>
            </w:pPr>
          </w:p>
        </w:tc>
        <w:tc>
          <w:tcPr>
            <w:tcW w:w="1920" w:type="dxa"/>
            <w:vAlign w:val="bottom"/>
          </w:tcPr>
          <w:p>
            <w:pPr>
              <w:jc w:val="center"/>
              <w:ind w:left="21"/>
              <w:spacing w:after="0"/>
              <w:rPr>
                <w:sz w:val="20"/>
                <w:szCs w:val="20"/>
                <w:color w:val="auto"/>
              </w:rPr>
            </w:pPr>
            <w:r>
              <w:rPr>
                <w:rFonts w:ascii="Courier New" w:cs="Courier New" w:eastAsia="Courier New" w:hAnsi="Courier New"/>
                <w:sz w:val="16"/>
                <w:szCs w:val="16"/>
                <w:color w:val="auto"/>
              </w:rPr>
              <w:t>Number of shares</w:t>
            </w:r>
          </w:p>
        </w:tc>
        <w:tc>
          <w:tcPr>
            <w:tcW w:w="1860" w:type="dxa"/>
            <w:vAlign w:val="bottom"/>
          </w:tcPr>
          <w:p>
            <w:pPr>
              <w:ind w:left="140"/>
              <w:spacing w:after="0"/>
              <w:rPr>
                <w:sz w:val="20"/>
                <w:szCs w:val="20"/>
                <w:color w:val="auto"/>
              </w:rPr>
            </w:pPr>
            <w:r>
              <w:rPr>
                <w:rFonts w:ascii="Courier New" w:cs="Courier New" w:eastAsia="Courier New" w:hAnsi="Courier New"/>
                <w:sz w:val="16"/>
                <w:szCs w:val="16"/>
                <w:color w:val="auto"/>
              </w:rPr>
              <w:t>Number of shares</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Number of shares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 owned</w:t>
            </w:r>
          </w:p>
        </w:tc>
      </w:tr>
      <w:tr>
        <w:trPr>
          <w:trHeight w:val="183"/>
        </w:trPr>
        <w:tc>
          <w:tcPr>
            <w:tcW w:w="4520" w:type="dxa"/>
            <w:vAlign w:val="bottom"/>
          </w:tcPr>
          <w:p>
            <w:pPr>
              <w:spacing w:after="0"/>
              <w:rPr>
                <w:sz w:val="15"/>
                <w:szCs w:val="15"/>
                <w:color w:val="auto"/>
              </w:rPr>
            </w:pPr>
          </w:p>
        </w:tc>
        <w:tc>
          <w:tcPr>
            <w:tcW w:w="19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owned prior to</w:t>
            </w:r>
          </w:p>
        </w:tc>
        <w:tc>
          <w:tcPr>
            <w:tcW w:w="1860" w:type="dxa"/>
            <w:vAlign w:val="bottom"/>
          </w:tcPr>
          <w:p>
            <w:pPr>
              <w:ind w:left="140"/>
              <w:spacing w:after="0"/>
              <w:rPr>
                <w:sz w:val="20"/>
                <w:szCs w:val="20"/>
                <w:color w:val="auto"/>
              </w:rPr>
            </w:pPr>
            <w:r>
              <w:rPr>
                <w:rFonts w:ascii="Courier New" w:cs="Courier New" w:eastAsia="Courier New" w:hAnsi="Courier New"/>
                <w:sz w:val="16"/>
                <w:szCs w:val="16"/>
                <w:color w:val="auto"/>
              </w:rPr>
              <w:t>of offered common</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owned subsequent</w:t>
            </w:r>
          </w:p>
        </w:tc>
        <w:tc>
          <w:tcPr>
            <w:tcW w:w="15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subsequent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Selling Stockholder</w:t>
            </w:r>
          </w:p>
        </w:tc>
        <w:tc>
          <w:tcPr>
            <w:tcW w:w="192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the offering</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stock</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 the offering</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to the offering</w:t>
            </w:r>
          </w:p>
        </w:tc>
      </w:tr>
      <w:tr>
        <w:trPr>
          <w:trHeight w:val="367"/>
        </w:trPr>
        <w:tc>
          <w:tcPr>
            <w:tcW w:w="4520" w:type="dxa"/>
            <w:vAlign w:val="bottom"/>
          </w:tcPr>
          <w:p>
            <w:pPr>
              <w:spacing w:after="0"/>
              <w:rPr>
                <w:sz w:val="20"/>
                <w:szCs w:val="20"/>
                <w:color w:val="auto"/>
              </w:rPr>
            </w:pPr>
            <w:r>
              <w:rPr>
                <w:rFonts w:ascii="Courier New" w:cs="Courier New" w:eastAsia="Courier New" w:hAnsi="Courier New"/>
                <w:sz w:val="16"/>
                <w:szCs w:val="16"/>
                <w:color w:val="auto"/>
              </w:rPr>
              <w:t>300 Plaza Drive Associates</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Almarc Trading Corp. Defined Benefit Plan</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AMT Asset Management,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Barclays Global Investors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Baron Asset Fund on behalf of</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3,760,353</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3,760,353</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the Small Cap Fund Series(1)</w:t>
            </w:r>
          </w:p>
        </w:tc>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Benchmark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Brahman Bull Fund,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148,200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148,200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Brahman C.P.F.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66,800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Brahman Institutional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52,200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52,200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Brahman Partners II Offshore,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94,200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94,200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Brahman Partners II,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Brahman Partners III,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The Branagh Revocable Trust, Peter W. Branagh</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ind w:left="480"/>
              <w:spacing w:after="0"/>
              <w:rPr>
                <w:sz w:val="20"/>
                <w:szCs w:val="20"/>
                <w:color w:val="auto"/>
              </w:rPr>
            </w:pPr>
            <w:r>
              <w:rPr>
                <w:rFonts w:ascii="Courier New" w:cs="Courier New" w:eastAsia="Courier New" w:hAnsi="Courier New"/>
                <w:sz w:val="16"/>
                <w:szCs w:val="16"/>
                <w:color w:val="auto"/>
              </w:rPr>
              <w:t>and Ramona Y. Branagh, Trustees</w:t>
            </w:r>
          </w:p>
        </w:tc>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 Retail,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15,700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5,100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Bric6,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225,200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218,400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6,800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Bricoleur Enhanced,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219,400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219,300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Bricoleur Managed Trust</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48,900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48,900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Bricoleur Offshore,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361,900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361,000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900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Bricoleur Partners II,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305,500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304,700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800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Bricoleur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238,500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12,400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Bricoleur-Plus Fund,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13,400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2,800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Allen Brill</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7,500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Brook Road Nominee Trust</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Buckingham RAF Int'l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110,600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110,600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Buckingham RAF Partners II,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55,600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3,800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Buckingham RAF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720,900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661,200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59,700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BY Partners,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289,800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289,800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Carafe Investment Co.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397,000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297,000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Clark Partners I, L.P. (2)</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2,346,359</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2,346,359</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Stewart L. Cohen</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Cragswood,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18,900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Kenneth C. Cummins (3)</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69,100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39,100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Walter Fischer</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Glenhill Capital, LP</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1,129,500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1,129,500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Glenhill Capital Overseas Partners Ltd.</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282,400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282,400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Howard Gonchar</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8,000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Richard W. Greene IRA</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20" w:type="dxa"/>
            <w:vAlign w:val="bottom"/>
          </w:tcPr>
          <w:p>
            <w:pPr>
              <w:spacing w:after="0"/>
              <w:rPr>
                <w:sz w:val="20"/>
                <w:szCs w:val="20"/>
                <w:color w:val="auto"/>
              </w:rPr>
            </w:pPr>
            <w:r>
              <w:rPr>
                <w:rFonts w:ascii="Courier New" w:cs="Courier New" w:eastAsia="Courier New" w:hAnsi="Courier New"/>
                <w:sz w:val="16"/>
                <w:szCs w:val="16"/>
                <w:color w:val="auto"/>
              </w:rPr>
              <w:t>Jon D. Gruber &amp; Linda W. Gruber</w:t>
            </w:r>
          </w:p>
        </w:tc>
        <w:tc>
          <w:tcPr>
            <w:tcW w:w="19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58,900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550"/>
        </w:trPr>
        <w:tc>
          <w:tcPr>
            <w:tcW w:w="4520" w:type="dxa"/>
            <w:vAlign w:val="bottom"/>
          </w:tcPr>
          <w:p>
            <w:pPr>
              <w:ind w:left="3720"/>
              <w:spacing w:after="0"/>
              <w:rPr>
                <w:sz w:val="20"/>
                <w:szCs w:val="20"/>
                <w:color w:val="auto"/>
              </w:rPr>
            </w:pPr>
            <w:r>
              <w:rPr>
                <w:rFonts w:ascii="Courier New" w:cs="Courier New" w:eastAsia="Courier New" w:hAnsi="Courier New"/>
                <w:sz w:val="16"/>
                <w:szCs w:val="16"/>
                <w:color w:val="auto"/>
              </w:rPr>
              <w:t>10</w:t>
            </w: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520"/>
          </w:cols>
          <w:pgMar w:left="240" w:top="667" w:right="139" w:bottom="1440" w:gutter="0" w:footer="0" w:header="0"/>
        </w:sectPr>
      </w:pPr>
    </w:p>
    <w:bookmarkStart w:id="13" w:name="page14"/>
    <w:bookmarkEnd w:id="13"/>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46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46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Number of shares</w:t>
            </w:r>
          </w:p>
        </w:tc>
        <w:tc>
          <w:tcPr>
            <w:tcW w:w="1860" w:type="dxa"/>
            <w:vAlign w:val="bottom"/>
          </w:tcPr>
          <w:p>
            <w:pPr>
              <w:ind w:left="140"/>
              <w:spacing w:after="0"/>
              <w:rPr>
                <w:sz w:val="20"/>
                <w:szCs w:val="20"/>
                <w:color w:val="auto"/>
              </w:rPr>
            </w:pPr>
            <w:r>
              <w:rPr>
                <w:rFonts w:ascii="Courier New" w:cs="Courier New" w:eastAsia="Courier New" w:hAnsi="Courier New"/>
                <w:sz w:val="16"/>
                <w:szCs w:val="16"/>
                <w:color w:val="auto"/>
              </w:rPr>
              <w:t>Number of shares</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Number of shares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 owned</w:t>
            </w:r>
          </w:p>
        </w:tc>
      </w:tr>
      <w:tr>
        <w:trPr>
          <w:trHeight w:val="183"/>
        </w:trPr>
        <w:tc>
          <w:tcPr>
            <w:tcW w:w="46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owned prior to</w:t>
            </w:r>
          </w:p>
        </w:tc>
        <w:tc>
          <w:tcPr>
            <w:tcW w:w="1860" w:type="dxa"/>
            <w:vAlign w:val="bottom"/>
          </w:tcPr>
          <w:p>
            <w:pPr>
              <w:ind w:left="140"/>
              <w:spacing w:after="0"/>
              <w:rPr>
                <w:sz w:val="20"/>
                <w:szCs w:val="20"/>
                <w:color w:val="auto"/>
              </w:rPr>
            </w:pPr>
            <w:r>
              <w:rPr>
                <w:rFonts w:ascii="Courier New" w:cs="Courier New" w:eastAsia="Courier New" w:hAnsi="Courier New"/>
                <w:sz w:val="16"/>
                <w:szCs w:val="16"/>
                <w:color w:val="auto"/>
              </w:rPr>
              <w:t>of offered common</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owned subsequent</w:t>
            </w:r>
          </w:p>
        </w:tc>
        <w:tc>
          <w:tcPr>
            <w:tcW w:w="15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subsequent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Selling Stockholder</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8"/>
              </w:rPr>
              <w:t>the offering</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stock</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 the offering</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to the offering</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Gruber &amp; McBaine International</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125,800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121,800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Patrick M. Guarini</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Guerrilla IRA Partners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Guerrilla Partners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Halpern Capital DBA UVEST Investment Services(4)</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Dennis R. Hernreich (5)</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109,268</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49,268</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Hocky Capital, LP</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227,100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227,100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Hocky Capital QP LP</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224,800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224,800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Allison Holtzman IRA, Bear Stearns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480"/>
              <w:spacing w:after="0"/>
              <w:rPr>
                <w:sz w:val="20"/>
                <w:szCs w:val="20"/>
                <w:color w:val="auto"/>
              </w:rPr>
            </w:pPr>
            <w:r>
              <w:rPr>
                <w:rFonts w:ascii="Courier New" w:cs="Courier New" w:eastAsia="Courier New" w:hAnsi="Courier New"/>
                <w:sz w:val="16"/>
                <w:szCs w:val="16"/>
                <w:color w:val="auto"/>
              </w:rPr>
              <w:t>Securities Corp. Custodian</w:t>
            </w: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 Trustee for Allison Holtzman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 Trustee for Olivia Garcia</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 Trustee for Percy Holtzman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 Trustee for Rivers Holtzman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 Trustee for Sterling Garcia</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7,200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Marc L. Holtzman, Trustee for Temple Holtzman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Steven Holtzman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Seymour Holtzman (6)</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4,050,739</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2,148,280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Interstate Properties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Jewelcor Management, Inc. (7)</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3,682,974</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1,602,459</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2,080,515</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5.4%</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JLF Offshore Fund, Ltd.</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795,000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JLF Partners I, LP</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616,800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616,800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Warren B. Kanders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Burton I. Koffman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Milton Koffman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Ruthanne Koffman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Lagunitas Partners LP</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422,700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407,700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15,000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David A. Levin (8)</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497,667</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465,500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32,167</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Carl M. Lieberman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45,000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Lynch Childrens Trust FBO Anne Lynch</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12,000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Lynch Childrens Trust FBO Elizabeth Lynch</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12,000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Lynch Childrens Trust FBO Mary Lynch</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12,000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Peter and Carolyn Lynch JWROS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132,700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37,700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95,000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The Lynch Foundation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54,500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29,500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25,000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Peter S. Lynch Charitable Lead Annuity Trust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5,900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Peter S. Lynch Charitable Remainder Trust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60,100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47,100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13,000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Peter S. Lynch Charitable Unitrust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Allan R. Lyons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Paul R. Mancia</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340,000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Peter R. McMullin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Metrowest Ent. 401(K) Profit Sharing Plan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15,000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ind w:left="480"/>
              <w:spacing w:after="0"/>
              <w:rPr>
                <w:sz w:val="20"/>
                <w:szCs w:val="20"/>
                <w:color w:val="auto"/>
              </w:rPr>
            </w:pPr>
            <w:r>
              <w:rPr>
                <w:rFonts w:ascii="Courier New" w:cs="Courier New" w:eastAsia="Courier New" w:hAnsi="Courier New"/>
                <w:sz w:val="16"/>
                <w:szCs w:val="16"/>
                <w:color w:val="auto"/>
              </w:rPr>
              <w:t>FBO Carl M. Lieberman</w:t>
            </w:r>
          </w:p>
        </w:tc>
        <w:tc>
          <w:tcPr>
            <w:tcW w:w="17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Jeremiah P. Murphy, Jr. (9)</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94,326</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69,326</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New Valu, Inc.</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Robert Patron (10)</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Joseph Pennacchio (11)</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121,212</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71,212</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550"/>
        </w:trPr>
        <w:tc>
          <w:tcPr>
            <w:tcW w:w="4680" w:type="dxa"/>
            <w:vAlign w:val="bottom"/>
          </w:tcPr>
          <w:p>
            <w:pPr>
              <w:ind w:left="3720"/>
              <w:spacing w:after="0"/>
              <w:rPr>
                <w:sz w:val="20"/>
                <w:szCs w:val="20"/>
                <w:color w:val="auto"/>
              </w:rPr>
            </w:pPr>
            <w:r>
              <w:rPr>
                <w:rFonts w:ascii="Courier New" w:cs="Courier New" w:eastAsia="Courier New" w:hAnsi="Courier New"/>
                <w:sz w:val="16"/>
                <w:szCs w:val="16"/>
                <w:color w:val="auto"/>
              </w:rPr>
              <w:t>11</w:t>
            </w:r>
          </w:p>
        </w:tc>
        <w:tc>
          <w:tcPr>
            <w:tcW w:w="1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520"/>
          </w:cols>
          <w:pgMar w:left="240" w:top="1440" w:right="139" w:bottom="1440" w:gutter="0" w:footer="0" w:header="0"/>
        </w:sectPr>
      </w:pPr>
    </w:p>
    <w:bookmarkStart w:id="14" w:name="page15"/>
    <w:bookmarkEnd w:id="14"/>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Percentage of</w:t>
            </w:r>
          </w:p>
        </w:tc>
      </w:tr>
      <w:tr>
        <w:trPr>
          <w:trHeight w:val="183"/>
        </w:trPr>
        <w:tc>
          <w:tcPr>
            <w:tcW w:w="4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outstanding</w:t>
            </w:r>
          </w:p>
        </w:tc>
      </w:tr>
      <w:tr>
        <w:trPr>
          <w:trHeight w:val="183"/>
        </w:trPr>
        <w:tc>
          <w:tcPr>
            <w:tcW w:w="45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Number of shares</w:t>
            </w:r>
          </w:p>
        </w:tc>
        <w:tc>
          <w:tcPr>
            <w:tcW w:w="1860" w:type="dxa"/>
            <w:vAlign w:val="bottom"/>
          </w:tcPr>
          <w:p>
            <w:pPr>
              <w:ind w:left="140"/>
              <w:spacing w:after="0"/>
              <w:rPr>
                <w:sz w:val="20"/>
                <w:szCs w:val="20"/>
                <w:color w:val="auto"/>
              </w:rPr>
            </w:pPr>
            <w:r>
              <w:rPr>
                <w:rFonts w:ascii="Courier New" w:cs="Courier New" w:eastAsia="Courier New" w:hAnsi="Courier New"/>
                <w:sz w:val="16"/>
                <w:szCs w:val="16"/>
                <w:color w:val="auto"/>
              </w:rPr>
              <w:t>Number of shares</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Number of shares</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 owned</w:t>
            </w:r>
          </w:p>
        </w:tc>
      </w:tr>
      <w:tr>
        <w:trPr>
          <w:trHeight w:val="183"/>
        </w:trPr>
        <w:tc>
          <w:tcPr>
            <w:tcW w:w="458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w w:val="99"/>
              </w:rPr>
              <w:t>owned prior to</w:t>
            </w:r>
          </w:p>
        </w:tc>
        <w:tc>
          <w:tcPr>
            <w:tcW w:w="1860" w:type="dxa"/>
            <w:vAlign w:val="bottom"/>
          </w:tcPr>
          <w:p>
            <w:pPr>
              <w:ind w:left="140"/>
              <w:spacing w:after="0"/>
              <w:rPr>
                <w:sz w:val="20"/>
                <w:szCs w:val="20"/>
                <w:color w:val="auto"/>
              </w:rPr>
            </w:pPr>
            <w:r>
              <w:rPr>
                <w:rFonts w:ascii="Courier New" w:cs="Courier New" w:eastAsia="Courier New" w:hAnsi="Courier New"/>
                <w:sz w:val="16"/>
                <w:szCs w:val="16"/>
                <w:color w:val="auto"/>
              </w:rPr>
              <w:t>of offered common</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owned subsequent</w:t>
            </w:r>
          </w:p>
        </w:tc>
        <w:tc>
          <w:tcPr>
            <w:tcW w:w="15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subsequent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Selling Stockholder</w:t>
            </w: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w w:val="98"/>
              </w:rPr>
              <w:t>the offering</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stock</w:t>
            </w: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 the offering</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to the offering</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Permal U.S. Opportunities Fund, Ltd.</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565,000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565,000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Pollack Investment Partnership,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Pollat, Evans &amp; Co. Inc.</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George T. Porter, Jr. (12)</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92,906</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55,000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37,906</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Prism Partners I,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Prism Partners II Offshore Fund</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Putnam Investment Funds- Putnam Small</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989,600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989,600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480"/>
              <w:spacing w:after="0"/>
              <w:rPr>
                <w:sz w:val="20"/>
                <w:szCs w:val="20"/>
                <w:color w:val="auto"/>
              </w:rPr>
            </w:pPr>
            <w:r>
              <w:rPr>
                <w:rFonts w:ascii="Courier New" w:cs="Courier New" w:eastAsia="Courier New" w:hAnsi="Courier New"/>
                <w:sz w:val="16"/>
                <w:szCs w:val="16"/>
                <w:color w:val="auto"/>
              </w:rPr>
              <w:t>Cap Value Fund</w:t>
            </w:r>
          </w:p>
        </w:tc>
        <w:tc>
          <w:tcPr>
            <w:tcW w:w="1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Putnam Variable Trust- Putnam VT Small</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377,000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377,000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480"/>
              <w:spacing w:after="0"/>
              <w:rPr>
                <w:sz w:val="20"/>
                <w:szCs w:val="20"/>
                <w:color w:val="auto"/>
              </w:rPr>
            </w:pPr>
            <w:r>
              <w:rPr>
                <w:rFonts w:ascii="Courier New" w:cs="Courier New" w:eastAsia="Courier New" w:hAnsi="Courier New"/>
                <w:sz w:val="16"/>
                <w:szCs w:val="16"/>
                <w:color w:val="auto"/>
              </w:rPr>
              <w:t>Cap Value Fund</w:t>
            </w:r>
          </w:p>
        </w:tc>
        <w:tc>
          <w:tcPr>
            <w:tcW w:w="1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Putnam World Trust II: Putnam U.S. Small</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12,700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12,700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ind w:left="480"/>
              <w:spacing w:after="0"/>
              <w:rPr>
                <w:sz w:val="20"/>
                <w:szCs w:val="20"/>
                <w:color w:val="auto"/>
              </w:rPr>
            </w:pPr>
            <w:r>
              <w:rPr>
                <w:rFonts w:ascii="Courier New" w:cs="Courier New" w:eastAsia="Courier New" w:hAnsi="Courier New"/>
                <w:sz w:val="16"/>
                <w:szCs w:val="16"/>
                <w:color w:val="auto"/>
              </w:rPr>
              <w:t>Cap Value Equity Fund (Dublin)</w:t>
            </w:r>
          </w:p>
        </w:tc>
        <w:tc>
          <w:tcPr>
            <w:tcW w:w="1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Reservoir Capital Master Fund,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67,600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67,600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Reservoir Capital Partners,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403,100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403,100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Eugene Roth</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111,500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61,500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Estate of Marvin Roth</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Phillip W. Roth</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60,000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Sonia Seidman</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Seidman &amp; Associates, LLC</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34,000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Seidman Investment Partnership II,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Seidman Investment Partnership,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John J. Sweeney (13)</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20,668</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17,168</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Tucker Anthony Incorporated (14)</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50,000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Hugh Sheldon Unger, Lincoln Trust TTEE IRA</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18,600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6,100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Jeffrey and Sheryl Unger (15)</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43,650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33,650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Michael H. Weiss</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55,800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5,800</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Weiss, Peck &amp; Greer, L.L.C.</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1,529,500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1,529,500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Whiffletree Partners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Willow Creek Capital Partners,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Willow Creek Offshore Fund</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WPG Tudor Fund</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235,300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Wynnefield Partners Small Cap Value,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126,300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126,300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Wynnefield Partners Small Cap Value, LP I</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181,800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181,800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Wynnefield Small Cap Value Offshore Fund, Ltd.</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92,000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Zaxis Equity Neutral,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78,500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78,500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Zaxis Offshore Limited</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571,500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571,500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Zaxis Partners, L.P.</w:t>
            </w: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138,000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138,000</w:t>
            </w:r>
          </w:p>
        </w:tc>
        <w:tc>
          <w:tcPr>
            <w:tcW w:w="17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Less than 1%.</w:t>
      </w:r>
    </w:p>
    <w:p>
      <w:pPr>
        <w:spacing w:after="0" w:line="188" w:lineRule="exact"/>
        <w:rPr>
          <w:sz w:val="20"/>
          <w:szCs w:val="20"/>
          <w:color w:val="auto"/>
        </w:rPr>
      </w:pPr>
    </w:p>
    <w:p>
      <w:pPr>
        <w:ind w:left="482" w:right="3900" w:hanging="482"/>
        <w:spacing w:after="0" w:line="239" w:lineRule="auto"/>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1,407,353 shares of common stock issuable upon exercise of warrants.</w:t>
      </w:r>
    </w:p>
    <w:p>
      <w:pPr>
        <w:spacing w:after="0" w:line="189" w:lineRule="exact"/>
        <w:rPr>
          <w:rFonts w:ascii="Courier New" w:cs="Courier New" w:eastAsia="Courier New" w:hAnsi="Courier New"/>
          <w:sz w:val="16"/>
          <w:szCs w:val="16"/>
          <w:color w:val="auto"/>
        </w:rPr>
      </w:pPr>
    </w:p>
    <w:p>
      <w:pPr>
        <w:jc w:val="both"/>
        <w:ind w:left="482" w:right="3900" w:hanging="482"/>
        <w:spacing w:after="0" w:line="241" w:lineRule="auto"/>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934,559 shares of common stock issuable upon exercise of warrants. Stephen M. Duff, who is Treasurer of Ninth Floor Corporation, the general partner of Clark Partners I, L.P., and Senior Investment Manager at The Clark Estates, Inc., has been a member of the Board of Directors of the Company since May 14, 2002.</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1522"/>
          </w:cols>
          <w:pgMar w:left="238" w:top="1215" w:right="139" w:bottom="1440" w:gutter="0" w:footer="0" w:header="0"/>
        </w:sectPr>
      </w:pPr>
    </w:p>
    <w:bookmarkStart w:id="15" w:name="page16"/>
    <w:bookmarkEnd w:id="15"/>
    <w:p>
      <w:pPr>
        <w:jc w:val="both"/>
        <w:ind w:left="482" w:right="2599"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Kenneth C. Cummins has been a legal consultant to the Company since November 12, 1996. Includes 20,000 shares of common stock issuable upon exercise of stock options exercisable within 60 days.</w:t>
      </w:r>
    </w:p>
    <w:p>
      <w:pPr>
        <w:spacing w:after="0" w:line="189"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500,000 shares of common stock issuable upon exercise of warrants.</w:t>
      </w:r>
    </w:p>
    <w:p>
      <w:pPr>
        <w:spacing w:after="0" w:line="196" w:lineRule="exact"/>
        <w:rPr>
          <w:rFonts w:ascii="Courier New" w:cs="Courier New" w:eastAsia="Courier New" w:hAnsi="Courier New"/>
          <w:sz w:val="15"/>
          <w:szCs w:val="15"/>
          <w:color w:val="auto"/>
        </w:rPr>
      </w:pPr>
    </w:p>
    <w:p>
      <w:pPr>
        <w:jc w:val="both"/>
        <w:ind w:left="482" w:right="2599" w:hanging="482"/>
        <w:spacing w:after="0" w:line="241"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Dennis R. Hernreich has been Senior Vice President, Chief Financial Officer and Treasurer of the Company since September 5, 2000. Includes 61,668 shares of common stock issuable upon exercise of options exercisable within 60 days.</w:t>
      </w:r>
    </w:p>
    <w:p>
      <w:pPr>
        <w:spacing w:after="0" w:line="189" w:lineRule="exact"/>
        <w:rPr>
          <w:rFonts w:ascii="Courier New" w:cs="Courier New" w:eastAsia="Courier New" w:hAnsi="Courier New"/>
          <w:sz w:val="16"/>
          <w:szCs w:val="16"/>
          <w:color w:val="auto"/>
        </w:rPr>
      </w:pPr>
    </w:p>
    <w:p>
      <w:pPr>
        <w:jc w:val="both"/>
        <w:ind w:left="482" w:right="2599" w:hanging="482"/>
        <w:spacing w:after="0" w:line="241"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A. Levin has been President and Chief Executive Officer of the Company since April 10, 2000 and a director of the Company since April 11, 2000. Includes 241,667 shares of common stock issuable upon exercise of options exercisable within 60 days.</w:t>
      </w:r>
    </w:p>
    <w:p>
      <w:pPr>
        <w:spacing w:after="0" w:line="189" w:lineRule="exact"/>
        <w:rPr>
          <w:rFonts w:ascii="Courier New" w:cs="Courier New" w:eastAsia="Courier New" w:hAnsi="Courier New"/>
          <w:sz w:val="16"/>
          <w:szCs w:val="16"/>
          <w:color w:val="auto"/>
        </w:rPr>
      </w:pPr>
    </w:p>
    <w:p>
      <w:pPr>
        <w:jc w:val="both"/>
        <w:ind w:left="482" w:right="2599" w:hanging="482"/>
        <w:spacing w:after="0" w:line="242"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Seymour Holtzman was appointed a director of the Company on April 7, 2000 and Chairman of the Board on April 11, 2000. On May 25, 2001, the Company hired Mr. Holtzman as an executive officer of the Company. Mr. Holtzman may be deemed to have shared voting and investment power over 4,050,739 shares of common stock, which includes 3,682,974 shares (including 549,559 shares issuable upon exercise of warrants) beneficially owned by Jewelcor Management, Inc., of which Mr. Holtzman is the Chairman, President and Chief Executive Officer and indirectly, with his wife, the primary shareholder; 337,765 shares owned individually, which includes 300,000 shares being offered pursuant to this prospectus subject to options and 25,000 shares subject to options exercisable within 60 days; and 30,000 shares owned by Mr. Holtzman's grandchildren as to which he disclaims beneficial ownership. The number of shares owned subsequent to the offering excludes 1,681,926 shares being offered by Jewelcor Management, Inc. pursuant this prospectus.</w:t>
      </w:r>
    </w:p>
    <w:p>
      <w:pPr>
        <w:spacing w:after="0" w:line="193" w:lineRule="exact"/>
        <w:rPr>
          <w:rFonts w:ascii="Courier New" w:cs="Courier New" w:eastAsia="Courier New" w:hAnsi="Courier New"/>
          <w:sz w:val="16"/>
          <w:szCs w:val="16"/>
          <w:color w:val="auto"/>
        </w:rPr>
      </w:pPr>
    </w:p>
    <w:p>
      <w:pPr>
        <w:jc w:val="both"/>
        <w:ind w:left="482" w:right="2599" w:hanging="482"/>
        <w:spacing w:after="0" w:line="242"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Jewelcor Management, Inc. has provided consulting services to the Company since October 1999. This consulting arrangement and other related transactions are described more fully in the Company's definitive proxy statement filed on July 8, 2002, which is incorporated herein by reference. Includes 549,559 shares of common stock issuable upon exercise of warrants. Excludes 337,765 shares, including 300,000 being shares offered pursuant to this prospectus subject to options and 25,000 shares subject to options exercisable within 60 days, owned individually by Seymour Holtzman and 30,000 shares owned by Mr. Holtzman's grandchildren. Includes 60,659 shares of common stock issued to Jewelcor Management, Inc. pursuant to a consulting agreement with the Company, which agreement was extended effective April 29, 2002.</w:t>
      </w:r>
    </w:p>
    <w:p>
      <w:pPr>
        <w:spacing w:after="0" w:line="191" w:lineRule="exact"/>
        <w:rPr>
          <w:rFonts w:ascii="Courier New" w:cs="Courier New" w:eastAsia="Courier New" w:hAnsi="Courier New"/>
          <w:sz w:val="16"/>
          <w:szCs w:val="16"/>
          <w:color w:val="auto"/>
        </w:rPr>
      </w:pPr>
    </w:p>
    <w:p>
      <w:pPr>
        <w:jc w:val="both"/>
        <w:ind w:left="482" w:right="2599"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Jeremiah P. Murphy, Jr. has been a director of the Company since October 8, 1999. Includes 35,000 shares of common stock issuable upon exercise of options exercisable within 60 days.</w:t>
      </w:r>
    </w:p>
    <w:p>
      <w:pPr>
        <w:spacing w:after="0" w:line="189" w:lineRule="exact"/>
        <w:rPr>
          <w:rFonts w:ascii="Courier New" w:cs="Courier New" w:eastAsia="Courier New" w:hAnsi="Courier New"/>
          <w:sz w:val="16"/>
          <w:szCs w:val="16"/>
          <w:color w:val="auto"/>
        </w:rPr>
      </w:pPr>
    </w:p>
    <w:p>
      <w:pPr>
        <w:jc w:val="both"/>
        <w:ind w:left="482" w:right="2599"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Patron had been a director of the Company since October 1999 until his resignation effective March 11, 2002. Includes 30,000 shares of common stock issuable upon exercise of options.</w:t>
      </w:r>
    </w:p>
    <w:p>
      <w:pPr>
        <w:spacing w:after="0" w:line="189" w:lineRule="exact"/>
        <w:rPr>
          <w:rFonts w:ascii="Courier New" w:cs="Courier New" w:eastAsia="Courier New" w:hAnsi="Courier New"/>
          <w:sz w:val="16"/>
          <w:szCs w:val="16"/>
          <w:color w:val="auto"/>
        </w:rPr>
      </w:pPr>
    </w:p>
    <w:p>
      <w:pPr>
        <w:jc w:val="both"/>
        <w:ind w:left="482" w:right="2599"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Joseph Pennacchio has been a director of the Company since October 8, 1999. Includes 35,000 shares of common stock issuable upon exercise of options exercisable within 60 days.</w:t>
      </w:r>
    </w:p>
    <w:p>
      <w:pPr>
        <w:spacing w:after="0" w:line="189" w:lineRule="exact"/>
        <w:rPr>
          <w:rFonts w:ascii="Courier New" w:cs="Courier New" w:eastAsia="Courier New" w:hAnsi="Courier New"/>
          <w:sz w:val="16"/>
          <w:szCs w:val="16"/>
          <w:color w:val="auto"/>
        </w:rPr>
      </w:pPr>
    </w:p>
    <w:p>
      <w:pPr>
        <w:jc w:val="both"/>
        <w:ind w:left="482" w:right="2599"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T. Porter, Jr. has been a director of the Company since October 28, 1999. Includes 65,000 shares of common stock issuable upon exercise of options exercisable within 60 days.</w:t>
      </w:r>
    </w:p>
    <w:p>
      <w:pPr>
        <w:spacing w:after="0" w:line="189" w:lineRule="exact"/>
        <w:rPr>
          <w:rFonts w:ascii="Courier New" w:cs="Courier New" w:eastAsia="Courier New" w:hAnsi="Courier New"/>
          <w:sz w:val="16"/>
          <w:szCs w:val="16"/>
          <w:color w:val="auto"/>
        </w:rPr>
      </w:pPr>
    </w:p>
    <w:p>
      <w:pPr>
        <w:jc w:val="both"/>
        <w:ind w:left="482" w:right="2599"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Sweeney has been an employee of the Company since April 7, 1997. Includes 5,334 shares of common stock issuable upon exercise of options exercisable within 60 days.</w:t>
      </w:r>
    </w:p>
    <w:p>
      <w:pPr>
        <w:spacing w:after="0" w:line="189" w:lineRule="exact"/>
        <w:rPr>
          <w:rFonts w:ascii="Courier New" w:cs="Courier New" w:eastAsia="Courier New" w:hAnsi="Courier New"/>
          <w:sz w:val="16"/>
          <w:szCs w:val="16"/>
          <w:color w:val="auto"/>
        </w:rPr>
      </w:pPr>
    </w:p>
    <w:p>
      <w:pPr>
        <w:ind w:left="482" w:right="2599" w:hanging="482"/>
        <w:spacing w:after="0" w:line="239" w:lineRule="auto"/>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of common stock issuable upon exercise of options granted in connection with professional services rendered to the Company.</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667" w:right="1440" w:bottom="1440" w:gutter="0" w:footer="0" w:header="0"/>
        </w:sectPr>
      </w:pPr>
    </w:p>
    <w:bookmarkStart w:id="16" w:name="page17"/>
    <w:bookmarkEnd w:id="16"/>
    <w:p>
      <w:pPr>
        <w:jc w:val="both"/>
        <w:ind w:left="482" w:right="2599" w:hanging="482"/>
        <w:spacing w:after="0" w:line="241" w:lineRule="auto"/>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Jeffrey Unger was an employee of the Company from October 1999 through July 2000. Mr. Unger has been a investor relations consultant to the Company since July 2000. Includes 20,000 shares of common stock issuable upon exercise of options exercisable within 60 days.</w:t>
      </w:r>
    </w:p>
    <w:p>
      <w:pPr>
        <w:spacing w:after="0" w:line="189" w:lineRule="exact"/>
        <w:rPr>
          <w:sz w:val="20"/>
          <w:szCs w:val="20"/>
          <w:color w:val="auto"/>
        </w:rPr>
      </w:pPr>
    </w:p>
    <w:p>
      <w:pPr>
        <w:jc w:val="both"/>
        <w:ind w:left="2" w:right="2599" w:firstLine="858"/>
        <w:spacing w:after="0" w:line="265" w:lineRule="auto"/>
        <w:rPr>
          <w:sz w:val="20"/>
          <w:szCs w:val="20"/>
          <w:color w:val="auto"/>
        </w:rPr>
      </w:pPr>
      <w:r>
        <w:rPr>
          <w:rFonts w:ascii="Courier New" w:cs="Courier New" w:eastAsia="Courier New" w:hAnsi="Courier New"/>
          <w:sz w:val="15"/>
          <w:szCs w:val="15"/>
          <w:color w:val="auto"/>
        </w:rPr>
        <w:t>The aggregate proceeds to the selling stockholders from the sale of the shares listed in this prospectus offered by them pursuant to this prospectus will be the sale price of the shares less discounts and commissions, if any.</w:t>
      </w:r>
    </w:p>
    <w:p>
      <w:pPr>
        <w:spacing w:after="0" w:line="168"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PLAN OF DISTRIBUTION</w:t>
      </w:r>
    </w:p>
    <w:p>
      <w:pPr>
        <w:spacing w:after="0" w:line="188"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The selling stockholders, which term includes their successors, transferees, pledgees or donees or their successors, may sell the shares offered pursuant to this prospectus directly to purchasers or through underwriters, broker-dealers or agents, who may receive compensation in the form of discounts, concessions or commissions from the selling stockholders or the purchasers, which discounts, concessions or commissions as to any particular underwriter, broker-dealer or agent may be in excess of those customary in the types of transactions involved.</w:t>
      </w:r>
    </w:p>
    <w:p>
      <w:pPr>
        <w:spacing w:after="0" w:line="189" w:lineRule="exact"/>
        <w:rPr>
          <w:sz w:val="20"/>
          <w:szCs w:val="20"/>
          <w:color w:val="auto"/>
        </w:rPr>
      </w:pPr>
    </w:p>
    <w:p>
      <w:pPr>
        <w:jc w:val="both"/>
        <w:ind w:left="2" w:right="2599" w:firstLine="858"/>
        <w:spacing w:after="0" w:line="259" w:lineRule="auto"/>
        <w:rPr>
          <w:sz w:val="20"/>
          <w:szCs w:val="20"/>
          <w:color w:val="auto"/>
        </w:rPr>
      </w:pPr>
      <w:r>
        <w:rPr>
          <w:rFonts w:ascii="Courier New" w:cs="Courier New" w:eastAsia="Courier New" w:hAnsi="Courier New"/>
          <w:sz w:val="15"/>
          <w:szCs w:val="15"/>
          <w:color w:val="auto"/>
        </w:rPr>
        <w:t>The shares offered pursuant to this prospectus may be sold by any selling stockholder in one or more transactions at fixed prices, at prevailing market prices at the time of sale, at prices related to such prevailing market prices, at varying prices determined at the time of sale, or at negotiated prices. Such sales may be effected in transactions, which may involve crosses or block transactions (1) on any national securities exchange or quotation service on which our common stock may be listed or quoted at the time of sale, (2) in the over-the-counter market, (3) in transactions otherwise than on such exchanges or services or in the over-the-counter market, (4) through the writing of options, whether such options are listed on an options exchange or otherwise, or (5) through the settlement of short sales. In connection with the sale of the shares offered pursuant to this prospectus or otherwise, any selling stockholder may enter into hedging transactions with broker-dealers or other financial institutions which may in turn engage in short sales of the common stock and deliver these securities to close out such short positions, or loan or pledge the common stock to broker-dealers that in turn may sell these securities.</w:t>
      </w:r>
    </w:p>
    <w:p>
      <w:pPr>
        <w:spacing w:after="0" w:line="184" w:lineRule="exact"/>
        <w:rPr>
          <w:sz w:val="20"/>
          <w:szCs w:val="20"/>
          <w:color w:val="auto"/>
        </w:rPr>
      </w:pPr>
    </w:p>
    <w:p>
      <w:pPr>
        <w:jc w:val="both"/>
        <w:ind w:left="2" w:right="2599" w:firstLine="858"/>
        <w:spacing w:after="0"/>
        <w:rPr>
          <w:sz w:val="20"/>
          <w:szCs w:val="20"/>
          <w:color w:val="auto"/>
        </w:rPr>
      </w:pPr>
      <w:r>
        <w:rPr>
          <w:rFonts w:ascii="Courier New" w:cs="Courier New" w:eastAsia="Courier New" w:hAnsi="Courier New"/>
          <w:sz w:val="16"/>
          <w:szCs w:val="16"/>
          <w:color w:val="auto"/>
        </w:rPr>
        <w:t>Each selling stockholder reserves the right to accept and, together with its agents from time to time, to reject, in whole or in part, any proposed purchase of common stock to be made directly or through agents.</w:t>
      </w:r>
    </w:p>
    <w:p>
      <w:pPr>
        <w:spacing w:after="0" w:line="190"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At the time of the private placement of our series B preferred stock and the issuance of our detachable warrants (converted into or exercisable for shares of common stock offered pursuant to this prospectus), each investor, including any registered broker-dealer or affiliate of a broker-dealer (whose purchases are understood by the Company to be in the ordinary course of business), represented to the Company, among other things, that such investor was not acquiring the securities with a view to any distribution thereof, and each such investor in our series B preferred stock represented that such investor had no agreement, undertaking, arrangement, obligation or commitment providing for the disposition of the securities. However, the Company understands that certain selling stockholders and any underwriters, broker-dealers or agents that participate in the sale of the shares offered pursuant to this prospectus on behalf of the selling stockholders may be considered "underwriters" within the meaning of Section 2(11) of the Securities Act of 1933, as amended. Any discounts, commissions, concessions or profit they earn on any resale of the shares may be underwriting discounts and commissions under the Securities Act.</w:t>
      </w:r>
    </w:p>
    <w:p>
      <w:pPr>
        <w:spacing w:after="0" w:line="194"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To the extent required, the common stock to be sold, the name of each selling stockholder, the respective purchase prices and the public offering prices, the name of any agent,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200" w:lineRule="exact"/>
        <w:rPr>
          <w:sz w:val="20"/>
          <w:szCs w:val="20"/>
          <w:color w:val="auto"/>
        </w:rPr>
      </w:pPr>
    </w:p>
    <w:p>
      <w:pPr>
        <w:spacing w:after="0" w:line="35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8" w:top="667" w:right="1440" w:bottom="1440" w:gutter="0" w:footer="0" w:header="0"/>
        </w:sectPr>
      </w:pPr>
    </w:p>
    <w:bookmarkStart w:id="17" w:name="page18"/>
    <w:bookmarkEnd w:id="17"/>
    <w:p>
      <w:pPr>
        <w:ind w:left="3520"/>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and schedules as of February 2, 2002 and February 3, 2001 and the years then ended included in our Annual Report on Form 10-K for the year ended February 2, 2002, as set forth in their report, which is incorporated by reference in this prospectus and elsewhere in the registration statement. Our fiscal 2002 and fiscal 2001 financial statements and schedules are incorporated by reference in reliance on Ernst &amp; Young LLP's report, given on their authority as experts in accounting and auditing.</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consolidated statements of operations, stockholders' equity, and cash flows for the year ended January 29, 2000 and the related financial statement schedule for the year ended January 29, 2000, incorporated in this prospectus by reference from Designs, Inc.'s Annual Report on Form 10-K for the year ended February 2,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89"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consolidated financial statements of Casual Male Corp., debtor-in-possession, as of February 2, 2002 and February 3, 2001, and for each of the years in the three-years ended February 2, 2002, February 3, 2001 and January 29, 2000, have been incorporated by reference herein in reliance upon the report of KPMG LLP, independent accountants, incorporated by reference herein, and upon the authority of said firm as experts in accounting and auditing.</w:t>
      </w:r>
    </w:p>
    <w:p>
      <w:pPr>
        <w:spacing w:after="0" w:line="371"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audit report covering the February 2, 2002 financial statements contains an explanatory paragraph that states that most of the assets of Casual Male Corp. have been sold. Casual Male Corp. will continue operations primarily to liquidate any remaining assets and settle Casual Male Corp.'s remaining liabilities, including liabilities subject to compromise, to the extent possible. After the settlements have occurred, it is expected that Casual Male Corp. will cease operations. The consolidated financial statements do not include any adjustments that might result from the outcome of this uncertainty.</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5" w:right="1440" w:bottom="1440" w:gutter="0" w:footer="0" w:header="0"/>
        </w:sectPr>
      </w:pPr>
    </w:p>
    <w:bookmarkStart w:id="18" w:name="page19"/>
    <w:bookmarkEnd w:id="18"/>
    <w:p>
      <w:pPr>
        <w:ind w:left="22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This prospectus constitutes a part of a registration statement on Form S-3 that we filed with the Securities and Exchange Commission under the Securities Act, including amendments thereto, relating to the shares offered pursuant to this prospectus. This prospectus does not contain all of the information set forth in the registration statement. You should rely only on the information contained in this prospectus or incorporated herein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191"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are subject to the informational requirements of the Securities Exchange Act of 1934, as amended, and in accordance therewith, file reports, proxy statements and other information with the Commission. Such reports, proxy statements and other information filed by us may be inspected and copied at the Commission's Public Reference Section located at 450 Fifth Street, N.W., Washington, D.C. 20549. Copies of such material also can be obtained from the Public Reference Section of the Commission at 450 Fifth Street, N.W., Washington, D.C. 20549, at prescribed rates. Please call the Commission at 1-800-SEC-0330 for more information about the operation of the public reference rooms. The Commission also makes electronic filings publicly available on the Internet. The Commission's Internet address is http://www.sec.gov. The Commission's web site also contains reports, proxy statements and other information regarding us that has been filed with the Commission. Our common stock is quoted under the symbol "CMRG" on the Nasdaq National Market. Reports, proxy statements and other information concerning us may be inspected at the National Association of Securities Dealers, Inc. at 1735 K Street, N.W., Washington, D.C. 20006.</w:t>
      </w:r>
    </w:p>
    <w:p>
      <w:pPr>
        <w:spacing w:after="0" w:line="194"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Further, all filings we make under the Exchange Act after the date of the initial registration statement and prior to effectiveness of the registration statement shall be deemed to be incorporated by reference into this prospectus. We incorporate by reference the documents listed below and any future filings we will make with the Commission under Section 13(a), 13(c), 14 or 15(d) of the Exchange Act:</w:t>
      </w:r>
    </w:p>
    <w:p>
      <w:pPr>
        <w:spacing w:after="0" w:line="188" w:lineRule="exact"/>
        <w:rPr>
          <w:sz w:val="20"/>
          <w:szCs w:val="20"/>
          <w:color w:val="auto"/>
        </w:rPr>
      </w:pPr>
    </w:p>
    <w:p>
      <w:pPr>
        <w:ind w:left="960"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definitive Proxy Statement, filed on July 8, 2002;</w:t>
      </w:r>
    </w:p>
    <w:p>
      <w:pPr>
        <w:spacing w:after="0" w:line="188"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February 2, 2002;</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fiscal quarter ended May 4, 2002;</w:t>
      </w:r>
    </w:p>
    <w:p>
      <w:pPr>
        <w:spacing w:after="0" w:line="189" w:lineRule="exact"/>
        <w:rPr>
          <w:rFonts w:ascii="Courier New" w:cs="Courier New" w:eastAsia="Courier New" w:hAnsi="Courier New"/>
          <w:sz w:val="16"/>
          <w:szCs w:val="16"/>
          <w:color w:val="auto"/>
        </w:rPr>
      </w:pPr>
    </w:p>
    <w:p>
      <w:pPr>
        <w:ind w:left="960" w:right="2599" w:hanging="485"/>
        <w:spacing w:after="0" w:line="239"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filed on May 23, 2002, as amended on May 23, 2002 and June 14, 2002;</w:t>
      </w:r>
    </w:p>
    <w:p>
      <w:pPr>
        <w:spacing w:after="0" w:line="189" w:lineRule="exact"/>
        <w:rPr>
          <w:rFonts w:ascii="Courier New" w:cs="Courier New" w:eastAsia="Courier New" w:hAnsi="Courier New"/>
          <w:sz w:val="16"/>
          <w:szCs w:val="16"/>
          <w:color w:val="auto"/>
        </w:rPr>
      </w:pPr>
    </w:p>
    <w:p>
      <w:pPr>
        <w:jc w:val="both"/>
        <w:ind w:left="960" w:right="2599"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capital stock set forth in our Registration Statement on Form S-1 (Registration No. 33-13402), filed with the SEC on April 22, 1987;</w:t>
      </w:r>
    </w:p>
    <w:p>
      <w:pPr>
        <w:spacing w:after="0" w:line="189" w:lineRule="exact"/>
        <w:rPr>
          <w:rFonts w:ascii="Courier New" w:cs="Courier New" w:eastAsia="Courier New" w:hAnsi="Courier New"/>
          <w:sz w:val="16"/>
          <w:szCs w:val="16"/>
          <w:color w:val="auto"/>
        </w:rPr>
      </w:pPr>
    </w:p>
    <w:p>
      <w:pPr>
        <w:jc w:val="both"/>
        <w:ind w:left="960" w:right="2599"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us pursuant to Section 13(a) or 15(d) of the Exchange Act since the end of the fiscal year covered by the annual report referred to above; and</w:t>
      </w:r>
    </w:p>
    <w:p>
      <w:pPr>
        <w:spacing w:after="0" w:line="189" w:lineRule="exact"/>
        <w:rPr>
          <w:rFonts w:ascii="Courier New" w:cs="Courier New" w:eastAsia="Courier New" w:hAnsi="Courier New"/>
          <w:sz w:val="16"/>
          <w:szCs w:val="16"/>
          <w:color w:val="auto"/>
        </w:rPr>
      </w:pPr>
    </w:p>
    <w:p>
      <w:pPr>
        <w:jc w:val="both"/>
        <w:ind w:left="960" w:right="2599" w:hanging="485"/>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and reports subsequently filed by us pursuant to Sections 13(a), 13(c), 14 or 15(d) of the Exchange Act, prior to the termination of the offering.</w:t>
      </w:r>
    </w:p>
    <w:p>
      <w:pPr>
        <w:spacing w:after="0" w:line="190"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We will furnish to any person to whom this prospectus is delivered, without charge, a copy of these documents upon written or oral request to Secretary, Casual Male Retail Group, Inc., 555 Turnpike Street, Canton, Massachusetts 02021. Our telephone number is (781) 828-9300. A copy of any exhibits to these documents will be furnished at no cost to any stockholder upon written or oral request.</w:t>
      </w: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5" w:right="1440" w:bottom="1440" w:gutter="0" w:footer="0" w:header="0"/>
        </w:sectPr>
      </w:pPr>
    </w:p>
    <w:bookmarkStart w:id="19" w:name="page20"/>
    <w:bookmarkEnd w:id="19"/>
    <w:p>
      <w:pPr>
        <w:jc w:val="center"/>
        <w:ind w:right="2599"/>
        <w:spacing w:after="0"/>
        <w:rPr>
          <w:sz w:val="20"/>
          <w:szCs w:val="20"/>
          <w:color w:val="auto"/>
        </w:rPr>
      </w:pPr>
      <w:r>
        <w:rPr>
          <w:rFonts w:ascii="Courier New" w:cs="Courier New" w:eastAsia="Courier New" w:hAnsi="Courier New"/>
          <w:sz w:val="16"/>
          <w:szCs w:val="16"/>
          <w:color w:val="auto"/>
        </w:rPr>
        <w:t>Disclosure of Commission Position on Indemnification for</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Securities Act Liabilities.</w:t>
      </w:r>
    </w:p>
    <w:p>
      <w:pPr>
        <w:spacing w:after="0" w:line="188" w:lineRule="exact"/>
        <w:rPr>
          <w:sz w:val="20"/>
          <w:szCs w:val="20"/>
          <w:color w:val="auto"/>
        </w:rPr>
      </w:pPr>
    </w:p>
    <w:p>
      <w:pPr>
        <w:jc w:val="both"/>
        <w:ind w:right="2599" w:firstLine="858"/>
        <w:spacing w:after="0" w:line="242"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Casual Male Retail Group pursuant to the provisions of Item 510 of Regulation S-K,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Casual Male Retail Group of expenses incurred or paid by a director, officer or controlling person of Casual Male Retail Group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5" w:right="1440" w:bottom="1440" w:gutter="0" w:footer="0" w:header="0"/>
        </w:sectPr>
      </w:pPr>
    </w:p>
    <w:bookmarkStart w:id="20" w:name="page21"/>
    <w:bookmarkEnd w:id="20"/>
    <w:p>
      <w:pPr>
        <w:jc w:val="both"/>
        <w:ind w:right="2599"/>
        <w:spacing w:after="0" w:line="260" w:lineRule="auto"/>
        <w:rPr>
          <w:sz w:val="20"/>
          <w:szCs w:val="20"/>
          <w:color w:val="auto"/>
        </w:rPr>
      </w:pPr>
      <w:r>
        <w:rPr>
          <w:rFonts w:ascii="Courier New" w:cs="Courier New" w:eastAsia="Courier New" w:hAnsi="Courier New"/>
          <w:sz w:val="15"/>
          <w:szCs w:val="15"/>
          <w:color w:val="auto"/>
        </w:rPr>
        <w:t>No dealer, salesman or other person has been authorized to give any information or to make representations other than those contained in this prospectus, and if given or made, such information or representations must not be relied upon as having been authorized by us or the selling stockholders. Neither the delivery of this prospectus nor any sale hereunder will, under any circumstances, create an implication that the information herein is correct as of any time subsequent to its date. This prospectus does not constitute an offer to or solicitation of offers by anyone in any jurisdiction in which such an offer or solicitation is not authorized or in which the person making such an offer is not qualified to do so or to anyone to whom it is unlawful to make such an offer or solicitation.</w:t>
      </w:r>
    </w:p>
    <w:p>
      <w:pPr>
        <w:spacing w:after="0" w:line="35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24,809,338 SHARES</w:t>
      </w:r>
    </w:p>
    <w:p>
      <w:pPr>
        <w:spacing w:after="0" w:line="36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CASUAL MALE RETAIL GROUP, INC.</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PROSPECTUS</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_________, 2002</w:t>
      </w:r>
    </w:p>
    <w:p>
      <w:pPr>
        <w:sectPr>
          <w:pgSz w:w="11900" w:h="16838" w:orient="portrait"/>
          <w:cols w:equalWidth="0" w:num="1">
            <w:col w:w="10219"/>
          </w:cols>
          <w:pgMar w:left="240" w:top="1034" w:right="1440" w:bottom="1440" w:gutter="0" w:footer="0" w:header="0"/>
        </w:sectPr>
      </w:pPr>
    </w:p>
    <w:bookmarkStart w:id="21" w:name="page22"/>
    <w:bookmarkEnd w:id="21"/>
    <w:p>
      <w:pPr>
        <w:jc w:val="center"/>
        <w:ind w:right="2497"/>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Other Expenses of Issuance and Distribution.</w:t>
      </w:r>
    </w:p>
    <w:p>
      <w:pPr>
        <w:spacing w:after="0" w:line="188" w:lineRule="exact"/>
        <w:rPr>
          <w:sz w:val="20"/>
          <w:szCs w:val="20"/>
          <w:color w:val="auto"/>
        </w:rPr>
      </w:pPr>
    </w:p>
    <w:p>
      <w:pPr>
        <w:jc w:val="both"/>
        <w:ind w:left="2" w:right="2599" w:firstLine="858"/>
        <w:spacing w:after="0"/>
        <w:rPr>
          <w:sz w:val="20"/>
          <w:szCs w:val="20"/>
          <w:color w:val="auto"/>
        </w:rPr>
      </w:pPr>
      <w:r>
        <w:rPr>
          <w:rFonts w:ascii="Courier New" w:cs="Courier New" w:eastAsia="Courier New" w:hAnsi="Courier New"/>
          <w:sz w:val="16"/>
          <w:szCs w:val="16"/>
          <w:color w:val="auto"/>
        </w:rPr>
        <w:t>The Registrant will pay all of the expenses payable in connection with the offering described in this Registration Statement, which we estimate will be as follows:</w:t>
      </w:r>
    </w:p>
    <w:p>
      <w:pPr>
        <w:spacing w:after="0" w:line="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Total</w:t>
            </w:r>
          </w:p>
        </w:tc>
      </w:tr>
      <w:tr>
        <w:trPr>
          <w:trHeight w:val="18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6480" w:type="dxa"/>
            <w:vAlign w:val="bottom"/>
          </w:tcPr>
          <w:p>
            <w:pPr>
              <w:jc w:val="right"/>
              <w:spacing w:after="0"/>
              <w:rPr>
                <w:sz w:val="20"/>
                <w:szCs w:val="20"/>
                <w:color w:val="auto"/>
              </w:rPr>
            </w:pPr>
            <w:r>
              <w:rPr>
                <w:rFonts w:ascii="Courier New" w:cs="Courier New" w:eastAsia="Courier New" w:hAnsi="Courier New"/>
                <w:sz w:val="16"/>
                <w:szCs w:val="16"/>
                <w:color w:val="auto"/>
                <w:w w:val="97"/>
              </w:rPr>
              <w:t>SEC registration fee (actual) .......................................</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$ 11,625</w:t>
            </w:r>
          </w:p>
        </w:tc>
      </w:tr>
      <w:tr>
        <w:trPr>
          <w:trHeight w:val="183"/>
        </w:trPr>
        <w:tc>
          <w:tcPr>
            <w:tcW w:w="6480" w:type="dxa"/>
            <w:vAlign w:val="bottom"/>
          </w:tcPr>
          <w:p>
            <w:pPr>
              <w:jc w:val="right"/>
              <w:spacing w:after="0"/>
              <w:rPr>
                <w:sz w:val="20"/>
                <w:szCs w:val="20"/>
                <w:color w:val="auto"/>
              </w:rPr>
            </w:pPr>
            <w:r>
              <w:rPr>
                <w:rFonts w:ascii="Courier New" w:cs="Courier New" w:eastAsia="Courier New" w:hAnsi="Courier New"/>
                <w:sz w:val="16"/>
                <w:szCs w:val="16"/>
                <w:color w:val="auto"/>
                <w:w w:val="97"/>
              </w:rPr>
              <w:t>Accounting fees and expenses ........................................</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$ 40,000</w:t>
            </w:r>
          </w:p>
        </w:tc>
      </w:tr>
      <w:tr>
        <w:trPr>
          <w:trHeight w:val="183"/>
        </w:trPr>
        <w:tc>
          <w:tcPr>
            <w:tcW w:w="6480" w:type="dxa"/>
            <w:vAlign w:val="bottom"/>
          </w:tcPr>
          <w:p>
            <w:pPr>
              <w:jc w:val="right"/>
              <w:spacing w:after="0"/>
              <w:rPr>
                <w:sz w:val="20"/>
                <w:szCs w:val="20"/>
                <w:color w:val="auto"/>
              </w:rPr>
            </w:pPr>
            <w:r>
              <w:rPr>
                <w:rFonts w:ascii="Courier New" w:cs="Courier New" w:eastAsia="Courier New" w:hAnsi="Courier New"/>
                <w:sz w:val="16"/>
                <w:szCs w:val="16"/>
                <w:color w:val="auto"/>
                <w:w w:val="97"/>
              </w:rPr>
              <w:t>Legal fees and expenses..............................................</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$ 50,000</w:t>
            </w:r>
          </w:p>
        </w:tc>
      </w:tr>
      <w:tr>
        <w:trPr>
          <w:trHeight w:val="183"/>
        </w:trPr>
        <w:tc>
          <w:tcPr>
            <w:tcW w:w="6480" w:type="dxa"/>
            <w:vAlign w:val="bottom"/>
          </w:tcPr>
          <w:p>
            <w:pPr>
              <w:jc w:val="right"/>
              <w:spacing w:after="0"/>
              <w:rPr>
                <w:sz w:val="20"/>
                <w:szCs w:val="20"/>
                <w:color w:val="auto"/>
              </w:rPr>
            </w:pPr>
            <w:r>
              <w:rPr>
                <w:rFonts w:ascii="Courier New" w:cs="Courier New" w:eastAsia="Courier New" w:hAnsi="Courier New"/>
                <w:sz w:val="16"/>
                <w:szCs w:val="16"/>
                <w:color w:val="auto"/>
                <w:w w:val="97"/>
              </w:rPr>
              <w:t>Printing and engraving 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83"/>
        </w:trPr>
        <w:tc>
          <w:tcPr>
            <w:tcW w:w="6480" w:type="dxa"/>
            <w:vAlign w:val="bottom"/>
          </w:tcPr>
          <w:p>
            <w:pPr>
              <w:jc w:val="right"/>
              <w:spacing w:after="0"/>
              <w:rPr>
                <w:sz w:val="20"/>
                <w:szCs w:val="20"/>
                <w:color w:val="auto"/>
              </w:rPr>
            </w:pPr>
            <w:r>
              <w:rPr>
                <w:rFonts w:ascii="Courier New" w:cs="Courier New" w:eastAsia="Courier New" w:hAnsi="Courier New"/>
                <w:sz w:val="16"/>
                <w:szCs w:val="16"/>
                <w:color w:val="auto"/>
                <w:w w:val="97"/>
              </w:rPr>
              <w:t>Miscellaneous 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3"/>
        </w:trPr>
        <w:tc>
          <w:tcPr>
            <w:tcW w:w="64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48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$109,125</w:t>
            </w:r>
          </w:p>
        </w:tc>
      </w:tr>
    </w:tbl>
    <w:p>
      <w:pPr>
        <w:spacing w:after="0" w:line="188" w:lineRule="exact"/>
        <w:rPr>
          <w:sz w:val="20"/>
          <w:szCs w:val="20"/>
          <w:color w:val="auto"/>
        </w:rPr>
      </w:pPr>
    </w:p>
    <w:p>
      <w:pPr>
        <w:jc w:val="both"/>
        <w:ind w:left="2" w:right="2599" w:firstLine="858"/>
        <w:spacing w:after="0" w:line="239" w:lineRule="auto"/>
        <w:rPr>
          <w:sz w:val="20"/>
          <w:szCs w:val="20"/>
          <w:color w:val="auto"/>
        </w:rPr>
      </w:pPr>
      <w:r>
        <w:rPr>
          <w:rFonts w:ascii="Courier New" w:cs="Courier New" w:eastAsia="Courier New" w:hAnsi="Courier New"/>
          <w:sz w:val="16"/>
          <w:szCs w:val="16"/>
          <w:color w:val="auto"/>
        </w:rPr>
        <w:t>The selling stockholders will be responsible for any and all expenses associated solely with the execution of the sale or sales of their shares.</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15.</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jc w:val="both"/>
        <w:ind w:left="2" w:right="2599" w:firstLine="858"/>
        <w:spacing w:after="0" w:line="259" w:lineRule="auto"/>
        <w:rPr>
          <w:sz w:val="20"/>
          <w:szCs w:val="20"/>
          <w:color w:val="auto"/>
        </w:rPr>
      </w:pPr>
      <w:r>
        <w:rPr>
          <w:rFonts w:ascii="Courier New" w:cs="Courier New" w:eastAsia="Courier New" w:hAnsi="Courier New"/>
          <w:sz w:val="15"/>
          <w:szCs w:val="15"/>
          <w:color w:val="auto"/>
        </w:rPr>
        <w:t>The Registrant's Restated Certificate of Incorporation, as amended (the "Certificate of Incorporation"),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jc w:val="both"/>
        <w:ind w:left="2" w:right="2599" w:hanging="2"/>
        <w:spacing w:after="0" w:line="242" w:lineRule="auto"/>
        <w:tabs>
          <w:tab w:leader="none" w:pos="47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91" w:lineRule="exact"/>
        <w:rPr>
          <w:sz w:val="20"/>
          <w:szCs w:val="20"/>
          <w:color w:val="auto"/>
        </w:rPr>
      </w:pPr>
    </w:p>
    <w:p>
      <w:pPr>
        <w:jc w:val="both"/>
        <w:ind w:left="2" w:right="2599" w:firstLine="858"/>
        <w:spacing w:after="0" w:line="263" w:lineRule="auto"/>
        <w:rPr>
          <w:sz w:val="20"/>
          <w:szCs w:val="20"/>
          <w:color w:val="auto"/>
        </w:rPr>
      </w:pPr>
      <w:r>
        <w:rPr>
          <w:rFonts w:ascii="Courier New" w:cs="Courier New" w:eastAsia="Courier New" w:hAnsi="Courier New"/>
          <w:sz w:val="15"/>
          <w:szCs w:val="15"/>
          <w:color w:val="auto"/>
        </w:rPr>
        <w:t>The Certificate of Incorporation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169"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left="2"/>
        <w:spacing w:after="0"/>
        <w:tabs>
          <w:tab w:leader="none" w:pos="1702"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of Kramer Levin Naftalis &amp; Frankel LLP.</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Independent Auditors - Ernst &amp; Young LLP.</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Independent Auditors' Consent - Deloitte &amp; Touche LLP.</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Independent Auditors' Consent - KPMG LLP.</w:t>
      </w:r>
    </w:p>
    <w:p>
      <w:pPr>
        <w:spacing w:after="0" w:line="186"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5"/>
          <w:szCs w:val="15"/>
          <w:color w:val="auto"/>
        </w:rPr>
        <w:t>Power of Attorney.</w:t>
      </w:r>
    </w:p>
    <w:p>
      <w:pPr>
        <w:spacing w:after="0" w:line="186" w:lineRule="exact"/>
        <w:rPr>
          <w:sz w:val="20"/>
          <w:szCs w:val="20"/>
          <w:color w:val="auto"/>
        </w:rPr>
      </w:pPr>
    </w:p>
    <w:p>
      <w:pPr>
        <w:ind w:left="182" w:hanging="182"/>
        <w:spacing w:after="0"/>
        <w:tabs>
          <w:tab w:leader="none" w:pos="1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821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 ** Previously filed.</w:t>
      </w:r>
    </w:p>
    <w:p>
      <w:pPr>
        <w:sectPr>
          <w:pgSz w:w="11900" w:h="16838" w:orient="portrait"/>
          <w:cols w:equalWidth="0" w:num="1">
            <w:col w:w="10221"/>
          </w:cols>
          <w:pgMar w:left="238" w:top="848" w:right="1440" w:bottom="1440" w:gutter="0" w:footer="0" w:header="0"/>
        </w:sectPr>
      </w:pPr>
    </w:p>
    <w:bookmarkStart w:id="22" w:name="page23"/>
    <w:bookmarkEnd w:id="22"/>
    <w:p>
      <w:pPr>
        <w:ind w:left="2"/>
        <w:spacing w:after="0"/>
        <w:tabs>
          <w:tab w:leader="none" w:pos="942" w:val="left"/>
        </w:tabs>
        <w:rPr>
          <w:sz w:val="20"/>
          <w:szCs w:val="20"/>
          <w:color w:val="auto"/>
        </w:rPr>
      </w:pPr>
      <w:r>
        <w:rPr>
          <w:rFonts w:ascii="Courier New" w:cs="Courier New" w:eastAsia="Courier New" w:hAnsi="Courier New"/>
          <w:sz w:val="16"/>
          <w:szCs w:val="16"/>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88" w:lineRule="exact"/>
        <w:rPr>
          <w:sz w:val="20"/>
          <w:szCs w:val="20"/>
          <w:color w:val="auto"/>
        </w:rPr>
      </w:pPr>
    </w:p>
    <w:p>
      <w:pPr>
        <w:ind w:left="962" w:right="2599" w:hanging="962"/>
        <w:spacing w:after="0" w:line="239" w:lineRule="auto"/>
        <w:tabs>
          <w:tab w:leader="none" w:pos="96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1902" w:right="2599" w:hanging="948"/>
        <w:spacing w:after="0" w:line="239" w:lineRule="auto"/>
        <w:tabs>
          <w:tab w:leader="none" w:pos="190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9" w:lineRule="exact"/>
        <w:rPr>
          <w:rFonts w:ascii="Courier New" w:cs="Courier New" w:eastAsia="Courier New" w:hAnsi="Courier New"/>
          <w:sz w:val="16"/>
          <w:szCs w:val="16"/>
          <w:color w:val="auto"/>
        </w:rPr>
      </w:pPr>
    </w:p>
    <w:p>
      <w:pPr>
        <w:jc w:val="both"/>
        <w:ind w:left="1902" w:right="2599" w:hanging="948"/>
        <w:spacing w:after="0" w:line="242" w:lineRule="auto"/>
        <w:tabs>
          <w:tab w:leader="none" w:pos="190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7" w:lineRule="exact"/>
        <w:rPr>
          <w:rFonts w:ascii="Courier New" w:cs="Courier New" w:eastAsia="Courier New" w:hAnsi="Courier New"/>
          <w:sz w:val="16"/>
          <w:szCs w:val="16"/>
          <w:color w:val="auto"/>
        </w:rPr>
      </w:pPr>
    </w:p>
    <w:p>
      <w:pPr>
        <w:jc w:val="both"/>
        <w:ind w:left="1902" w:right="2599" w:hanging="948"/>
        <w:spacing w:after="0" w:line="241" w:lineRule="auto"/>
        <w:tabs>
          <w:tab w:leader="none" w:pos="190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jc w:val="both"/>
        <w:ind w:left="962" w:right="2599"/>
        <w:spacing w:after="0" w:line="242" w:lineRule="auto"/>
        <w:rPr>
          <w:sz w:val="20"/>
          <w:szCs w:val="20"/>
          <w:color w:val="auto"/>
        </w:rPr>
      </w:pPr>
      <w:r>
        <w:rPr>
          <w:rFonts w:ascii="Courier New" w:cs="Courier New" w:eastAsia="Courier New" w:hAnsi="Courier New"/>
          <w:sz w:val="16"/>
          <w:szCs w:val="16"/>
          <w:color w:val="auto"/>
        </w:rPr>
        <w:t>provided, however, that clauses (i) and (ii) do not apply if the Registration Statement is on Form S-3, Form S-8 or Form F-3, and the information required to be included in a post-effective amendment by such clauses is contained in periodic reports filed with or furnished to the Commission by the Registrant pursuant to Section 13 or 15(d) of the Securities Exchange Act of 1934 that are incorporated by reference in the Registration Statement;</w:t>
      </w:r>
    </w:p>
    <w:p>
      <w:pPr>
        <w:spacing w:after="0" w:line="188" w:lineRule="exact"/>
        <w:rPr>
          <w:sz w:val="20"/>
          <w:szCs w:val="20"/>
          <w:color w:val="auto"/>
        </w:rPr>
      </w:pPr>
    </w:p>
    <w:p>
      <w:pPr>
        <w:jc w:val="both"/>
        <w:ind w:left="962" w:right="2599" w:hanging="962"/>
        <w:spacing w:after="0" w:line="241" w:lineRule="auto"/>
        <w:tabs>
          <w:tab w:leader="none" w:pos="9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90" w:lineRule="exact"/>
        <w:rPr>
          <w:rFonts w:ascii="Courier New" w:cs="Courier New" w:eastAsia="Courier New" w:hAnsi="Courier New"/>
          <w:sz w:val="16"/>
          <w:szCs w:val="16"/>
          <w:color w:val="auto"/>
        </w:rPr>
      </w:pPr>
    </w:p>
    <w:p>
      <w:pPr>
        <w:jc w:val="both"/>
        <w:ind w:left="962" w:right="2599" w:hanging="962"/>
        <w:spacing w:after="0"/>
        <w:tabs>
          <w:tab w:leader="none" w:pos="9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90" w:lineRule="exact"/>
        <w:rPr>
          <w:sz w:val="20"/>
          <w:szCs w:val="20"/>
          <w:color w:val="auto"/>
        </w:rPr>
      </w:pPr>
    </w:p>
    <w:p>
      <w:pPr>
        <w:jc w:val="both"/>
        <w:ind w:left="2" w:right="2599" w:firstLine="858"/>
        <w:spacing w:after="0" w:line="242"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21"/>
          </w:cols>
          <w:pgMar w:left="238" w:top="848" w:right="1440" w:bottom="1440" w:gutter="0" w:footer="0" w:header="0"/>
        </w:sectPr>
      </w:pPr>
    </w:p>
    <w:bookmarkStart w:id="23" w:name="page24"/>
    <w:bookmarkEnd w:id="23"/>
    <w:p>
      <w:pPr>
        <w:ind w:left="334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left="2" w:right="2599" w:firstLine="858"/>
        <w:spacing w:after="0" w:line="24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Canton, Massachusetts, on August 23, 2002.</w:t>
      </w:r>
    </w:p>
    <w:p>
      <w:pPr>
        <w:sectPr>
          <w:pgSz w:w="11900" w:h="16838" w:orient="portrait"/>
          <w:cols w:equalWidth="0" w:num="1">
            <w:col w:w="10221"/>
          </w:cols>
          <w:pgMar w:left="238" w:top="1031" w:right="1440" w:bottom="1440" w:gutter="0" w:footer="0" w:header="0"/>
        </w:sectPr>
      </w:pPr>
    </w:p>
    <w:p>
      <w:pPr>
        <w:spacing w:after="0" w:line="190" w:lineRule="exact"/>
        <w:rPr>
          <w:sz w:val="20"/>
          <w:szCs w:val="20"/>
          <w:color w:val="auto"/>
        </w:rPr>
      </w:pPr>
    </w:p>
    <w:p>
      <w:pPr>
        <w:ind w:left="2962"/>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A. Levin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A.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97" w:lineRule="exact"/>
        <w:rPr>
          <w:sz w:val="20"/>
          <w:szCs w:val="20"/>
          <w:color w:val="auto"/>
        </w:rPr>
      </w:pPr>
    </w:p>
    <w:p>
      <w:pPr>
        <w:sectPr>
          <w:pgSz w:w="11900" w:h="16838" w:orient="portrait"/>
          <w:cols w:equalWidth="0" w:num="2">
            <w:col w:w="3242" w:space="580"/>
            <w:col w:w="6399"/>
          </w:cols>
          <w:pgMar w:left="238" w:top="1031" w:right="1440" w:bottom="1440" w:gutter="0" w:footer="0" w:header="0"/>
          <w:type w:val="continuous"/>
        </w:sectPr>
      </w:pPr>
    </w:p>
    <w:p>
      <w:pPr>
        <w:jc w:val="both"/>
        <w:ind w:left="2" w:right="2599"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580" w:type="dxa"/>
            <w:vAlign w:val="bottom"/>
          </w:tcPr>
          <w:p>
            <w:pPr>
              <w:spacing w:after="0"/>
              <w:rPr>
                <w:sz w:val="20"/>
                <w:szCs w:val="20"/>
                <w:color w:val="auto"/>
              </w:rPr>
            </w:pPr>
            <w:r>
              <w:rPr>
                <w:rFonts w:ascii="Courier New" w:cs="Courier New" w:eastAsia="Courier New" w:hAnsi="Courier New"/>
                <w:sz w:val="16"/>
                <w:szCs w:val="16"/>
                <w:color w:val="auto"/>
              </w:rPr>
              <w:t>Signature</w:t>
            </w: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Title</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rPr>
              <w:t>Date</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4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r>
      <w:tr>
        <w:trPr>
          <w:trHeight w:val="550"/>
        </w:trPr>
        <w:tc>
          <w:tcPr>
            <w:tcW w:w="3580" w:type="dxa"/>
            <w:vAlign w:val="bottom"/>
          </w:tcPr>
          <w:p>
            <w:pPr>
              <w:spacing w:after="0"/>
              <w:rPr>
                <w:sz w:val="20"/>
                <w:szCs w:val="20"/>
                <w:color w:val="auto"/>
              </w:rPr>
            </w:pPr>
            <w:r>
              <w:rPr>
                <w:rFonts w:ascii="Courier New" w:cs="Courier New" w:eastAsia="Courier New" w:hAnsi="Courier New"/>
                <w:sz w:val="16"/>
                <w:szCs w:val="16"/>
                <w:color w:val="auto"/>
              </w:rPr>
              <w:t>/s/ David A. Levin</w:t>
            </w: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President, Chief Executive</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w w:val="97"/>
              </w:rPr>
              <w:t>August 23, 2002</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4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David A. Levin</w:t>
            </w: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Officer and Director</w:t>
            </w:r>
          </w:p>
        </w:tc>
        <w:tc>
          <w:tcPr>
            <w:tcW w:w="1900" w:type="dxa"/>
            <w:vAlign w:val="bottom"/>
          </w:tcPr>
          <w:p>
            <w:pPr>
              <w:spacing w:after="0"/>
              <w:rPr>
                <w:sz w:val="15"/>
                <w:szCs w:val="15"/>
                <w:color w:val="auto"/>
              </w:rPr>
            </w:pPr>
          </w:p>
        </w:tc>
      </w:tr>
      <w:tr>
        <w:trPr>
          <w:trHeight w:val="183"/>
        </w:trPr>
        <w:tc>
          <w:tcPr>
            <w:tcW w:w="3580" w:type="dxa"/>
            <w:vAlign w:val="bottom"/>
          </w:tcPr>
          <w:p>
            <w:pPr>
              <w:spacing w:after="0"/>
              <w:rPr>
                <w:sz w:val="15"/>
                <w:szCs w:val="15"/>
                <w:color w:val="auto"/>
              </w:rPr>
            </w:pP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(Principal Executive Officer)</w:t>
            </w:r>
          </w:p>
        </w:tc>
        <w:tc>
          <w:tcPr>
            <w:tcW w:w="1900" w:type="dxa"/>
            <w:vAlign w:val="bottom"/>
          </w:tcPr>
          <w:p>
            <w:pPr>
              <w:spacing w:after="0"/>
              <w:rPr>
                <w:sz w:val="15"/>
                <w:szCs w:val="15"/>
                <w:color w:val="auto"/>
              </w:rPr>
            </w:pPr>
          </w:p>
        </w:tc>
      </w:tr>
      <w:tr>
        <w:trPr>
          <w:trHeight w:val="367"/>
        </w:trPr>
        <w:tc>
          <w:tcPr>
            <w:tcW w:w="3580" w:type="dxa"/>
            <w:vAlign w:val="bottom"/>
          </w:tcPr>
          <w:p>
            <w:pPr>
              <w:spacing w:after="0"/>
              <w:rPr>
                <w:sz w:val="20"/>
                <w:szCs w:val="20"/>
                <w:color w:val="auto"/>
              </w:rPr>
            </w:pPr>
            <w:r>
              <w:rPr>
                <w:rFonts w:ascii="Courier New" w:cs="Courier New" w:eastAsia="Courier New" w:hAnsi="Courier New"/>
                <w:sz w:val="16"/>
                <w:szCs w:val="16"/>
                <w:color w:val="auto"/>
              </w:rPr>
              <w:t>/s/ Dennis R. Hernreich</w:t>
            </w: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Senior Vice President, Chief</w:t>
            </w:r>
          </w:p>
        </w:tc>
        <w:tc>
          <w:tcPr>
            <w:tcW w:w="1900" w:type="dxa"/>
            <w:vAlign w:val="bottom"/>
          </w:tcPr>
          <w:p>
            <w:pPr>
              <w:ind w:left="480"/>
              <w:spacing w:after="0"/>
              <w:rPr>
                <w:sz w:val="20"/>
                <w:szCs w:val="20"/>
                <w:color w:val="auto"/>
              </w:rPr>
            </w:pPr>
            <w:r>
              <w:rPr>
                <w:rFonts w:ascii="Courier New" w:cs="Courier New" w:eastAsia="Courier New" w:hAnsi="Courier New"/>
                <w:sz w:val="16"/>
                <w:szCs w:val="16"/>
                <w:color w:val="auto"/>
                <w:w w:val="97"/>
              </w:rPr>
              <w:t>August 23, 2002</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4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Dennis R. Hernreich</w:t>
            </w: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Financial Officer and Treasurer</w:t>
            </w:r>
          </w:p>
        </w:tc>
        <w:tc>
          <w:tcPr>
            <w:tcW w:w="1900" w:type="dxa"/>
            <w:vAlign w:val="bottom"/>
          </w:tcPr>
          <w:p>
            <w:pPr>
              <w:spacing w:after="0"/>
              <w:rPr>
                <w:sz w:val="15"/>
                <w:szCs w:val="15"/>
                <w:color w:val="auto"/>
              </w:rPr>
            </w:pPr>
          </w:p>
        </w:tc>
      </w:tr>
      <w:tr>
        <w:trPr>
          <w:trHeight w:val="183"/>
        </w:trPr>
        <w:tc>
          <w:tcPr>
            <w:tcW w:w="3580" w:type="dxa"/>
            <w:vAlign w:val="bottom"/>
          </w:tcPr>
          <w:p>
            <w:pPr>
              <w:spacing w:after="0"/>
              <w:rPr>
                <w:sz w:val="15"/>
                <w:szCs w:val="15"/>
                <w:color w:val="auto"/>
              </w:rPr>
            </w:pP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(Principal Accounting Officer)</w:t>
            </w:r>
          </w:p>
        </w:tc>
        <w:tc>
          <w:tcPr>
            <w:tcW w:w="1900" w:type="dxa"/>
            <w:vAlign w:val="bottom"/>
          </w:tcPr>
          <w:p>
            <w:pPr>
              <w:spacing w:after="0"/>
              <w:rPr>
                <w:sz w:val="15"/>
                <w:szCs w:val="15"/>
                <w:color w:val="auto"/>
              </w:rPr>
            </w:pPr>
          </w:p>
        </w:tc>
      </w:tr>
      <w:tr>
        <w:trPr>
          <w:trHeight w:val="367"/>
        </w:trPr>
        <w:tc>
          <w:tcPr>
            <w:tcW w:w="3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340" w:type="dxa"/>
            <w:vAlign w:val="bottom"/>
          </w:tcPr>
          <w:p>
            <w:pPr>
              <w:ind w:left="620"/>
              <w:spacing w:after="0"/>
              <w:rPr>
                <w:sz w:val="20"/>
                <w:szCs w:val="20"/>
                <w:color w:val="auto"/>
              </w:rPr>
            </w:pPr>
            <w:r>
              <w:rPr>
                <w:rFonts w:ascii="Courier New" w:cs="Courier New" w:eastAsia="Courier New" w:hAnsi="Courier New"/>
                <w:sz w:val="16"/>
                <w:szCs w:val="16"/>
                <w:color w:val="auto"/>
              </w:rPr>
              <w:t>Chairman of the Board of Directors</w:t>
            </w:r>
          </w:p>
        </w:tc>
        <w:tc>
          <w:tcPr>
            <w:tcW w:w="1900" w:type="dxa"/>
            <w:vAlign w:val="bottom"/>
          </w:tcPr>
          <w:p>
            <w:pPr>
              <w:spacing w:after="0"/>
              <w:rPr>
                <w:sz w:val="24"/>
                <w:szCs w:val="24"/>
                <w:color w:val="auto"/>
              </w:rPr>
            </w:pP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4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Seymour Holtzman</w:t>
            </w:r>
          </w:p>
        </w:tc>
        <w:tc>
          <w:tcPr>
            <w:tcW w:w="4340" w:type="dxa"/>
            <w:vAlign w:val="bottom"/>
          </w:tcPr>
          <w:p>
            <w:pPr>
              <w:spacing w:after="0"/>
              <w:rPr>
                <w:sz w:val="15"/>
                <w:szCs w:val="15"/>
                <w:color w:val="auto"/>
              </w:rPr>
            </w:pPr>
          </w:p>
        </w:tc>
        <w:tc>
          <w:tcPr>
            <w:tcW w:w="1900" w:type="dxa"/>
            <w:vAlign w:val="bottom"/>
          </w:tcPr>
          <w:p>
            <w:pPr>
              <w:spacing w:after="0"/>
              <w:rPr>
                <w:sz w:val="15"/>
                <w:szCs w:val="15"/>
                <w:color w:val="auto"/>
              </w:rPr>
            </w:pPr>
          </w:p>
        </w:tc>
      </w:tr>
    </w:tbl>
    <w:p>
      <w:pPr>
        <w:spacing w:after="0" w:line="186" w:lineRule="exact"/>
        <w:rPr>
          <w:sz w:val="20"/>
          <w:szCs w:val="20"/>
          <w:color w:val="auto"/>
        </w:rPr>
      </w:pPr>
    </w:p>
    <w:p>
      <w:pPr>
        <w:ind w:left="2"/>
        <w:spacing w:after="0"/>
        <w:tabs>
          <w:tab w:leader="none" w:pos="41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Jesse H. Choper</w:t>
      </w:r>
    </w:p>
    <w:p>
      <w:pPr>
        <w:spacing w:after="0" w:line="186"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Alan Cohen</w:t>
      </w:r>
    </w:p>
    <w:p>
      <w:pPr>
        <w:spacing w:after="0" w:line="186"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Stephen M. Duff</w:t>
      </w:r>
    </w:p>
    <w:p>
      <w:pPr>
        <w:spacing w:after="0" w:line="186" w:lineRule="exact"/>
        <w:rPr>
          <w:sz w:val="20"/>
          <w:szCs w:val="20"/>
          <w:color w:val="auto"/>
        </w:rPr>
      </w:pPr>
    </w:p>
    <w:p>
      <w:pPr>
        <w:ind w:left="2"/>
        <w:spacing w:after="0"/>
        <w:tabs>
          <w:tab w:leader="none" w:pos="41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Jeremiah P. Murphy, Jr.</w:t>
      </w:r>
    </w:p>
    <w:p>
      <w:pPr>
        <w:spacing w:after="0" w:line="186" w:lineRule="exact"/>
        <w:rPr>
          <w:sz w:val="20"/>
          <w:szCs w:val="20"/>
          <w:color w:val="auto"/>
        </w:rPr>
      </w:pPr>
    </w:p>
    <w:p>
      <w:pPr>
        <w:ind w:left="2"/>
        <w:spacing w:after="0"/>
        <w:tabs>
          <w:tab w:leader="none" w:pos="41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Joseph Pennacchio</w:t>
      </w:r>
    </w:p>
    <w:p>
      <w:pPr>
        <w:spacing w:after="0" w:line="186" w:lineRule="exact"/>
        <w:rPr>
          <w:sz w:val="20"/>
          <w:szCs w:val="20"/>
          <w:color w:val="auto"/>
        </w:rPr>
      </w:pPr>
    </w:p>
    <w:p>
      <w:pPr>
        <w:ind w:left="2"/>
        <w:spacing w:after="0"/>
        <w:tabs>
          <w:tab w:leader="none" w:pos="41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T. Porter, Jr.</w:t>
      </w:r>
    </w:p>
    <w:p>
      <w:pPr>
        <w:spacing w:after="0" w:line="186" w:lineRule="exact"/>
        <w:rPr>
          <w:sz w:val="20"/>
          <w:szCs w:val="20"/>
          <w:color w:val="auto"/>
        </w:rPr>
      </w:pPr>
    </w:p>
    <w:p>
      <w:pPr>
        <w:ind w:left="2"/>
        <w:spacing w:after="0"/>
        <w:tabs>
          <w:tab w:leader="none" w:pos="8382" w:val="left"/>
        </w:tabs>
        <w:rPr>
          <w:sz w:val="20"/>
          <w:szCs w:val="20"/>
          <w:color w:val="auto"/>
        </w:rPr>
      </w:pPr>
      <w:r>
        <w:rPr>
          <w:rFonts w:ascii="Courier New" w:cs="Courier New" w:eastAsia="Courier New" w:hAnsi="Courier New"/>
          <w:sz w:val="16"/>
          <w:szCs w:val="16"/>
          <w:color w:val="auto"/>
        </w:rPr>
        <w:t>*By: /s/ Dennis R. Hernreich</w:t>
      </w:r>
      <w:r>
        <w:rPr>
          <w:sz w:val="20"/>
          <w:szCs w:val="20"/>
          <w:color w:val="auto"/>
        </w:rPr>
        <w:tab/>
      </w:r>
      <w:r>
        <w:rPr>
          <w:rFonts w:ascii="Courier New" w:cs="Courier New" w:eastAsia="Courier New" w:hAnsi="Courier New"/>
          <w:sz w:val="15"/>
          <w:szCs w:val="15"/>
          <w:color w:val="auto"/>
        </w:rPr>
        <w:t>August 23, 2002</w:t>
      </w:r>
    </w:p>
    <w:p>
      <w:pPr>
        <w:spacing w:after="0" w:line="2" w:lineRule="exact"/>
        <w:rPr>
          <w:sz w:val="20"/>
          <w:szCs w:val="20"/>
          <w:color w:val="auto"/>
        </w:rPr>
      </w:pPr>
    </w:p>
    <w:p>
      <w:pPr>
        <w:ind w:left="182" w:hanging="182"/>
        <w:spacing w:after="0"/>
        <w:tabs>
          <w:tab w:leader="none" w:pos="1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 w:right="841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Dennis R. Hernreich Attorney-in-Fact</w:t>
      </w:r>
    </w:p>
    <w:p>
      <w:pPr>
        <w:sectPr>
          <w:pgSz w:w="11900" w:h="16838" w:orient="portrait"/>
          <w:cols w:equalWidth="0" w:num="1">
            <w:col w:w="10221"/>
          </w:cols>
          <w:pgMar w:left="238" w:top="1031" w:right="1440" w:bottom="1440" w:gutter="0" w:footer="0" w:header="0"/>
          <w:type w:val="continuous"/>
        </w:sectPr>
      </w:pPr>
    </w:p>
    <w:bookmarkStart w:id="24" w:name="page25"/>
    <w:bookmarkEnd w:id="24"/>
    <w:tbl>
      <w:tblPr>
        <w:tblLayout w:type="fixed"/>
        <w:tblInd w:w="2"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tcPr>
          <w:p>
            <w:pPr>
              <w:ind w:left="1580"/>
              <w:spacing w:after="0"/>
              <w:rPr>
                <w:sz w:val="20"/>
                <w:szCs w:val="20"/>
                <w:color w:val="auto"/>
              </w:rPr>
            </w:pPr>
            <w:r>
              <w:rPr>
                <w:rFonts w:ascii="Courier New" w:cs="Courier New" w:eastAsia="Courier New" w:hAnsi="Courier New"/>
                <w:sz w:val="16"/>
                <w:szCs w:val="16"/>
                <w:color w:val="auto"/>
              </w:rPr>
              <w:t>EXHIBIT</w:t>
            </w:r>
          </w:p>
        </w:tc>
        <w:tc>
          <w:tcPr>
            <w:tcW w:w="2140" w:type="dxa"/>
            <w:vAlign w:val="bottom"/>
          </w:tcPr>
          <w:p>
            <w:pPr>
              <w:ind w:left="40"/>
              <w:spacing w:after="0"/>
              <w:rPr>
                <w:sz w:val="20"/>
                <w:szCs w:val="20"/>
                <w:color w:val="auto"/>
              </w:rPr>
            </w:pPr>
            <w:r>
              <w:rPr>
                <w:rFonts w:ascii="Courier New" w:cs="Courier New" w:eastAsia="Courier New" w:hAnsi="Courier New"/>
                <w:sz w:val="16"/>
                <w:szCs w:val="16"/>
                <w:color w:val="auto"/>
              </w:rPr>
              <w:t>INDEX</w:t>
            </w:r>
          </w:p>
        </w:tc>
      </w:tr>
      <w:tr>
        <w:trPr>
          <w:trHeight w:val="367"/>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Exhibit No.</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Description</w:t>
            </w:r>
          </w:p>
        </w:tc>
        <w:tc>
          <w:tcPr>
            <w:tcW w:w="214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Opinion</w:t>
            </w:r>
          </w:p>
        </w:tc>
        <w:tc>
          <w:tcPr>
            <w:tcW w:w="44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Kramer Levin Naftalis &amp; Frankel LLP.</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Consent</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of Independent Auditors</w:t>
            </w:r>
          </w:p>
        </w:tc>
        <w:tc>
          <w:tcPr>
            <w:tcW w:w="2140" w:type="dxa"/>
            <w:vAlign w:val="bottom"/>
          </w:tcPr>
          <w:p>
            <w:pPr>
              <w:ind w:left="40"/>
              <w:spacing w:after="0"/>
              <w:rPr>
                <w:sz w:val="20"/>
                <w:szCs w:val="20"/>
                <w:color w:val="auto"/>
              </w:rPr>
            </w:pPr>
            <w:r>
              <w:rPr>
                <w:rFonts w:ascii="Courier New" w:cs="Courier New" w:eastAsia="Courier New" w:hAnsi="Courier New"/>
                <w:sz w:val="16"/>
                <w:szCs w:val="16"/>
                <w:color w:val="auto"/>
              </w:rPr>
              <w:t>- Ernst &amp; Young LLP.</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3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Independent Auditors' Consent -</w:t>
            </w:r>
          </w:p>
        </w:tc>
        <w:tc>
          <w:tcPr>
            <w:tcW w:w="2140" w:type="dxa"/>
            <w:vAlign w:val="bottom"/>
          </w:tcPr>
          <w:p>
            <w:pPr>
              <w:ind w:left="40"/>
              <w:spacing w:after="0"/>
              <w:rPr>
                <w:sz w:val="20"/>
                <w:szCs w:val="20"/>
                <w:color w:val="auto"/>
              </w:rPr>
            </w:pPr>
            <w:r>
              <w:rPr>
                <w:rFonts w:ascii="Courier New" w:cs="Courier New" w:eastAsia="Courier New" w:hAnsi="Courier New"/>
                <w:sz w:val="16"/>
                <w:szCs w:val="16"/>
                <w:color w:val="auto"/>
                <w:w w:val="98"/>
              </w:rPr>
              <w:t>Deloitte &amp; Touche LLP.</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3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Independent Auditors' Consent -</w:t>
            </w:r>
          </w:p>
        </w:tc>
        <w:tc>
          <w:tcPr>
            <w:tcW w:w="2140" w:type="dxa"/>
            <w:vAlign w:val="bottom"/>
          </w:tcPr>
          <w:p>
            <w:pPr>
              <w:ind w:left="40"/>
              <w:spacing w:after="0"/>
              <w:rPr>
                <w:sz w:val="20"/>
                <w:szCs w:val="20"/>
                <w:color w:val="auto"/>
              </w:rPr>
            </w:pPr>
            <w:r>
              <w:rPr>
                <w:rFonts w:ascii="Courier New" w:cs="Courier New" w:eastAsia="Courier New" w:hAnsi="Courier New"/>
                <w:sz w:val="16"/>
                <w:szCs w:val="16"/>
                <w:color w:val="auto"/>
              </w:rPr>
              <w:t>KPMG LLP.</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32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Power of Attorney.</w:t>
            </w:r>
          </w:p>
        </w:tc>
        <w:tc>
          <w:tcPr>
            <w:tcW w:w="2140" w:type="dxa"/>
            <w:vAlign w:val="bottom"/>
          </w:tcPr>
          <w:p>
            <w:pPr>
              <w:spacing w:after="0"/>
              <w:rPr>
                <w:sz w:val="24"/>
                <w:szCs w:val="24"/>
                <w:color w:val="auto"/>
              </w:rPr>
            </w:pP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82" w:hanging="282"/>
        <w:spacing w:after="0"/>
        <w:tabs>
          <w:tab w:leader="none" w:pos="2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Previously filed.</w:t>
      </w:r>
    </w:p>
    <w:p>
      <w:pPr>
        <w:sectPr>
          <w:pgSz w:w="11900" w:h="16838" w:orient="portrait"/>
          <w:cols w:equalWidth="0" w:num="1">
            <w:col w:w="10221"/>
          </w:cols>
          <w:pgMar w:left="238" w:top="1031" w:right="1440" w:bottom="1440" w:gutter="0" w:footer="0" w:header="0"/>
        </w:sectPr>
      </w:pPr>
    </w:p>
    <w:bookmarkStart w:id="25" w:name="page26"/>
    <w:bookmarkEnd w:id="25"/>
    <w:p>
      <w:pPr>
        <w:ind w:left="6580"/>
        <w:spacing w:after="0"/>
        <w:rPr>
          <w:sz w:val="20"/>
          <w:szCs w:val="20"/>
          <w:color w:val="auto"/>
        </w:rPr>
      </w:pPr>
      <w:r>
        <w:rPr>
          <w:rFonts w:ascii="Courier New" w:cs="Courier New" w:eastAsia="Courier New" w:hAnsi="Courier New"/>
          <w:sz w:val="15"/>
          <w:szCs w:val="15"/>
          <w:color w:val="auto"/>
        </w:rPr>
        <w:t>Exhibit 5.1</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KRAMER LEVIN NAFTALIS &amp; FRANKEL LLP</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919 THIRD AVENUE</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NEW YORK, N.Y. 10022 - 3852</w:t>
      </w:r>
    </w:p>
    <w:p>
      <w:pPr>
        <w:sectPr>
          <w:pgSz w:w="11900" w:h="16838" w:orient="portrait"/>
          <w:cols w:equalWidth="0" w:num="1">
            <w:col w:w="10219"/>
          </w:cols>
          <w:pgMar w:left="240" w:top="142"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(212) 715-9100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(212) 715-8000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 Avenue Hoche</w:t>
      </w:r>
    </w:p>
    <w:p>
      <w:pPr>
        <w:spacing w:after="0" w:line="1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75008 Paris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France</w:t>
      </w:r>
    </w:p>
    <w:p>
      <w:pPr>
        <w:spacing w:after="0" w:line="188" w:lineRule="exact"/>
        <w:rPr>
          <w:sz w:val="20"/>
          <w:szCs w:val="20"/>
          <w:color w:val="auto"/>
        </w:rPr>
      </w:pPr>
    </w:p>
    <w:p>
      <w:pPr>
        <w:sectPr>
          <w:pgSz w:w="11900" w:h="16838" w:orient="portrait"/>
          <w:cols w:equalWidth="0" w:num="2">
            <w:col w:w="5380" w:space="720"/>
            <w:col w:w="4119"/>
          </w:cols>
          <w:pgMar w:left="240" w:top="142" w:right="1440" w:bottom="1440" w:gutter="0" w:footer="0" w:header="0"/>
          <w:type w:val="continuous"/>
        </w:sectPr>
      </w:pPr>
    </w:p>
    <w:p>
      <w:pPr>
        <w:ind w:left="5140"/>
        <w:spacing w:after="0"/>
        <w:rPr>
          <w:sz w:val="20"/>
          <w:szCs w:val="20"/>
          <w:color w:val="auto"/>
        </w:rPr>
      </w:pPr>
      <w:r>
        <w:rPr>
          <w:rFonts w:ascii="Courier New" w:cs="Courier New" w:eastAsia="Courier New" w:hAnsi="Courier New"/>
          <w:sz w:val="15"/>
          <w:szCs w:val="15"/>
          <w:color w:val="auto"/>
        </w:rPr>
        <w:t>August 23, 2002</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Casual Male Retail Group,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 Turnpike Street</w:t>
      </w:r>
    </w:p>
    <w:p>
      <w:pPr>
        <w:spacing w:after="0" w:line="2"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6"/>
          <w:szCs w:val="16"/>
          <w:color w:val="auto"/>
        </w:rPr>
        <w:t>Canton, Massachusetts</w:t>
      </w:r>
      <w:r>
        <w:rPr>
          <w:sz w:val="20"/>
          <w:szCs w:val="20"/>
          <w:color w:val="auto"/>
        </w:rPr>
        <w:tab/>
      </w:r>
      <w:r>
        <w:rPr>
          <w:rFonts w:ascii="Courier New" w:cs="Courier New" w:eastAsia="Courier New" w:hAnsi="Courier New"/>
          <w:sz w:val="15"/>
          <w:szCs w:val="15"/>
          <w:color w:val="auto"/>
        </w:rPr>
        <w:t>02021</w:t>
      </w:r>
    </w:p>
    <w:p>
      <w:pPr>
        <w:sectPr>
          <w:pgSz w:w="11900" w:h="16838" w:orient="portrait"/>
          <w:cols w:equalWidth="0" w:num="1">
            <w:col w:w="10219"/>
          </w:cols>
          <w:pgMar w:left="240" w:top="142" w:right="1440" w:bottom="1440" w:gutter="0" w:footer="0" w:header="0"/>
          <w:type w:val="continuous"/>
        </w:sectPr>
      </w:pP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Registration Statement on Form S-3</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679" w:firstLine="1717"/>
        <w:spacing w:after="0" w:line="260" w:lineRule="auto"/>
        <w:rPr>
          <w:sz w:val="20"/>
          <w:szCs w:val="20"/>
          <w:color w:val="auto"/>
        </w:rPr>
      </w:pPr>
      <w:r>
        <w:rPr>
          <w:rFonts w:ascii="Courier New" w:cs="Courier New" w:eastAsia="Courier New" w:hAnsi="Courier New"/>
          <w:sz w:val="15"/>
          <w:szCs w:val="15"/>
          <w:color w:val="auto"/>
        </w:rPr>
        <w:t>We are rendering this opinion in connection with the Registration Statement on Form S-3 (File No. 333-90742) (the "Registration Statement") filed by Casual Male Retail Group, Inc. (formerly known as Designs, Inc.), a Delaware corporation (the "Company"), with the Securities and Exchange Commission under the Securities Act of 1933, as amended (the "Securities Act"). The Registration Statement relates to 20,277,867 shares (the "Shares") of the Company's common stock, par value $0.01 per share ("Common Stock"), and 4,531,471 shares of Common Stock (the "Additional Shares") issuable upon the exercise of certain outstanding warrants or options.</w:t>
      </w:r>
    </w:p>
    <w:p>
      <w:pPr>
        <w:spacing w:after="0" w:line="177" w:lineRule="exact"/>
        <w:rPr>
          <w:sz w:val="20"/>
          <w:szCs w:val="20"/>
          <w:color w:val="auto"/>
        </w:rPr>
      </w:pPr>
    </w:p>
    <w:p>
      <w:pPr>
        <w:ind w:right="2679" w:firstLine="1717"/>
        <w:spacing w:after="0" w:line="242" w:lineRule="auto"/>
        <w:rPr>
          <w:sz w:val="20"/>
          <w:szCs w:val="20"/>
          <w:color w:val="auto"/>
        </w:rPr>
      </w:pPr>
      <w:r>
        <w:rPr>
          <w:rFonts w:ascii="Courier New" w:cs="Courier New" w:eastAsia="Courier New" w:hAnsi="Courier New"/>
          <w:sz w:val="16"/>
          <w:szCs w:val="16"/>
          <w:color w:val="auto"/>
        </w:rPr>
        <w:t>We have examined such documents and records as we have deemed necessary to enable us to express an opinion on the matters covered hereby. In rendering this opinion, we have (a) assumed (i) the genuineness of all signatures on all documents examined by us, (ii) the authenticity of all documents submitted to us as originals and (iii) the conformity to original documents of all documents submitted to us as photostatic or conformed copies and the authenticity of the originals of such copies; and (b) relied on (i) certificates of public officials and (ii) as to matters of fact, representations, statements and certificates of officers and representatives of the Company. In giving the opinion set forth below, we have also assumed that the Additional Shares will be issued in accordance with the terms of the respective instruments governing such issuance.</w:t>
      </w:r>
    </w:p>
    <w:p>
      <w:pPr>
        <w:spacing w:after="0" w:line="191" w:lineRule="exact"/>
        <w:rPr>
          <w:sz w:val="20"/>
          <w:szCs w:val="20"/>
          <w:color w:val="auto"/>
        </w:rPr>
      </w:pPr>
    </w:p>
    <w:p>
      <w:pPr>
        <w:ind w:right="2599" w:firstLine="1717"/>
        <w:spacing w:after="0" w:line="241" w:lineRule="auto"/>
        <w:rPr>
          <w:sz w:val="20"/>
          <w:szCs w:val="20"/>
          <w:color w:val="auto"/>
        </w:rPr>
      </w:pPr>
      <w:r>
        <w:rPr>
          <w:rFonts w:ascii="Courier New" w:cs="Courier New" w:eastAsia="Courier New" w:hAnsi="Courier New"/>
          <w:sz w:val="16"/>
          <w:szCs w:val="16"/>
          <w:color w:val="auto"/>
        </w:rPr>
        <w:t>Based upon the foregoing, we are of the opinion that the Shares are validly issued, fully paid and non-assessable and that, upon issuance of the Additional Shares in accordance with terms of the respective instruments governing such issuance, the Additional Shares will be validly issued, fully paid and non-assessable.</w:t>
      </w:r>
    </w:p>
    <w:p>
      <w:pPr>
        <w:spacing w:after="0" w:line="190" w:lineRule="exact"/>
        <w:rPr>
          <w:sz w:val="20"/>
          <w:szCs w:val="20"/>
          <w:color w:val="auto"/>
        </w:rPr>
      </w:pPr>
    </w:p>
    <w:p>
      <w:pPr>
        <w:ind w:right="2599" w:firstLine="1717"/>
        <w:spacing w:after="0"/>
        <w:rPr>
          <w:sz w:val="20"/>
          <w:szCs w:val="20"/>
          <w:color w:val="auto"/>
        </w:rPr>
      </w:pPr>
      <w:r>
        <w:rPr>
          <w:rFonts w:ascii="Courier New" w:cs="Courier New" w:eastAsia="Courier New" w:hAnsi="Courier New"/>
          <w:sz w:val="16"/>
          <w:szCs w:val="16"/>
          <w:color w:val="auto"/>
        </w:rPr>
        <w:t>We are attorneys admitted to the Bar of the State of New York, and we do not express any opinion herein as to any laws other than the General Corporation Law of the State of Delaware.</w:t>
      </w:r>
    </w:p>
    <w:p>
      <w:pPr>
        <w:spacing w:after="0" w:line="200" w:lineRule="exact"/>
        <w:rPr>
          <w:sz w:val="20"/>
          <w:szCs w:val="20"/>
          <w:color w:val="auto"/>
        </w:rPr>
      </w:pP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Very truly yours,</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Kramer Levin Naftalis &amp; Frankel LLP</w:t>
      </w:r>
    </w:p>
    <w:p>
      <w:pPr>
        <w:sectPr>
          <w:pgSz w:w="11900" w:h="16838" w:orient="portrait"/>
          <w:cols w:equalWidth="0" w:num="1">
            <w:col w:w="10219"/>
          </w:cols>
          <w:pgMar w:left="240" w:top="142" w:right="1440" w:bottom="1440" w:gutter="0" w:footer="0" w:header="0"/>
          <w:type w:val="continuous"/>
        </w:sectPr>
      </w:pPr>
    </w:p>
    <w:bookmarkStart w:id="26" w:name="page27"/>
    <w:bookmarkEnd w:id="26"/>
    <w:p>
      <w:pPr>
        <w:jc w:val="right"/>
        <w:ind w:right="2599"/>
        <w:spacing w:after="0"/>
        <w:rPr>
          <w:sz w:val="20"/>
          <w:szCs w:val="20"/>
          <w:color w:val="auto"/>
        </w:rPr>
      </w:pPr>
      <w:r>
        <w:rPr>
          <w:rFonts w:ascii="Courier New" w:cs="Courier New" w:eastAsia="Courier New" w:hAnsi="Courier New"/>
          <w:sz w:val="16"/>
          <w:szCs w:val="16"/>
          <w:color w:val="auto"/>
        </w:rPr>
        <w:t>EXHIBIT 23.1</w:t>
      </w:r>
    </w:p>
    <w:p>
      <w:pPr>
        <w:spacing w:after="0" w:line="36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72"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We consent to the reference to our firm under the caption "Experts" in the Amendment No. 1 to the Registration Statement on Form S-3 and related Prospectus of Casual Male Retail Group, Inc. (formerly, Designs, Inc.) for the registration of 24,809,338 shares of its common stock and to the incorporation by reference therein of our report dated March 11, 2002, with respect to the consolidated financial statements and schedule of Designs, Inc. included in its Annual Report (Form 10-K) for the year ended February 2, 2002, filed with the Securities and Exchange Commission.</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/s/ 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20, 2002</w:t>
      </w:r>
    </w:p>
    <w:p>
      <w:pPr>
        <w:sectPr>
          <w:pgSz w:w="11900" w:h="16838" w:orient="portrait"/>
          <w:cols w:equalWidth="0" w:num="1">
            <w:col w:w="10219"/>
          </w:cols>
          <w:pgMar w:left="240" w:top="322" w:right="1440" w:bottom="1440" w:gutter="0" w:footer="0" w:header="0"/>
        </w:sectPr>
      </w:pPr>
    </w:p>
    <w:bookmarkStart w:id="27" w:name="page28"/>
    <w:bookmarkEnd w:id="27"/>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INDEPENDENT AUDITORS' CONSENT</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this amended Registration Statement of Casual Male Retail Group, Inc. (previously, Designs, Inc.) on Form S-3 of our report dated April 11, 2000, appearing in the Annual Report on Form 10-K of Designs, Inc. for the year ended February 2, 2002, and to the reference to us under the heading "Experts" in the Prospectus, which is part of this amended Registration Statement.</w:t>
      </w:r>
    </w:p>
    <w:p>
      <w:pPr>
        <w:spacing w:after="0" w:line="368"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/s/ 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20, 2002</w:t>
      </w:r>
    </w:p>
    <w:p>
      <w:pPr>
        <w:sectPr>
          <w:pgSz w:w="11900" w:h="16838" w:orient="portrait"/>
          <w:cols w:equalWidth="0" w:num="1">
            <w:col w:w="10219"/>
          </w:cols>
          <w:pgMar w:left="240" w:top="139" w:right="1440" w:bottom="1440" w:gutter="0" w:footer="0" w:header="0"/>
        </w:sectPr>
      </w:pPr>
    </w:p>
    <w:bookmarkStart w:id="28" w:name="page29"/>
    <w:bookmarkEnd w:id="28"/>
    <w:p>
      <w:pPr>
        <w:jc w:val="right"/>
        <w:ind w:right="2599"/>
        <w:spacing w:after="0"/>
        <w:rPr>
          <w:sz w:val="20"/>
          <w:szCs w:val="20"/>
          <w:color w:val="auto"/>
        </w:rPr>
      </w:pPr>
      <w:r>
        <w:rPr>
          <w:rFonts w:ascii="Courier New" w:cs="Courier New" w:eastAsia="Courier New" w:hAnsi="Courier New"/>
          <w:sz w:val="16"/>
          <w:szCs w:val="16"/>
          <w:color w:val="auto"/>
        </w:rPr>
        <w:t>EXHIBIT 23.3</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INDEPENDENT AUDITORS' CONSENT</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Casual Male Corp.:</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the Amendment No. 1 to the Registration Statement on Form S-3 filed by Casual Male Retail Group, Inc. (formerly, Designs, Inc.) of our report dated May 18, 2002, with respect to the consolidated balance sheets of Casual Male Corp. and subsidiaries as of February 2, 2002 and February 3, 2001, and the related consolidated statements of operations, stockholders' equity (deficit), and cash flows for each of the years in the three-years ended February 2, 2002, February 3, 2001 and January 29, 2000, incorporated herein by reference and to the reference to our firm under the heading "Experts" in the prospectus.</w:t>
      </w:r>
    </w:p>
    <w:p>
      <w:pPr>
        <w:spacing w:after="0" w:line="189" w:lineRule="exact"/>
        <w:rPr>
          <w:sz w:val="20"/>
          <w:szCs w:val="20"/>
          <w:color w:val="auto"/>
        </w:rPr>
      </w:pPr>
    </w:p>
    <w:p>
      <w:pPr>
        <w:jc w:val="both"/>
        <w:ind w:right="2599"/>
        <w:spacing w:after="0" w:line="261" w:lineRule="auto"/>
        <w:rPr>
          <w:sz w:val="20"/>
          <w:szCs w:val="20"/>
          <w:color w:val="auto"/>
        </w:rPr>
      </w:pPr>
      <w:r>
        <w:rPr>
          <w:rFonts w:ascii="Courier New" w:cs="Courier New" w:eastAsia="Courier New" w:hAnsi="Courier New"/>
          <w:sz w:val="15"/>
          <w:szCs w:val="15"/>
          <w:color w:val="auto"/>
        </w:rPr>
        <w:t>Our report dated May 18, 2002, contains an explanatory paragraph that states that most of the assets of the Company have been sold. The Company will continue operations primarily to liquidate any remaining assets and settle the Company's remaining liabilities, including liabilities subject to compromise, to the extent possible. After the settlements have occurred, it is expected that the Company will cease operations.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20, 2002</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o"/>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15"/>
    </w:lvl>
  </w:abstractNum>
  <w:abstractNum w:abstractNumId="6">
    <w:nsid w:val="3352255A"/>
    <w:multiLevelType w:val="hybridMultilevel"/>
    <w:lvl w:ilvl="0">
      <w:lvlJc w:val="left"/>
      <w:lvlText w:val="o"/>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2."/>
      <w:numFmt w:val="lowerRoman"/>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2019-12-20T01:03:08Z</dcterms:created>
  <dcterms:modified xsi:type="dcterms:W3CDTF">2019-12-20T01:03:08Z</dcterms:modified>
</cp:coreProperties>
</file>