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2" w:lineRule="exact"/>
        <w:rPr>
          <w:sz w:val="20"/>
          <w:szCs w:val="20"/>
          <w:color w:val="auto"/>
        </w:rPr>
      </w:pPr>
    </w:p>
    <w:p>
      <w:pPr>
        <w:ind w:right="520"/>
        <w:spacing w:after="0" w:line="328" w:lineRule="auto"/>
        <w:rPr>
          <w:sz w:val="20"/>
          <w:szCs w:val="20"/>
          <w:color w:val="auto"/>
        </w:rPr>
      </w:pPr>
      <w:r>
        <w:rPr>
          <w:rFonts w:ascii="Arial" w:cs="Arial" w:eastAsia="Arial" w:hAnsi="Arial"/>
          <w:sz w:val="19"/>
          <w:szCs w:val="19"/>
          <w:color w:val="auto"/>
        </w:rPr>
        <w:t>On March 22, 2019, Destination XL Group, Inc. (the “Company”) issued a press release announcing the Company’s operating results for the fourth quarter and fiscal year 2018. A copy of this press release is attached hereto as Exhibit 99.1.</w:t>
      </w:r>
    </w:p>
    <w:p>
      <w:pPr>
        <w:spacing w:after="0" w:line="105"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An audio webcast to discuss the Company’s operating results for the fourth quarter and fiscal year 2018 will be held today, March 22, 2019 at 9:00 a.m. ET. Interested parties can access the webcast on the Company's website at www.destinationxl.com under the Investor Relations section.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2"/>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680" w:type="dxa"/>
            <w:vAlign w:val="bottom"/>
          </w:tcPr>
          <w:p>
            <w:pPr>
              <w:spacing w:after="0"/>
              <w:rPr>
                <w:sz w:val="24"/>
                <w:szCs w:val="24"/>
                <w:color w:val="auto"/>
              </w:rPr>
            </w:pPr>
          </w:p>
        </w:tc>
        <w:tc>
          <w:tcPr>
            <w:tcW w:w="9740" w:type="dxa"/>
            <w:vAlign w:val="bottom"/>
            <w:gridSpan w:val="4"/>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Press release issued by Destination XL Group, Inc. dated March 22, 2019</w:t>
              </w:r>
            </w:hyperlink>
          </w:p>
        </w:tc>
      </w:tr>
      <w:tr>
        <w:trPr>
          <w:trHeight w:val="1486"/>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4200" w:type="dxa"/>
            <w:vAlign w:val="bottom"/>
            <w:tcBorders>
              <w:top w:val="single" w:sz="8" w:color="0000EE"/>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22, 2019</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6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300"/>
          </w:cols>
          <w:pgMar w:left="240" w:top="334" w:right="359" w:bottom="1440" w:gutter="0" w:footer="0" w:header="0"/>
        </w:sectPr>
      </w:pPr>
    </w:p>
    <w:bookmarkStart w:id="3" w:name="page4"/>
    <w:bookmarkEnd w:id="3"/>
    <w:p>
      <w:pPr>
        <w:ind w:right="120"/>
        <w:spacing w:after="0"/>
        <w:rPr>
          <w:sz w:val="20"/>
          <w:szCs w:val="20"/>
          <w:color w:val="auto"/>
        </w:rPr>
      </w:pPr>
      <w:r>
        <w:rPr>
          <w:sz w:val="1"/>
          <w:szCs w:val="1"/>
          <w:color w:val="auto"/>
        </w:rPr>
        <w:drawing>
          <wp:inline distT="0" distB="0" distL="0" distR="0">
            <wp:extent cx="1620520" cy="26606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0520" cy="266065"/>
                    </a:xfrm>
                    <a:prstGeom prst="rect">
                      <a:avLst/>
                    </a:prstGeom>
                    <a:noFill/>
                    <a:ln>
                      <a:noFill/>
                    </a:ln>
                  </pic:spPr>
                </pic:pic>
              </a:graphicData>
            </a:graphic>
          </wp:inline>
        </w:drawing>
      </w:r>
      <w:r>
        <w:rPr>
          <w:rFonts w:ascii="Arial" w:cs="Arial" w:eastAsia="Arial" w:hAnsi="Arial"/>
          <w:sz w:val="20"/>
          <w:szCs w:val="20"/>
          <w:color w:val="auto"/>
        </w:rPr>
        <w:t xml:space="preserve"> 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Destination XL Group, Inc. Reports Fiscal 2018 Fourth-Quarter and Full Year Financial Results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Fourth Quarter Comparable Sales up 3.1%; Full-Year Comparable Sales Up 3.0%</w:t>
      </w:r>
    </w:p>
    <w:p>
      <w:pPr>
        <w:spacing w:after="0" w:line="23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CANTON, Mass., March 22, 2019 –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(NASDAQ: DXLG), Destination XL Group, Inc. (NASDAQ: DXLG), the largest omni-channel specialty retailer of big &amp; tall men’s apparel in the United States, today reported financial results for the fourth quarter and fiscal year 2018.</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Highlights</w:t>
      </w:r>
    </w:p>
    <w:p>
      <w:pPr>
        <w:spacing w:after="0" w:line="154" w:lineRule="exact"/>
        <w:rPr>
          <w:sz w:val="20"/>
          <w:szCs w:val="20"/>
          <w:color w:val="auto"/>
        </w:rPr>
      </w:pPr>
    </w:p>
    <w:p>
      <w:pPr>
        <w:ind w:left="880" w:right="300" w:hanging="440"/>
        <w:spacing w:after="0" w:line="245"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sales for the 13-week fourth quarter of $131.2 million as compared to the 14-week fourth quarter in the prior year of $135.5 million; total sales for the 52-week year of $473.8 million as compared to the total sales of $468.0 million for the 53-week prior year.</w:t>
      </w: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comparable sales (on a 52-week basis) increased 3.1% for the fourth quarter and 3.0% for the year.</w:t>
      </w:r>
    </w:p>
    <w:p>
      <w:pPr>
        <w:ind w:left="880" w:right="34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loss for the quarter was $(7.2) million as compared to prior-year quarter’s net loss of $(3.3) million; net loss for the year was $(13.5) million as compared to $(18.8) million in the prior year.</w:t>
      </w:r>
    </w:p>
    <w:p>
      <w:pPr>
        <w:spacing w:after="0" w:line="1" w:lineRule="exact"/>
        <w:rPr>
          <w:rFonts w:ascii="Arial" w:cs="Arial" w:eastAsia="Arial" w:hAnsi="Arial"/>
          <w:sz w:val="20"/>
          <w:szCs w:val="20"/>
          <w:color w:val="auto"/>
        </w:rPr>
      </w:pPr>
    </w:p>
    <w:p>
      <w:pPr>
        <w:ind w:left="880" w:right="30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net loss for the quarter was $(0.6) million as compared to an adjusted net loss of $(2.7) million in the prior-year quarter; adjusted net loss for the year was $(3.5) million as compared to $(12.8) million in the prior year.</w:t>
      </w:r>
    </w:p>
    <w:p>
      <w:pPr>
        <w:spacing w:after="0" w:line="1" w:lineRule="exact"/>
        <w:rPr>
          <w:rFonts w:ascii="Arial" w:cs="Arial" w:eastAsia="Arial" w:hAnsi="Arial"/>
          <w:sz w:val="20"/>
          <w:szCs w:val="20"/>
          <w:color w:val="auto"/>
        </w:rPr>
      </w:pPr>
    </w:p>
    <w:p>
      <w:pPr>
        <w:ind w:left="880" w:right="420" w:hanging="440"/>
        <w:spacing w:after="0" w:line="244"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a non-GAAP basis, adjusted EBITDA for the quarter was $6.8 million as compared to $5.0 million in the prior-year quarter; adjusted EBITDA for the year was $27.4 million as compared to $17.1 million in the prior year.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“We are pleased to report our fifth consecutive quarter of positive comparable sales growth with a fourth quarter increase of 3.1%,” said Acting Chief Executive Officer, David Levin. “Sales performance both in-store and online was consistent throughout the quarter.”</w:t>
      </w:r>
    </w:p>
    <w:p>
      <w:pPr>
        <w:spacing w:after="0" w:line="72"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Levin continued, “Fiscal 2018 was a pivotal year for our Company and we believe our core business is well positioned for continued growth in fiscal 2019. We completed a customer segmentation study that has provided better insights to focus our marketing strategies. We launched a new website that is faster, more responsive, and easier to navigate. We initiated a corporate reorganization that has lowered our SG&amp;A expense, and we refinanced our credit facility with an extension through the middle of 2023. ”</w:t>
      </w:r>
    </w:p>
    <w:p>
      <w:pPr>
        <w:spacing w:after="0" w:line="109"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fourth quarter also marked a major strategic shift at our Company as we officially launched a wholesale division. DXL is the industry expert in men’s big and tall apparel. Wholesale allows us to leverage that expertise and offer a turn-key solution to other retailers who cater to the big and tall customer.”</w:t>
      </w:r>
    </w:p>
    <w:p>
      <w:pPr>
        <w:spacing w:after="0" w:line="119" w:lineRule="exact"/>
        <w:rPr>
          <w:sz w:val="20"/>
          <w:szCs w:val="20"/>
          <w:color w:val="auto"/>
        </w:rPr>
      </w:pPr>
    </w:p>
    <w:p>
      <w:pPr>
        <w:jc w:val="both"/>
        <w:ind w:right="500"/>
        <w:spacing w:after="0" w:line="250" w:lineRule="auto"/>
        <w:rPr>
          <w:sz w:val="20"/>
          <w:szCs w:val="20"/>
          <w:color w:val="auto"/>
        </w:rPr>
      </w:pPr>
      <w:r>
        <w:rPr>
          <w:rFonts w:ascii="Arial" w:cs="Arial" w:eastAsia="Arial" w:hAnsi="Arial"/>
          <w:sz w:val="20"/>
          <w:szCs w:val="20"/>
          <w:color w:val="auto"/>
        </w:rPr>
        <w:t>“Finally, we are very excited to have recruited Harvey Kanter, the former CEO of Blue Nile, to serve as our new CEO. Harvey joined the Company as an advisor on February 19, 2019, and will take over as CEO and join the Board as a director on April 1, 2019. Harvey has a distinguished track record of developing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 w:name="page5"/>
    <w:bookmarkEnd w:id="4"/>
    <w:p>
      <w:pPr>
        <w:ind w:right="220"/>
        <w:spacing w:after="0" w:line="260" w:lineRule="auto"/>
        <w:rPr>
          <w:sz w:val="20"/>
          <w:szCs w:val="20"/>
          <w:color w:val="auto"/>
        </w:rPr>
      </w:pPr>
      <w:r>
        <w:rPr>
          <w:rFonts w:ascii="Arial" w:cs="Arial" w:eastAsia="Arial" w:hAnsi="Arial"/>
          <w:sz w:val="20"/>
          <w:szCs w:val="20"/>
          <w:color w:val="auto"/>
        </w:rPr>
        <w:t>consumer-centric brands and growing their revenue and profitability. Our management team has already begun to engage with Harvey as we begin charting the next phase of DXL growth.” Levin concluded.</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Fourth-Quarter and Fiscal 2018 Results</w:t>
      </w:r>
    </w:p>
    <w:p>
      <w:pPr>
        <w:spacing w:after="0" w:line="14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Company’s 2018 fiscal year included 52 weeks, compared with 53 weeks in fiscal 2017. Accordingly, year-over-year comparisons of total sales for the fourth quarter and full year are affected by an extra week of sales in fiscal 2017. However, for comparable sales, the Company is reporting on a comparable-week basis (i.e., the 13 and 52 weeks ended February 2, 2019 compared with the 13 and 52 weeks ended February 3, 2018,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35"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For the 13-week fourth quarter of fiscal 2018, total sales decreased 3.2% to $131.2 million from $135.5 million for the 14-week fourth quarter of fiscal 2017. Comparable sales for the fourth quarter increased by 3.1%. The decrease of $4.3 million in total sales was due to the shift in comparable weeks and one less week of sales of $8.4 million and closed stores of $2.1 million, partially offset by an increase in comparable sales of or $3.8 million, an increase in wholesale revenue of $2.0 million and an increase in non-comparable sales and other revenue of $0.4 million.</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 fiscal 2018, total sales increased 1.2% to $473.8 million from $468.0 million in fiscal 2017. Comparable sales for the full year increased by 3.0%. The increase in sales of $5.8 million was driven by an increase in comparable sales of $13.3 million, an increase in non-comparable sales of $6.6 million and wholesale revenue of $2.4 million. These increases were partially offset by the shift in comparable weeks and one less week of sales of $6.3 million, closed stores of $8.6 million and other revenue of $1.6 million.</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For the fourth quarter of fiscal 2018, gross margin, inclusive of occupancy costs, was 43.5%, compared with gross margin of 45.0% for the fourth quarter of fiscal 2017. The decrease of 150 basis points was the result of a decrease in merchandise margin of 160 basis points, partially offset by a decrease in occupancy costs as a percentage of total sales of 10 basis points. The decrease in merchandise margin was primarily due to a shift in revenues from core private label to fashion and branded merchandise and the impact of our wholesale segment, which by its nature has lower merchandise margins than our retail business. On a dollar basis, occupancy costs for the fourth quarter decreased approximately 3.8% as compared to the prior-year’s fourth quarter.</w:t>
      </w:r>
    </w:p>
    <w:p>
      <w:pPr>
        <w:spacing w:after="0" w:line="11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For the fiscal year, gross margin, inclusive of occupancy costs, was 44.6%, compared to 45.0% for fiscal 2017. The decrease of 40 basis points was due to a decrease in merchandise margin of 80 basis points, partially offset by a decrease in occupancy costs as a percentage of sales of 40 basis points. The decrease in merchandise margin was similarly due to a shift in revenues toward fashion and branded merchandise and our wholesale segment. On a dollar basis, occupancy costs for the full year decreased 1.4% as compared to fiscal 2017.</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2" w:right="25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SG&amp;A expenses for the fourth quarter of fiscal 2018 were 38.3%, compared with 41.3% of sales in the fourth quarter of fiscal 2017. On a dollar basis, SG&amp;A expense decreased $5.8 million, compared to the prior year fourth quarter, primarily due to a $3.0 million decrease in marketing costs, savings from the corporate restructuring of approximately $1.8 million and approximately $2.5 million of expenses in the prior year for the additional 53rd week. These savings were partially offset by increases in incentive accruals and IT operating costs.</w:t>
      </w:r>
    </w:p>
    <w:p>
      <w:pPr>
        <w:spacing w:after="0" w:line="54" w:lineRule="exact"/>
        <w:rPr>
          <w:sz w:val="20"/>
          <w:szCs w:val="20"/>
          <w:color w:val="auto"/>
        </w:rPr>
      </w:pPr>
    </w:p>
    <w:p>
      <w:pPr>
        <w:jc w:val="both"/>
        <w:ind w:right="320"/>
        <w:spacing w:after="0" w:line="291" w:lineRule="auto"/>
        <w:rPr>
          <w:sz w:val="20"/>
          <w:szCs w:val="20"/>
          <w:color w:val="auto"/>
        </w:rPr>
      </w:pPr>
      <w:r>
        <w:rPr>
          <w:rFonts w:ascii="Arial" w:cs="Arial" w:eastAsia="Arial" w:hAnsi="Arial"/>
          <w:sz w:val="18"/>
          <w:szCs w:val="18"/>
          <w:color w:val="auto"/>
        </w:rPr>
        <w:t>For fiscal 2018, SG&amp;A expenses were 38.8% of sales, compared to 41.3% in fiscal 2017. On a dollar basis, SG&amp;A expense decreased $9.4 million, primarily due to savings from the corporate restructuring of $6.0 million, a decrease in marketing costs of $5.1 million and one less week of expenses of $2.5 million. These decreases were partially offset by an increase in incentive accruals and IT operating costs.</w:t>
      </w:r>
    </w:p>
    <w:p>
      <w:pPr>
        <w:spacing w:after="0" w:line="44"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Management views SG&amp;A expenses through two primary cost centers: Customer Facing Costs and Corporate Support Costs. Customer Facing Costs, which include store payroll, marketing and other store operating costs, represented 23.8% of sales in the fourth quarter of fiscal 2018, compared to 26.5% of sales in the fourth quarter of last year. Corporate Support Costs, which include the distribution center and corporate overhead costs, represented 14.5% of sales in the fourth quarter of fiscal 2018, compared to 14.8% of sales in the fourth quarter of last year. For fiscal 2018, Customer Facing costs were 23.2%, compared to 24.7% for fiscal 2017. Corporate Support Costs for fiscal 2018 were 15.6%, compared to 16.6% for fiscal 2017.</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Corporate Restructuring</w:t>
      </w:r>
    </w:p>
    <w:p>
      <w:pPr>
        <w:spacing w:after="0" w:line="13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In May 2018, the Company executed a corporate restructuring to accelerate the Company's path to profitability by better aligning its expense structure with its revenues. We eliminated 56 positions, which represented approximately 15% of our corporate work force, or 2% of our total work force. Of the 56 positions, 36 positions were terminations and 20 positions were open positions that were not filled. As a result, we incurred an aggregate charge of $1.9 million in fiscal 2018, for employee severance and one-time termination benefits, as well as other employee-related costs. Approximately $1.6 million of the $1.9 million restructuring charge were cash expenditures.</w:t>
      </w:r>
    </w:p>
    <w:p>
      <w:pPr>
        <w:spacing w:after="0" w:line="98" w:lineRule="exact"/>
        <w:rPr>
          <w:sz w:val="20"/>
          <w:szCs w:val="20"/>
          <w:color w:val="auto"/>
        </w:rPr>
      </w:pPr>
    </w:p>
    <w:p>
      <w:pPr>
        <w:ind w:right="400"/>
        <w:spacing w:after="0" w:line="291" w:lineRule="auto"/>
        <w:rPr>
          <w:sz w:val="20"/>
          <w:szCs w:val="20"/>
          <w:color w:val="auto"/>
        </w:rPr>
      </w:pPr>
      <w:r>
        <w:rPr>
          <w:rFonts w:ascii="Arial" w:cs="Arial" w:eastAsia="Arial" w:hAnsi="Arial"/>
          <w:sz w:val="18"/>
          <w:szCs w:val="18"/>
          <w:color w:val="auto"/>
        </w:rPr>
        <w:t>As a result of this restructuring, we realized savings of $6.0 million in SG&amp;A expenses in fiscal 2018. The savings primarily related to corporate payroll, travel, benefits and non-essential project expenses, and are expected to be approximately $10.0 million on an annualized basis. The Company will continue to address its SG&amp;A cost structure to improve its EBITDA margins and overall profitability.</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CEO Search and Transition Costs</w:t>
      </w:r>
    </w:p>
    <w:p>
      <w:pPr>
        <w:spacing w:after="0" w:line="108"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We announced in March 2018 that Mr. Levin planned to retire on December 31, 2018. Pursuant to the terms of the Transition Agreement between the Company and Mr. Levin dated March 20, 2018, as amended (the “Transition Agreement”), Mr. Levin resigned as President, Chief Executive Officer and director of the Company on January 1, 2019, and assumed the role of Acting CEO. On April 1, 2019, Mr.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6" w:name="page7"/>
    <w:bookmarkEnd w:id="6"/>
    <w:p>
      <w:pPr>
        <w:ind w:right="800"/>
        <w:spacing w:after="0" w:line="260" w:lineRule="auto"/>
        <w:rPr>
          <w:sz w:val="20"/>
          <w:szCs w:val="20"/>
          <w:color w:val="auto"/>
        </w:rPr>
      </w:pPr>
      <w:r>
        <w:rPr>
          <w:rFonts w:ascii="Arial" w:cs="Arial" w:eastAsia="Arial" w:hAnsi="Arial"/>
          <w:sz w:val="20"/>
          <w:szCs w:val="20"/>
          <w:color w:val="auto"/>
        </w:rPr>
        <w:t>Levin will resign as Acting CEO, and Mr. Kanter will become the Company’s President, Chief Executive Officer and a director of the Company.</w:t>
      </w:r>
    </w:p>
    <w:p>
      <w:pPr>
        <w:spacing w:after="0" w:line="109" w:lineRule="exact"/>
        <w:rPr>
          <w:sz w:val="20"/>
          <w:szCs w:val="20"/>
          <w:color w:val="auto"/>
        </w:rPr>
      </w:pPr>
    </w:p>
    <w:p>
      <w:pPr>
        <w:ind w:right="260"/>
        <w:spacing w:after="0" w:line="291" w:lineRule="auto"/>
        <w:rPr>
          <w:sz w:val="20"/>
          <w:szCs w:val="20"/>
          <w:color w:val="auto"/>
        </w:rPr>
      </w:pPr>
      <w:r>
        <w:rPr>
          <w:rFonts w:ascii="Arial" w:cs="Arial" w:eastAsia="Arial" w:hAnsi="Arial"/>
          <w:sz w:val="18"/>
          <w:szCs w:val="18"/>
          <w:color w:val="auto"/>
        </w:rPr>
        <w:t>In connection with this transition, we incurred an aggregate charge of $2.4 million in fiscal 2018 related to expenses incurred pursuant to the Transition Agreement and the CEO search. The Company expects to incur additional charges of approximately $1.7 million for CEO transition costs in fiscal 2019, related primarily to potential incentive awards payable pursuant to the Transition Agreement.</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Assets</w:t>
      </w:r>
    </w:p>
    <w:p>
      <w:pPr>
        <w:spacing w:after="0" w:line="216" w:lineRule="exact"/>
        <w:rPr>
          <w:sz w:val="20"/>
          <w:szCs w:val="20"/>
          <w:color w:val="auto"/>
        </w:rPr>
      </w:pPr>
    </w:p>
    <w:p>
      <w:pPr>
        <w:ind w:right="120"/>
        <w:spacing w:after="0" w:line="316" w:lineRule="auto"/>
        <w:rPr>
          <w:sz w:val="20"/>
          <w:szCs w:val="20"/>
          <w:color w:val="auto"/>
        </w:rPr>
      </w:pPr>
      <w:r>
        <w:rPr>
          <w:rFonts w:ascii="Arial" w:cs="Arial" w:eastAsia="Arial" w:hAnsi="Arial"/>
          <w:sz w:val="18"/>
          <w:szCs w:val="18"/>
          <w:color w:val="auto"/>
        </w:rPr>
        <w:t>For the fourth quarter and fiscal year 2018, we recorded asset impairment charges of $4.6 million. These charges consisted of $3.1 million for impairment of store assets, where the carrying value exceeded fair value and $1.5 million for the write-off of our Rochester trademark.</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We expect to close our five remaining Rochester Clothing stores in fiscal 2019. The growth in our DXL brand has slowly eroded the sales volume and profitability in our remaining Rochester stores, which are predominately located in high-rent, metropolitan areas. Most of our Rochester merchandise assortment will continue to be available on dxl.com, and many Rochester brands can be found in DXL stores. With the exception of London, all of our Rochester stores are located in close proximity to one or more DXL stores.</w:t>
      </w:r>
    </w:p>
    <w:p>
      <w:pPr>
        <w:spacing w:after="0" w:line="177"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In the fourth quarter of 2017, we recorded asset impairment charges of $2.4 million, which consisted of $0.5 million for the impairment of long-lived assets, related to stores where the carrying value exceeded fair value, and $1.9 million for the write-off of certain costs associated with technology projects, which were abandoned in fiscal 2017. For fiscal 2017, impairment charges totaled $4.1 million, which consisted of $2.2 million for the impairment of store assets and $1.9 million for the write-off of technology projects.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21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There was no significant income tax benefit recognized in fiscal 2018 or fiscal 2017 due to the full valuation allowance against our deferred tax assets. For fiscal 2017, we recognized an income tax benefit of $2.1 million related to the recognition of the majority of our AMT credit, which became refundable under the 2017 Tax Act. The income tax benefit for fiscal 2018 of $0.2 million is primarily related to the recognition of the remaining AMT credit not recognized in fiscal 2017.</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loss for the fourth quarter of fiscal 2018 was $(7.2) million, or $(0.15) per diluted share, compared to a net loss of $(3.3) million, or $(0.07) per diluted share, for the fourth quarter of fiscal 2017.</w:t>
      </w:r>
    </w:p>
    <w:p>
      <w:pPr>
        <w:spacing w:after="0" w:line="69" w:lineRule="exact"/>
        <w:rPr>
          <w:sz w:val="20"/>
          <w:szCs w:val="20"/>
          <w:color w:val="auto"/>
        </w:rPr>
      </w:pPr>
    </w:p>
    <w:p>
      <w:pPr>
        <w:jc w:val="both"/>
        <w:ind w:right="300"/>
        <w:spacing w:after="0" w:line="291" w:lineRule="auto"/>
        <w:rPr>
          <w:sz w:val="20"/>
          <w:szCs w:val="20"/>
          <w:color w:val="auto"/>
        </w:rPr>
      </w:pPr>
      <w:r>
        <w:rPr>
          <w:rFonts w:ascii="Arial" w:cs="Arial" w:eastAsia="Arial" w:hAnsi="Arial"/>
          <w:sz w:val="18"/>
          <w:szCs w:val="18"/>
          <w:color w:val="auto"/>
        </w:rPr>
        <w:t>Included in our results for the fourth quarter of fiscal 2018 was a charge of $1.8 million, or $(0.04) per diluted share for the CEO transition costs and asset impairment charges of $4.6 million, or $(0.09) per diluted share. The fourth quarter of the prior year benefited from the 53</w:t>
      </w:r>
      <w:r>
        <w:rPr>
          <w:rFonts w:ascii="Arial" w:cs="Arial" w:eastAsia="Arial" w:hAnsi="Arial"/>
          <w:sz w:val="14"/>
          <w:szCs w:val="14"/>
          <w:color w:val="auto"/>
        </w:rPr>
        <w:t>rd</w:t>
      </w:r>
      <w:r>
        <w:rPr>
          <w:rFonts w:ascii="Arial" w:cs="Arial" w:eastAsia="Arial" w:hAnsi="Arial"/>
          <w:sz w:val="18"/>
          <w:szCs w:val="18"/>
          <w:color w:val="auto"/>
        </w:rPr>
        <w:t xml:space="preserve"> week, which contributed $1.6 million, or $0.03 per diluted share, and an income tax benefit related to the recognition of an AMT tax</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credit of $2.1 million, or $0.04 per diluted share, partially offset by an asset impairment charge of $2.4 million, or $(0.05) per diluted share.</w:t>
      </w:r>
    </w:p>
    <w:p>
      <w:pPr>
        <w:spacing w:after="0" w:line="131"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The net loss for fiscal 2018 was $(13.5) million, or $(0.28) per diluted share, compared with a net loss of $(18.8) million, or $(0.39) per diluted share, in fiscal 2017.</w:t>
      </w:r>
    </w:p>
    <w:p>
      <w:pPr>
        <w:spacing w:after="0" w:line="69"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On a non-GAAP basis, before impairment charges, corporate restructuring, CEO transition costs and assuming a normalized tax rate of 26%, adjusted net loss for the fourth quarter of fiscal 2018 was $(0.01) per diluted share, compared to a net loss of $(0.05) per diluted share for the fourth quarter of fiscal 2017. For fiscal 2018, the adjusted net loss was $(0.07) per diluted share, compared to $(0.26) per diluted share for fiscal 2017.</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08"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Earnings before interest, taxes, depreciation and amortization, adjusted for asset impairments, corporate restructuring and CEO transition costs (adjusted EBITDA), a non-GAAP measure, for the fourth quarter of fiscal 2018 were $6.8 million, compared to $5.0 million for the fourth quarter of fiscal 2017. For fiscal 2018, adjusted EBITDA was $27.4 million, compared to $17.1 million for fiscal 2017.</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135"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Cash Flow provided by operations for fiscal 2018 was $15.7 million, compared to $31.0 million in fiscal 2017. Capital expenditures for fiscal 2018 were $13.0 million as compared to $22.6 million for fiscal 2017. Free cash flow, a non-GAAP measure, decreased $5.6 million, from $8.4 million in 2017 to $2.8 million in 2018. The decrease in free cash flow was primarily due to prior year inventory reduction initiatives of $14.1 million that have now annualized, and an inventory increase in the current year for our wholesale segment. The addition of our wholesale segment will create a temporary shift in free cash flow due to the nature of inventory lead times and wholesale account payment terms. For fiscal 2018, our free cash flow was negatively impacted by approximately $5.0 million related to an increase in inventory and accounts receivable for our wholesale segment. These decreases were partially offset by improved earnings and a decrease in capital expenditures. Capital expenditures for fiscal 2018 included the purchase of the dxl.com domain name for $1.2 million.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40" w:type="dxa"/>
            <w:vAlign w:val="bottom"/>
            <w:gridSpan w:val="5"/>
          </w:tcPr>
          <w:p>
            <w:pPr>
              <w:jc w:val="right"/>
              <w:ind w:right="1440"/>
              <w:spacing w:after="0"/>
              <w:rPr>
                <w:sz w:val="20"/>
                <w:szCs w:val="20"/>
                <w:color w:val="auto"/>
              </w:rPr>
            </w:pPr>
            <w:r>
              <w:rPr>
                <w:rFonts w:ascii="Arial" w:cs="Arial" w:eastAsia="Arial" w:hAnsi="Arial"/>
                <w:sz w:val="14"/>
                <w:szCs w:val="14"/>
                <w:color w:val="auto"/>
              </w:rPr>
              <w:t>For the fiscal year ended</w:t>
            </w:r>
          </w:p>
        </w:tc>
      </w:tr>
      <w:tr>
        <w:trPr>
          <w:trHeight w:val="167"/>
        </w:trPr>
        <w:tc>
          <w:tcPr>
            <w:tcW w:w="72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4"/>
                <w:szCs w:val="14"/>
                <w:color w:val="auto"/>
              </w:rPr>
            </w:pPr>
          </w:p>
        </w:tc>
        <w:tc>
          <w:tcPr>
            <w:tcW w:w="1940" w:type="dxa"/>
            <w:vAlign w:val="bottom"/>
            <w:gridSpan w:val="2"/>
          </w:tcPr>
          <w:p>
            <w:pPr>
              <w:jc w:val="right"/>
              <w:ind w:right="760"/>
              <w:spacing w:after="0"/>
              <w:rPr>
                <w:sz w:val="20"/>
                <w:szCs w:val="20"/>
                <w:color w:val="auto"/>
              </w:rPr>
            </w:pPr>
            <w:r>
              <w:rPr>
                <w:rFonts w:ascii="Arial" w:cs="Arial" w:eastAsia="Arial" w:hAnsi="Arial"/>
                <w:sz w:val="14"/>
                <w:szCs w:val="14"/>
                <w:color w:val="auto"/>
              </w:rPr>
              <w:t>February 2, 2019</w:t>
            </w:r>
          </w:p>
        </w:tc>
        <w:tc>
          <w:tcPr>
            <w:tcW w:w="260" w:type="dxa"/>
            <w:vAlign w:val="bottom"/>
          </w:tcPr>
          <w:p>
            <w:pPr>
              <w:spacing w:after="0"/>
              <w:rPr>
                <w:sz w:val="14"/>
                <w:szCs w:val="14"/>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4"/>
                <w:szCs w:val="14"/>
                <w:color w:val="auto"/>
              </w:rPr>
              <w:t>February 3, 2018</w:t>
            </w:r>
          </w:p>
        </w:tc>
      </w:tr>
      <w:tr>
        <w:trPr>
          <w:trHeight w:val="210"/>
        </w:trPr>
        <w:tc>
          <w:tcPr>
            <w:tcW w:w="7240" w:type="dxa"/>
            <w:vAlign w:val="bottom"/>
          </w:tcPr>
          <w:p>
            <w:pPr>
              <w:spacing w:after="0"/>
              <w:rPr>
                <w:sz w:val="20"/>
                <w:szCs w:val="20"/>
                <w:color w:val="auto"/>
              </w:rPr>
            </w:pPr>
            <w:r>
              <w:rPr>
                <w:rFonts w:ascii="Arial" w:cs="Arial" w:eastAsia="Arial" w:hAnsi="Arial"/>
                <w:sz w:val="14"/>
                <w:szCs w:val="14"/>
                <w:color w:val="auto"/>
              </w:rPr>
              <w:t>Cash flow from operating activities (GAAP basis)</w:t>
            </w: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32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2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(10.8)</w:t>
            </w:r>
          </w:p>
        </w:tc>
        <w:tc>
          <w:tcPr>
            <w:tcW w:w="2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w:t>
            </w:r>
          </w:p>
        </w:tc>
      </w:tr>
      <w:tr>
        <w:trPr>
          <w:trHeight w:val="210"/>
        </w:trPr>
        <w:tc>
          <w:tcPr>
            <w:tcW w:w="7240" w:type="dxa"/>
            <w:vAlign w:val="bottom"/>
          </w:tcPr>
          <w:p>
            <w:pPr>
              <w:ind w:left="120"/>
              <w:spacing w:after="0"/>
              <w:rPr>
                <w:sz w:val="20"/>
                <w:szCs w:val="20"/>
                <w:color w:val="auto"/>
              </w:rPr>
            </w:pPr>
            <w:r>
              <w:rPr>
                <w:rFonts w:ascii="Arial" w:cs="Arial" w:eastAsia="Arial" w:hAnsi="Arial"/>
                <w:sz w:val="14"/>
                <w:szCs w:val="14"/>
                <w:color w:val="auto"/>
              </w:rPr>
              <w:t>Free Cash Flow before DXL capital expenditures (non-GAAP)</w:t>
            </w: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320" w:type="dxa"/>
            <w:vAlign w:val="bottom"/>
          </w:tcPr>
          <w:p>
            <w:pPr>
              <w:spacing w:after="0"/>
              <w:rPr>
                <w:sz w:val="18"/>
                <w:szCs w:val="18"/>
                <w:color w:val="auto"/>
              </w:rPr>
            </w:pPr>
          </w:p>
        </w:tc>
        <w:tc>
          <w:tcPr>
            <w:tcW w:w="26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 and the acquisition of the DXL domain name</w:t>
            </w:r>
          </w:p>
        </w:tc>
        <w:tc>
          <w:tcPr>
            <w:tcW w:w="2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(12.9)</w:t>
            </w:r>
          </w:p>
        </w:tc>
      </w:tr>
      <w:tr>
        <w:trPr>
          <w:trHeight w:val="210"/>
        </w:trPr>
        <w:tc>
          <w:tcPr>
            <w:tcW w:w="7240" w:type="dxa"/>
            <w:vAlign w:val="bottom"/>
          </w:tcPr>
          <w:p>
            <w:pPr>
              <w:ind w:left="120"/>
              <w:spacing w:after="0"/>
              <w:rPr>
                <w:sz w:val="20"/>
                <w:szCs w:val="20"/>
                <w:color w:val="auto"/>
              </w:rPr>
            </w:pPr>
            <w:r>
              <w:rPr>
                <w:rFonts w:ascii="Arial" w:cs="Arial" w:eastAsia="Arial" w:hAnsi="Arial"/>
                <w:sz w:val="14"/>
                <w:szCs w:val="14"/>
                <w:color w:val="auto"/>
              </w:rPr>
              <w:t>Free Cash Flow (non-GAAP basis)</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Adjusted EBITDA, adjusted net loss, adjusted net loss per diluted share, free cash flow before DXL capital expenditures and free cash flow are non-GAAP financial measures. Please see “Non-GAAP Measures” below and reconciliations of these non-GAAP measures to the comparable GAAP measures that follow in the tables below.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i w:val="1"/>
          <w:iCs w:val="1"/>
          <w:color w:val="auto"/>
        </w:rPr>
        <w:t>Balance Sheet &amp; Liquidity</w:t>
      </w:r>
    </w:p>
    <w:p>
      <w:pPr>
        <w:spacing w:after="0" w:line="148"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At February 2, 2019, the Company had cash and cash equivalents of $4.9 million. Total debt at February 2, 2019, was $56.7 million, and consisted of $41.9 million outstanding under the Company’s credit facility and approximately $14.8 million outstanding under its term loan, net of unamortized debt issuance costs. At February 2, 2019, the Company had $45.6 million of excess availability under its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Inventory was $106.8 million at February 2, 2019, compared to $103.3 million at February 3, 2018. The increase in inventory was due to the acceleration of receipts from February to January as well as increased inventory levels for our wholesale segment due to the longer lead times.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Store Information</w:t>
      </w:r>
    </w:p>
    <w:p>
      <w:pPr>
        <w:spacing w:after="0" w:line="154" w:lineRule="exact"/>
        <w:rPr>
          <w:sz w:val="20"/>
          <w:szCs w:val="20"/>
          <w:color w:val="auto"/>
        </w:rPr>
      </w:pPr>
    </w:p>
    <w:p>
      <w:pPr>
        <w:jc w:val="both"/>
        <w:ind w:right="100"/>
        <w:spacing w:after="0" w:line="260" w:lineRule="auto"/>
        <w:rPr>
          <w:sz w:val="20"/>
          <w:szCs w:val="20"/>
          <w:color w:val="auto"/>
        </w:rPr>
      </w:pPr>
      <w:r>
        <w:rPr>
          <w:rFonts w:ascii="Arial" w:cs="Arial" w:eastAsia="Arial" w:hAnsi="Arial"/>
          <w:sz w:val="20"/>
          <w:szCs w:val="20"/>
          <w:color w:val="auto"/>
        </w:rPr>
        <w:t>For fiscal 2018, the Company opened 2 DXL retail stores and 1 DXL outlet, and rebranded 3 Casual Male XL stores to DXL retail stores. The Company also closed 9 Casual Male XL retail stores, 3 Casual Male outlets stores and 1 DXL retail store: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80" w:type="dxa"/>
            <w:vAlign w:val="bottom"/>
            <w:shd w:val="clear" w:color="auto" w:fill="CFF0FC"/>
          </w:tcPr>
          <w:p>
            <w:pPr>
              <w:spacing w:after="0"/>
              <w:rPr>
                <w:sz w:val="21"/>
                <w:szCs w:val="21"/>
                <w:color w:val="auto"/>
              </w:rPr>
            </w:pPr>
          </w:p>
        </w:tc>
        <w:tc>
          <w:tcPr>
            <w:tcW w:w="2320" w:type="dxa"/>
            <w:vAlign w:val="bottom"/>
            <w:gridSpan w:val="5"/>
            <w:shd w:val="clear" w:color="auto" w:fill="CFF0FC"/>
          </w:tcPr>
          <w:p>
            <w:pPr>
              <w:ind w:left="560"/>
              <w:spacing w:after="0"/>
              <w:rPr>
                <w:sz w:val="20"/>
                <w:szCs w:val="20"/>
                <w:color w:val="auto"/>
              </w:rPr>
            </w:pPr>
            <w:r>
              <w:rPr>
                <w:rFonts w:ascii="Arial" w:cs="Arial" w:eastAsia="Arial" w:hAnsi="Arial"/>
                <w:sz w:val="18"/>
                <w:szCs w:val="18"/>
                <w:color w:val="auto"/>
              </w:rPr>
              <w:t>Year End 2016</w:t>
            </w:r>
          </w:p>
        </w:tc>
        <w:tc>
          <w:tcPr>
            <w:tcW w:w="2320" w:type="dxa"/>
            <w:vAlign w:val="bottom"/>
            <w:gridSpan w:val="4"/>
            <w:shd w:val="clear" w:color="auto" w:fill="CFF0FC"/>
          </w:tcPr>
          <w:p>
            <w:pPr>
              <w:ind w:left="560"/>
              <w:spacing w:after="0"/>
              <w:rPr>
                <w:sz w:val="20"/>
                <w:szCs w:val="20"/>
                <w:color w:val="auto"/>
              </w:rPr>
            </w:pPr>
            <w:r>
              <w:rPr>
                <w:rFonts w:ascii="Arial" w:cs="Arial" w:eastAsia="Arial" w:hAnsi="Arial"/>
                <w:sz w:val="18"/>
                <w:szCs w:val="18"/>
                <w:color w:val="auto"/>
              </w:rPr>
              <w:t>Year End 2017</w:t>
            </w:r>
          </w:p>
        </w:tc>
        <w:tc>
          <w:tcPr>
            <w:tcW w:w="2340" w:type="dxa"/>
            <w:vAlign w:val="bottom"/>
            <w:gridSpan w:val="4"/>
            <w:shd w:val="clear" w:color="auto" w:fill="CFF0FC"/>
          </w:tcPr>
          <w:p>
            <w:pPr>
              <w:ind w:left="580"/>
              <w:spacing w:after="0"/>
              <w:rPr>
                <w:sz w:val="20"/>
                <w:szCs w:val="20"/>
                <w:color w:val="auto"/>
              </w:rPr>
            </w:pPr>
            <w:r>
              <w:rPr>
                <w:rFonts w:ascii="Arial" w:cs="Arial" w:eastAsia="Arial" w:hAnsi="Arial"/>
                <w:sz w:val="18"/>
                <w:szCs w:val="18"/>
                <w:color w:val="auto"/>
              </w:rPr>
              <w:t>Year End 2018</w:t>
            </w:r>
          </w:p>
        </w:tc>
        <w:tc>
          <w:tcPr>
            <w:tcW w:w="2360" w:type="dxa"/>
            <w:vAlign w:val="bottom"/>
            <w:gridSpan w:val="4"/>
            <w:shd w:val="clear" w:color="auto" w:fill="CFF0FC"/>
          </w:tcPr>
          <w:p>
            <w:pPr>
              <w:ind w:left="520"/>
              <w:spacing w:after="0"/>
              <w:rPr>
                <w:sz w:val="20"/>
                <w:szCs w:val="20"/>
                <w:color w:val="auto"/>
              </w:rPr>
            </w:pPr>
            <w:r>
              <w:rPr>
                <w:rFonts w:ascii="Arial" w:cs="Arial" w:eastAsia="Arial" w:hAnsi="Arial"/>
                <w:sz w:val="18"/>
                <w:szCs w:val="18"/>
                <w:color w:val="auto"/>
              </w:rPr>
              <w:t>Year End 2019E</w:t>
            </w:r>
          </w:p>
        </w:tc>
      </w:tr>
      <w:tr>
        <w:trPr>
          <w:trHeight w:val="215"/>
        </w:trPr>
        <w:tc>
          <w:tcPr>
            <w:tcW w:w="2080" w:type="dxa"/>
            <w:vAlign w:val="bottom"/>
          </w:tcPr>
          <w:p>
            <w:pPr>
              <w:spacing w:after="0"/>
              <w:rPr>
                <w:sz w:val="18"/>
                <w:szCs w:val="18"/>
                <w:color w:val="auto"/>
              </w:rPr>
            </w:pPr>
          </w:p>
        </w:tc>
        <w:tc>
          <w:tcPr>
            <w:tcW w:w="760" w:type="dxa"/>
            <w:vAlign w:val="bottom"/>
          </w:tcPr>
          <w:p>
            <w:pPr>
              <w:jc w:val="center"/>
              <w:ind w:left="190"/>
              <w:spacing w:after="0"/>
              <w:rPr>
                <w:sz w:val="20"/>
                <w:szCs w:val="20"/>
                <w:color w:val="auto"/>
              </w:rPr>
            </w:pPr>
            <w:r>
              <w:rPr>
                <w:rFonts w:ascii="Arial" w:cs="Arial" w:eastAsia="Arial" w:hAnsi="Arial"/>
                <w:sz w:val="18"/>
                <w:szCs w:val="18"/>
                <w:color w:val="auto"/>
                <w:w w:val="93"/>
              </w:rPr>
              <w:t># 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Sq Ft.</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 of</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Sq Ft.</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 of</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Sq Ft.</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 of</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Sq Ft.</w:t>
            </w:r>
          </w:p>
        </w:tc>
      </w:tr>
      <w:tr>
        <w:trPr>
          <w:trHeight w:val="230"/>
        </w:trPr>
        <w:tc>
          <w:tcPr>
            <w:tcW w:w="2080" w:type="dxa"/>
            <w:vAlign w:val="bottom"/>
          </w:tcPr>
          <w:p>
            <w:pPr>
              <w:spacing w:after="0"/>
              <w:rPr>
                <w:sz w:val="20"/>
                <w:szCs w:val="20"/>
                <w:color w:val="auto"/>
              </w:rPr>
            </w:pP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88"/>
              </w:rPr>
              <w:t>Stores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(000’s)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Stores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(000’s)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Stores</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(000’s)</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Stores</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(000’s)</w:t>
            </w:r>
          </w:p>
        </w:tc>
      </w:tr>
      <w:tr>
        <w:trPr>
          <w:trHeight w:val="223"/>
        </w:trPr>
        <w:tc>
          <w:tcPr>
            <w:tcW w:w="2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DXL retail</w:t>
            </w:r>
          </w:p>
        </w:tc>
        <w:tc>
          <w:tcPr>
            <w:tcW w:w="7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192</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retail</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CMXL outlets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20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343</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9"/>
                <w:szCs w:val="19"/>
                <w:color w:val="auto"/>
              </w:rPr>
            </w:pPr>
          </w:p>
        </w:tc>
      </w:tr>
      <w:tr>
        <w:trPr>
          <w:trHeight w:val="216"/>
        </w:trPr>
        <w:tc>
          <w:tcPr>
            <w:tcW w:w="2080" w:type="dxa"/>
            <w:vAlign w:val="bottom"/>
            <w:shd w:val="clear" w:color="auto" w:fill="FEFEFE"/>
          </w:tcPr>
          <w:p>
            <w:pPr>
              <w:spacing w:after="0"/>
              <w:rPr>
                <w:sz w:val="18"/>
                <w:szCs w:val="18"/>
                <w:color w:val="auto"/>
              </w:rPr>
            </w:pPr>
          </w:p>
        </w:tc>
        <w:tc>
          <w:tcPr>
            <w:tcW w:w="76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104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106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06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06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c>
          <w:tcPr>
            <w:tcW w:w="106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106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1080" w:type="dxa"/>
            <w:vAlign w:val="bottom"/>
            <w:shd w:val="clear" w:color="auto" w:fill="FEFEFE"/>
          </w:tcPr>
          <w:p>
            <w:pPr>
              <w:spacing w:after="0"/>
              <w:rPr>
                <w:sz w:val="18"/>
                <w:szCs w:val="18"/>
                <w:color w:val="auto"/>
              </w:rPr>
            </w:pPr>
          </w:p>
        </w:tc>
        <w:tc>
          <w:tcPr>
            <w:tcW w:w="100" w:type="dxa"/>
            <w:vAlign w:val="bottom"/>
            <w:shd w:val="clear" w:color="auto" w:fill="FEFEFE"/>
          </w:tcPr>
          <w:p>
            <w:pPr>
              <w:spacing w:after="0"/>
              <w:rPr>
                <w:sz w:val="18"/>
                <w:szCs w:val="18"/>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41"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Company distributes its licensed branded and private label products directly to consumers through its stores, website and third-party marketplaces. As the Company continues to invest in its digital capabilities, management believes it is important to monitor the total percentage of revenue that is facilitated by the Company’s e-commerce systems, regardless of which channel originates or fulfills the transaction. E-commerce sales, which we also refer to as direct sales, are defined as sales that originate online, whether through our website, at the store level or through a third-party marketplace. Our direct sales increased to 24.4% of retail segment sales for the fourth quarter of fiscal 2018, compared to 23.1% for the fourth quarter of fiscal 2017. For fiscal 2018, our direct sales represented 21.6% of retail segment sales as compared to 21.0% for fiscal 2017.</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Impact of New Lease Accounting Standard</w:t>
      </w:r>
    </w:p>
    <w:p>
      <w:pPr>
        <w:spacing w:after="0" w:line="154"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The Company will be adopting a new lease accounting standard, ASC 842 (Leases) in the first quarter of fiscal 2019. While our analysis is not fully complete, we expect the most significant impact, as a result of this adoption, will be the recognition of leases as right-of-use assets of approximately $217 million and corresponding lease liabilities of approximately $255 million on our Consolidated Balance Sheet.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246620" cy="43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9" w:name="page10"/>
    <w:bookmarkEnd w:id="9"/>
    <w:p>
      <w:pPr>
        <w:spacing w:after="0" w:line="278" w:lineRule="auto"/>
        <w:rPr>
          <w:sz w:val="20"/>
          <w:szCs w:val="20"/>
          <w:color w:val="auto"/>
        </w:rPr>
      </w:pPr>
      <w:r>
        <w:rPr>
          <w:rFonts w:ascii="Arial" w:cs="Arial" w:eastAsia="Arial" w:hAnsi="Arial"/>
          <w:sz w:val="18"/>
          <w:szCs w:val="18"/>
          <w:color w:val="auto"/>
        </w:rPr>
        <w:t>$38 million difference between the right-of-use assets and lease liabilities upon adoption of the new lease standard will be primarily attributable to the elimination of certain existing lease-related assets and liabilities as a net adjustment to the right-of-use assets. While we do not expect the adoption of this new lease accounting standard to have a material impact on earnings for fiscal 2019, we do expect to recognize in the first quarter of fiscal 2019 an adjustment to opening retained earnings to recognize the remaining deferred gain of $10.3 million from a sale-leaseback transaction of our corporate headquarters and distribution center that was completed on January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-749935</wp:posOffset>
            </wp:positionV>
            <wp:extent cx="7246620" cy="728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154"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Our core business remains strong, and we expect to deliver low single-digit comparable sales growth in our omni-channel retail business and to generate free cash flow in fiscal 2019. The Company will continue to provide forward-looking commentary on business trends. As previously announced in mid-February, Mr. Kanter will assume the role of President and Chief Executive Officer of the Company as of April 1, 2019. Upon joining the Company, Mr. Kanter will conduct a strategic review to assess and address the current and go-forward execution strategy for the business. The Company and Mr. Kanter continue to believe that (i) increasing our customer base, (ii) improving returns on investment in our marketing and digital initiatives, (iii) enhancing our in-store and online experience, and (iv) managing our cost structure are essential to achieving a 10% EBITDA margin over time. Additionally, as previously announced, the Company has created a new wholesale segment, the impact of which on the Company’s financial results needs to be fully assessed. Given the CEO transition, the strategic review and the launch of a new wholesale segment, the Company is not providing detailed earnings or cash flow guidance until we have increased visibility in the effectiveness of our initiatives.</w:t>
      </w:r>
    </w:p>
    <w:p>
      <w:pPr>
        <w:spacing w:after="0" w:line="316"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 fiscal 2019, we plan to open 2 new DXL retail stores, rebrand 12 Casual Male XL retail stores to DXL retail stores, and rebrand 1 Casual Male XL outlet to a DXL outlet store. We also plan to close 5 Casual Male XL retail stores (two of which will be closed in connection with the opening of the two DXL stores), 1 DXL store and our 5 remaining Rochester Clothing stores.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Friday, March 22, 2019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xml:space="preserve">" section of the Company's website. The live call also can be accessed by dialing: </w:t>
      </w:r>
      <w:r>
        <w:rPr>
          <w:rFonts w:ascii="Arial" w:cs="Arial" w:eastAsia="Arial" w:hAnsi="Arial"/>
          <w:sz w:val="18"/>
          <w:szCs w:val="18"/>
          <w:color w:val="auto"/>
        </w:rPr>
        <w:t>(866) 680-2311</w:t>
      </w:r>
      <w:r>
        <w:rPr>
          <w:rFonts w:ascii="Arial" w:cs="Arial" w:eastAsia="Arial" w:hAnsi="Arial"/>
          <w:sz w:val="20"/>
          <w:szCs w:val="20"/>
          <w:color w:val="auto"/>
        </w:rPr>
        <w:t xml:space="preserve">. Please reference conference ID: </w:t>
      </w:r>
      <w:r>
        <w:rPr>
          <w:rFonts w:ascii="Arial" w:cs="Arial" w:eastAsia="Arial" w:hAnsi="Arial"/>
          <w:sz w:val="18"/>
          <w:szCs w:val="18"/>
          <w:color w:val="auto"/>
        </w:rPr>
        <w:t>4166989</w:t>
      </w:r>
      <w:r>
        <w:rPr>
          <w:rFonts w:ascii="Arial" w:cs="Arial" w:eastAsia="Arial" w:hAnsi="Arial"/>
          <w:sz w:val="20"/>
          <w:szCs w:val="20"/>
          <w:color w:val="auto"/>
        </w:rPr>
        <w:t>. An archived version of the webcast may be accessed by visiting the "Events" section of the Company's website for up to one year.</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2" w:right="25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adjusted EBITDA, adjusted net income (loss), adjusted net income (loss) per diluted share, free cash flow before DXL expenditures and free cash flow. The presentation of these non-GAAP measures is not in accordance with GAAP, and should not be considered superior to or as a substitute for net loss, net loss per diluted share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Company believes that adjusted EBITDA (calculated as earnings before interest, taxes, depreciation and amortization, adjusted to exclude asset impairment charges, corporate restructuring and CEO transition costs) are useful to investors in evaluating its performance. With the significant capital investment associated with the DXL transformation and, therefore, increased levels of depreciation and interest, management uses adjusted EBITDA as a key metric to measure profitability and economic productivity.</w:t>
      </w:r>
    </w:p>
    <w:p>
      <w:pPr>
        <w:spacing w:after="0" w:line="9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Company has fully reserved against its deferred tax assets and, therefore, its net loss is not reflective of earnings assuming a “normal” tax position. In addition, we have added back charges related to the impairment of assets, our corporate restructuring and CEO transition costs because it provides comparability of results without these non-cash charges. Adjusted net loss provides investors with a useful indication of the financial performance of the business, on a comparative basis, assuming a normalized effective tax rate of 26%.</w:t>
      </w:r>
    </w:p>
    <w:p>
      <w:pPr>
        <w:spacing w:after="0" w:line="94"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Free cash flow and free cash flow before DXL capital expenditures are metrics that management uses to monitor liquidity. The Company has stated that it expects to fund its ongoing DXL capital expenditures with cash flow from operations. Management believes this metric is important to investors because it demonstrates the Company’s ability to strengthen liquidity while also contributing to the funding of the DXL store growth and other capital projects. Free cash flow is calculated as cash flow from operating activities, less capital expenditures and excludes the mandatory and discretionary repayment of debt.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4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Destination XL Group, Inc. is the largest retailer of men’s apparel in sizes XL and up, with operations throughout the United States as well as in London, England, and Toronto, Canada. In addition to DXL Men’s Apparel retail and outlet stores, subsidiaries of Destination XL Group, Inc. also operates Rochester Clothing stores, Casual Male XL retail and outlet stores, and an e-commerce site at </w:t>
      </w:r>
      <w:r>
        <w:rPr>
          <w:rFonts w:ascii="Arial" w:cs="Arial" w:eastAsia="Arial" w:hAnsi="Arial"/>
          <w:sz w:val="20"/>
          <w:szCs w:val="20"/>
          <w:u w:val="single" w:color="auto"/>
          <w:color w:val="auto"/>
        </w:rPr>
        <w:t>www.dxl.com</w:t>
      </w:r>
      <w:r>
        <w:rPr>
          <w:rFonts w:ascii="Arial" w:cs="Arial" w:eastAsia="Arial" w:hAnsi="Arial"/>
          <w:sz w:val="20"/>
          <w:szCs w:val="20"/>
          <w:color w:val="auto"/>
        </w:rPr>
        <w:t>. With more than 2,000 private label and name brand styles to choose from, big &amp; tall customers are provided with a unique blend of wardrobe solutions not available at traditional retailers. The Company is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9" w:right="25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t>headquartered in Canton, Massachusetts. For more information, please visit the Company's investor relations website: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http://investor.destinationxl.com.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store counts, cash flow and comparable sales growth for fiscal 2019; its objective of achieving a 10% EBITDA margin over time; the impact of its corporate restructuring on future profitability and expected annualized savings from the corporate restructuring; and continued growth of its core business in fiscal 2019.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23, 2018, that set forth certain risks and uncertainties that may have an impact on future results and direction of the Company, including risks relating to the Company’s execution of its DXL strategy and ability to grow its market share, predict customer tastes and fashion trends, forecast sales growth trends and compete successfully in the United States men’s big and tall apparel market.</w:t>
      </w:r>
    </w:p>
    <w:p>
      <w:pPr>
        <w:spacing w:after="0" w:line="103" w:lineRule="exact"/>
        <w:rPr>
          <w:sz w:val="20"/>
          <w:szCs w:val="20"/>
          <w:color w:val="auto"/>
        </w:rPr>
      </w:pPr>
    </w:p>
    <w:p>
      <w:pPr>
        <w:jc w:val="both"/>
        <w:ind w:right="58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2" w:right="279" w:bottom="1440" w:gutter="0" w:footer="0" w:header="0"/>
        </w:sectPr>
      </w:pPr>
    </w:p>
    <w:bookmarkStart w:id="12" w:name="page13"/>
    <w:bookmarkEnd w:id="12"/>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gridSpan w:val="4"/>
          </w:tcPr>
          <w:p>
            <w:pPr>
              <w:jc w:val="right"/>
              <w:spacing w:after="0"/>
              <w:rPr>
                <w:sz w:val="20"/>
                <w:szCs w:val="20"/>
                <w:color w:val="auto"/>
              </w:rPr>
            </w:pPr>
            <w:r>
              <w:rPr>
                <w:rFonts w:ascii="Arial" w:cs="Arial" w:eastAsia="Arial" w:hAnsi="Arial"/>
                <w:sz w:val="16"/>
                <w:szCs w:val="16"/>
                <w:color w:val="auto"/>
              </w:rPr>
              <w:t>For the three months ended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gridSpan w:val="4"/>
          </w:tcPr>
          <w:p>
            <w:pPr>
              <w:jc w:val="right"/>
              <w:spacing w:after="0"/>
              <w:rPr>
                <w:sz w:val="20"/>
                <w:szCs w:val="20"/>
                <w:color w:val="auto"/>
              </w:rPr>
            </w:pPr>
            <w:r>
              <w:rPr>
                <w:rFonts w:ascii="Arial" w:cs="Arial" w:eastAsia="Arial" w:hAnsi="Arial"/>
                <w:sz w:val="16"/>
                <w:szCs w:val="16"/>
                <w:color w:val="auto"/>
              </w:rPr>
              <w:t>For the fiscal year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5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0"/>
              </w:rPr>
              <w:t>February 2, 2019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5"/>
              </w:rPr>
              <w:t>February 3, 2018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5"/>
              </w:rPr>
              <w:t>February 2, 2019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w w:val="95"/>
              </w:rPr>
              <w:t>February 3, 2018</w:t>
            </w:r>
          </w:p>
        </w:tc>
        <w:tc>
          <w:tcPr>
            <w:tcW w:w="120" w:type="dxa"/>
            <w:vAlign w:val="bottom"/>
            <w:tcBorders>
              <w:bottom w:val="single" w:sz="8" w:color="CFF0FC"/>
            </w:tcBorders>
          </w:tcPr>
          <w:p>
            <w:pPr>
              <w:spacing w:after="0"/>
              <w:rPr>
                <w:sz w:val="19"/>
                <w:szCs w:val="19"/>
                <w:color w:val="auto"/>
              </w:rPr>
            </w:pPr>
          </w:p>
        </w:tc>
      </w:tr>
      <w:tr>
        <w:trPr>
          <w:trHeight w:val="21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131,150</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135,522</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473,756</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5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467,976</w:t>
            </w:r>
          </w:p>
        </w:tc>
        <w:tc>
          <w:tcPr>
            <w:tcW w:w="120" w:type="dxa"/>
            <w:vAlign w:val="bottom"/>
            <w:shd w:val="clear" w:color="auto" w:fill="CFF0FC"/>
          </w:tcPr>
          <w:p>
            <w:pPr>
              <w:spacing w:after="0"/>
              <w:rPr>
                <w:sz w:val="18"/>
                <w:szCs w:val="18"/>
                <w:color w:val="auto"/>
              </w:rPr>
            </w:pPr>
          </w:p>
        </w:tc>
      </w:tr>
      <w:tr>
        <w:trPr>
          <w:trHeight w:val="213"/>
        </w:trPr>
        <w:tc>
          <w:tcPr>
            <w:tcW w:w="52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74,134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74,483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262,467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257,619</w:t>
            </w:r>
          </w:p>
        </w:tc>
        <w:tc>
          <w:tcPr>
            <w:tcW w:w="120" w:type="dxa"/>
            <w:vAlign w:val="bottom"/>
            <w:tcBorders>
              <w:bottom w:val="single" w:sz="8" w:color="CFF0FC"/>
            </w:tcBorders>
          </w:tcPr>
          <w:p>
            <w:pPr>
              <w:spacing w:after="0"/>
              <w:rPr>
                <w:sz w:val="18"/>
                <w:szCs w:val="18"/>
                <w:color w:val="auto"/>
              </w:rPr>
            </w:pPr>
          </w:p>
        </w:tc>
      </w:tr>
      <w:tr>
        <w:trPr>
          <w:trHeight w:val="21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211,289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210,357</w:t>
            </w:r>
          </w:p>
        </w:tc>
        <w:tc>
          <w:tcPr>
            <w:tcW w:w="12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20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183,868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193,230</w:t>
            </w:r>
          </w:p>
        </w:tc>
        <w:tc>
          <w:tcPr>
            <w:tcW w:w="120" w:type="dxa"/>
            <w:vAlign w:val="bottom"/>
          </w:tcPr>
          <w:p>
            <w:pPr>
              <w:spacing w:after="0"/>
              <w:rPr>
                <w:sz w:val="18"/>
                <w:szCs w:val="18"/>
                <w:color w:val="auto"/>
              </w:rPr>
            </w:pPr>
          </w:p>
        </w:tc>
      </w:tr>
      <w:tr>
        <w:trPr>
          <w:trHeight w:val="219"/>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CEO transition and restructuring costs</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5200" w:type="dxa"/>
            <w:vAlign w:val="bottom"/>
          </w:tcPr>
          <w:p>
            <w:pPr>
              <w:ind w:left="260"/>
              <w:spacing w:after="0"/>
              <w:rPr>
                <w:sz w:val="20"/>
                <w:szCs w:val="20"/>
                <w:color w:val="auto"/>
              </w:rPr>
            </w:pPr>
            <w:r>
              <w:rPr>
                <w:rFonts w:ascii="Arial" w:cs="Arial" w:eastAsia="Arial" w:hAnsi="Arial"/>
                <w:sz w:val="16"/>
                <w:szCs w:val="16"/>
                <w:color w:val="auto"/>
              </w:rPr>
              <w:t>Impairment of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4,095</w:t>
            </w:r>
          </w:p>
        </w:tc>
        <w:tc>
          <w:tcPr>
            <w:tcW w:w="120" w:type="dxa"/>
            <w:vAlign w:val="bottom"/>
          </w:tcPr>
          <w:p>
            <w:pPr>
              <w:spacing w:after="0"/>
              <w:rPr>
                <w:sz w:val="18"/>
                <w:szCs w:val="18"/>
                <w:color w:val="auto"/>
              </w:rPr>
            </w:pPr>
          </w:p>
        </w:tc>
      </w:tr>
      <w:tr>
        <w:trPr>
          <w:trHeight w:val="219"/>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31,073</w:t>
            </w:r>
          </w:p>
        </w:tc>
        <w:tc>
          <w:tcPr>
            <w:tcW w:w="120" w:type="dxa"/>
            <w:vAlign w:val="bottom"/>
            <w:shd w:val="clear" w:color="auto" w:fill="CFF0FC"/>
          </w:tcPr>
          <w:p>
            <w:pPr>
              <w:spacing w:after="0"/>
              <w:rPr>
                <w:sz w:val="19"/>
                <w:szCs w:val="19"/>
                <w:color w:val="auto"/>
              </w:rPr>
            </w:pPr>
          </w:p>
        </w:tc>
      </w:tr>
      <w:tr>
        <w:trPr>
          <w:trHeight w:val="207"/>
        </w:trPr>
        <w:tc>
          <w:tcPr>
            <w:tcW w:w="52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63,457</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66,139</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221,408</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228,398</w:t>
            </w:r>
          </w:p>
        </w:tc>
        <w:tc>
          <w:tcPr>
            <w:tcW w:w="120" w:type="dxa"/>
            <w:vAlign w:val="bottom"/>
            <w:tcBorders>
              <w:bottom w:val="single" w:sz="8" w:color="CFF0FC"/>
            </w:tcBorders>
          </w:tcPr>
          <w:p>
            <w:pPr>
              <w:spacing w:after="0"/>
              <w:rPr>
                <w:sz w:val="17"/>
                <w:szCs w:val="17"/>
                <w:color w:val="auto"/>
              </w:rPr>
            </w:pPr>
          </w:p>
        </w:tc>
      </w:tr>
      <w:tr>
        <w:trPr>
          <w:trHeight w:val="213"/>
        </w:trPr>
        <w:tc>
          <w:tcPr>
            <w:tcW w:w="5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Operating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(6,441)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(5,100)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(10,119)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(18,041)</w:t>
            </w:r>
          </w:p>
        </w:tc>
      </w:tr>
      <w:tr>
        <w:trPr>
          <w:trHeight w:val="219"/>
        </w:trPr>
        <w:tc>
          <w:tcPr>
            <w:tcW w:w="5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(3,462)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(3,357)</w:t>
            </w:r>
          </w:p>
        </w:tc>
      </w:tr>
      <w:tr>
        <w:trPr>
          <w:trHeight w:val="213"/>
        </w:trPr>
        <w:tc>
          <w:tcPr>
            <w:tcW w:w="5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Loss before benefit for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(7,261)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(5,960)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(13,581)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(21,398)</w:t>
            </w:r>
          </w:p>
        </w:tc>
      </w:tr>
      <w:tr>
        <w:trPr>
          <w:trHeight w:val="219"/>
        </w:trPr>
        <w:tc>
          <w:tcPr>
            <w:tcW w:w="5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Benefit for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(2,636)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(2,572)</w:t>
            </w:r>
          </w:p>
        </w:tc>
      </w:tr>
      <w:tr>
        <w:trPr>
          <w:trHeight w:val="213"/>
        </w:trPr>
        <w:tc>
          <w:tcPr>
            <w:tcW w:w="5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53"/>
        </w:trPr>
        <w:tc>
          <w:tcPr>
            <w:tcW w:w="520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(7,230)</w:t>
            </w:r>
          </w:p>
        </w:tc>
        <w:tc>
          <w:tcPr>
            <w:tcW w:w="84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(3,324)</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(13,531)</w:t>
            </w:r>
          </w:p>
        </w:tc>
        <w:tc>
          <w:tcPr>
            <w:tcW w:w="820" w:type="dxa"/>
            <w:vAlign w:val="bottom"/>
            <w:gridSpan w:val="2"/>
          </w:tcPr>
          <w:p>
            <w:pPr>
              <w:jc w:val="right"/>
              <w:ind w:right="53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(18,826)</w:t>
            </w:r>
          </w:p>
        </w:tc>
      </w:tr>
      <w:tr>
        <w:trPr>
          <w:trHeight w:val="200"/>
        </w:trPr>
        <w:tc>
          <w:tcPr>
            <w:tcW w:w="5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 basic and diluted</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(0.15)</w:t>
            </w:r>
          </w:p>
        </w:tc>
        <w:tc>
          <w:tcPr>
            <w:tcW w:w="840" w:type="dxa"/>
            <w:vAlign w:val="bottom"/>
            <w:gridSpan w:val="2"/>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(0.07)</w:t>
            </w:r>
          </w:p>
        </w:tc>
        <w:tc>
          <w:tcPr>
            <w:tcW w:w="46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(0.28)</w:t>
            </w:r>
          </w:p>
        </w:tc>
        <w:tc>
          <w:tcPr>
            <w:tcW w:w="820" w:type="dxa"/>
            <w:vAlign w:val="bottom"/>
            <w:gridSpan w:val="2"/>
            <w:shd w:val="clear" w:color="auto" w:fill="CFF0FC"/>
          </w:tcPr>
          <w:p>
            <w:pPr>
              <w:jc w:val="right"/>
              <w:ind w:right="53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(0.39)</w:t>
            </w:r>
          </w:p>
        </w:tc>
      </w:tr>
      <w:tr>
        <w:trPr>
          <w:trHeight w:val="222"/>
        </w:trPr>
        <w:tc>
          <w:tcPr>
            <w:tcW w:w="5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number of common shares outstanding:</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200" w:type="dxa"/>
            <w:vAlign w:val="bottom"/>
          </w:tcPr>
          <w:p>
            <w:pPr>
              <w:ind w:left="26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48,666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49,163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48,888</w:t>
            </w:r>
          </w:p>
        </w:tc>
        <w:tc>
          <w:tcPr>
            <w:tcW w:w="120" w:type="dxa"/>
            <w:vAlign w:val="bottom"/>
          </w:tcPr>
          <w:p>
            <w:pPr>
              <w:spacing w:after="0"/>
              <w:rPr>
                <w:sz w:val="18"/>
                <w:szCs w:val="18"/>
                <w:color w:val="auto"/>
              </w:rPr>
            </w:pPr>
          </w:p>
        </w:tc>
      </w:tr>
      <w:tr>
        <w:trPr>
          <w:trHeight w:val="219"/>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48,888</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3" w:name="page14"/>
    <w:bookmarkEnd w:id="13"/>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February 2, 2019 and February 3, 2018</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February 2,</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color w:val="auto"/>
              </w:rPr>
              <w:t>February 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34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color w:val="auto"/>
              </w:rPr>
              <w:t>2019</w:t>
            </w: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69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tcPr>
          <w:p>
            <w:pPr>
              <w:jc w:val="right"/>
              <w:ind w:right="118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4,868</w:t>
            </w:r>
          </w:p>
        </w:tc>
        <w:tc>
          <w:tcPr>
            <w:tcW w:w="340" w:type="dxa"/>
            <w:vAlign w:val="bottom"/>
          </w:tcPr>
          <w:p>
            <w:pPr>
              <w:spacing w:after="0"/>
              <w:rPr>
                <w:sz w:val="19"/>
                <w:szCs w:val="19"/>
                <w:color w:val="auto"/>
              </w:rPr>
            </w:pP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106,837</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15,955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92,525</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Intangible assets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3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340" w:type="dxa"/>
            <w:vAlign w:val="bottom"/>
            <w:tcBorders>
              <w:bottom w:val="single" w:sz="8" w:color="auto"/>
            </w:tcBorders>
          </w:tcPr>
          <w:p>
            <w:pPr>
              <w:jc w:val="right"/>
              <w:ind w:right="11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226,076</w:t>
            </w:r>
          </w:p>
        </w:tc>
        <w:tc>
          <w:tcPr>
            <w:tcW w:w="3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Accounts payable</w:t>
            </w:r>
          </w:p>
        </w:tc>
        <w:tc>
          <w:tcPr>
            <w:tcW w:w="1340" w:type="dxa"/>
            <w:vAlign w:val="bottom"/>
          </w:tcPr>
          <w:p>
            <w:pPr>
              <w:jc w:val="right"/>
              <w:ind w:right="118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34,418</w:t>
            </w:r>
          </w:p>
        </w:tc>
        <w:tc>
          <w:tcPr>
            <w:tcW w:w="340" w:type="dxa"/>
            <w:vAlign w:val="bottom"/>
          </w:tcPr>
          <w:p>
            <w:pPr>
              <w:spacing w:after="0"/>
              <w:rPr>
                <w:sz w:val="19"/>
                <w:szCs w:val="19"/>
                <w:color w:val="auto"/>
              </w:rPr>
            </w:pP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33,987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66,095</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Long-term debt</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14,757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credit facility</w:t>
            </w: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41,908</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10,258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3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58,640</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340" w:type="dxa"/>
            <w:vAlign w:val="bottom"/>
            <w:tcBorders>
              <w:bottom w:val="single" w:sz="8" w:color="auto"/>
            </w:tcBorders>
          </w:tcPr>
          <w:p>
            <w:pPr>
              <w:jc w:val="right"/>
              <w:ind w:right="11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226,076</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ADJUSTED NET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ADJUSTED NET LOSS PER DILUTED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28"/>
              <w:spacing w:after="0"/>
              <w:rPr>
                <w:sz w:val="20"/>
                <w:szCs w:val="20"/>
                <w:color w:val="auto"/>
              </w:rPr>
            </w:pPr>
            <w:r>
              <w:rPr>
                <w:rFonts w:ascii="Arial" w:cs="Arial" w:eastAsia="Arial" w:hAnsi="Arial"/>
                <w:sz w:val="14"/>
                <w:szCs w:val="14"/>
                <w:color w:val="auto"/>
                <w:w w:val="90"/>
              </w:rPr>
              <w:t>For the 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8"/>
          </w:tcPr>
          <w:p>
            <w:pPr>
              <w:jc w:val="right"/>
              <w:ind w:right="400"/>
              <w:spacing w:after="0"/>
              <w:rPr>
                <w:sz w:val="20"/>
                <w:szCs w:val="20"/>
                <w:color w:val="auto"/>
              </w:rPr>
            </w:pPr>
            <w:r>
              <w:rPr>
                <w:rFonts w:ascii="Arial" w:cs="Arial" w:eastAsia="Arial" w:hAnsi="Arial"/>
                <w:sz w:val="14"/>
                <w:szCs w:val="14"/>
                <w:color w:val="auto"/>
                <w:w w:val="92"/>
              </w:rPr>
              <w:t>For the fiscal year ended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6"/>
          </w:tcPr>
          <w:p>
            <w:pPr>
              <w:jc w:val="right"/>
              <w:ind w:right="400"/>
              <w:spacing w:after="0"/>
              <w:rPr>
                <w:sz w:val="20"/>
                <w:szCs w:val="20"/>
                <w:color w:val="auto"/>
              </w:rPr>
            </w:pPr>
            <w:r>
              <w:rPr>
                <w:rFonts w:ascii="Arial" w:cs="Arial" w:eastAsia="Arial" w:hAnsi="Arial"/>
                <w:sz w:val="14"/>
                <w:szCs w:val="14"/>
                <w:color w:val="auto"/>
              </w:rPr>
              <w:t>February 2, 2019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8"/>
          </w:tcPr>
          <w:p>
            <w:pPr>
              <w:jc w:val="right"/>
              <w:ind w:right="460"/>
              <w:spacing w:after="0"/>
              <w:rPr>
                <w:sz w:val="20"/>
                <w:szCs w:val="20"/>
                <w:color w:val="auto"/>
              </w:rPr>
            </w:pPr>
            <w:r>
              <w:rPr>
                <w:rFonts w:ascii="Arial" w:cs="Arial" w:eastAsia="Arial" w:hAnsi="Arial"/>
                <w:sz w:val="14"/>
                <w:szCs w:val="14"/>
                <w:color w:val="auto"/>
              </w:rPr>
              <w:t>February 3, 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7"/>
          </w:tcPr>
          <w:p>
            <w:pPr>
              <w:jc w:val="right"/>
              <w:ind w:right="620"/>
              <w:spacing w:after="0"/>
              <w:rPr>
                <w:sz w:val="20"/>
                <w:szCs w:val="20"/>
                <w:color w:val="auto"/>
              </w:rPr>
            </w:pPr>
            <w:r>
              <w:rPr>
                <w:rFonts w:ascii="Arial" w:cs="Arial" w:eastAsia="Arial" w:hAnsi="Arial"/>
                <w:sz w:val="14"/>
                <w:szCs w:val="14"/>
                <w:color w:val="auto"/>
                <w:w w:val="97"/>
              </w:rPr>
              <w:t>February 2, 2019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right"/>
              <w:ind w:right="460"/>
              <w:spacing w:after="0"/>
              <w:rPr>
                <w:sz w:val="20"/>
                <w:szCs w:val="20"/>
                <w:color w:val="auto"/>
              </w:rPr>
            </w:pPr>
            <w:r>
              <w:rPr>
                <w:rFonts w:ascii="Arial" w:cs="Arial" w:eastAsia="Arial" w:hAnsi="Arial"/>
                <w:sz w:val="14"/>
                <w:szCs w:val="14"/>
                <w:color w:val="auto"/>
                <w:w w:val="99"/>
              </w:rPr>
              <w:t>February 3, 2018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2"/>
              </w:rPr>
              <w:t>Per diluted</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89"/>
              </w:rPr>
              <w:t>Per diluted</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2"/>
              </w:rPr>
              <w:t>Per diluted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5"/>
              </w:rPr>
              <w:t>Per diluted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share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color w:val="auto"/>
                <w:w w:val="91"/>
              </w:rPr>
              <w:t>share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5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480"/>
              <w:spacing w:after="0"/>
              <w:rPr>
                <w:sz w:val="20"/>
                <w:szCs w:val="20"/>
                <w:color w:val="auto"/>
              </w:rPr>
            </w:pPr>
            <w:r>
              <w:rPr>
                <w:rFonts w:ascii="Arial" w:cs="Arial" w:eastAsia="Arial" w:hAnsi="Arial"/>
                <w:sz w:val="14"/>
                <w:szCs w:val="14"/>
                <w:color w:val="auto"/>
                <w:w w:val="96"/>
              </w:rPr>
              <w:t>share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56"/>
        </w:trPr>
        <w:tc>
          <w:tcPr>
            <w:tcW w:w="3540" w:type="dxa"/>
            <w:vAlign w:val="bottom"/>
            <w:gridSpan w:val="5"/>
          </w:tcPr>
          <w:p>
            <w:pPr>
              <w:spacing w:after="0" w:line="155" w:lineRule="exact"/>
              <w:rPr>
                <w:sz w:val="20"/>
                <w:szCs w:val="20"/>
                <w:color w:val="auto"/>
              </w:rPr>
            </w:pPr>
            <w:r>
              <w:rPr>
                <w:rFonts w:ascii="Arial" w:cs="Arial" w:eastAsia="Arial" w:hAnsi="Arial"/>
                <w:sz w:val="14"/>
                <w:szCs w:val="14"/>
                <w:i w:val="1"/>
                <w:iCs w:val="1"/>
                <w:color w:val="auto"/>
              </w:rPr>
              <w:t>(in thousands, except per share data)</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40" w:type="dxa"/>
            <w:vAlign w:val="bottom"/>
            <w:gridSpan w:val="5"/>
          </w:tcPr>
          <w:p>
            <w:pPr>
              <w:spacing w:after="0"/>
              <w:rPr>
                <w:sz w:val="20"/>
                <w:szCs w:val="20"/>
                <w:color w:val="auto"/>
              </w:rPr>
            </w:pPr>
            <w:r>
              <w:rPr>
                <w:rFonts w:ascii="Arial" w:cs="Arial" w:eastAsia="Arial" w:hAnsi="Arial"/>
                <w:sz w:val="14"/>
                <w:szCs w:val="14"/>
                <w:color w:val="auto"/>
              </w:rPr>
              <w:t>Loss before tax provision, on a GAAP basis</w:t>
            </w:r>
          </w:p>
        </w:tc>
        <w:tc>
          <w:tcPr>
            <w:tcW w:w="3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(7,261)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ind w:right="80"/>
              <w:spacing w:after="0"/>
              <w:rPr>
                <w:sz w:val="20"/>
                <w:szCs w:val="20"/>
                <w:color w:val="auto"/>
              </w:rPr>
            </w:pPr>
            <w:r>
              <w:rPr>
                <w:rFonts w:ascii="Arial" w:cs="Arial" w:eastAsia="Arial" w:hAnsi="Arial"/>
                <w:sz w:val="14"/>
                <w:szCs w:val="14"/>
                <w:color w:val="auto"/>
              </w:rPr>
              <w:t>(5,960)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w w:val="99"/>
              </w:rPr>
              <w:t>(13,581)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(21,398)</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Benefit for income taxes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(31)</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4"/>
            <w:shd w:val="clear" w:color="auto" w:fill="CFF0FC"/>
          </w:tcPr>
          <w:p>
            <w:pPr>
              <w:jc w:val="right"/>
              <w:ind w:right="80"/>
              <w:spacing w:after="0"/>
              <w:rPr>
                <w:sz w:val="20"/>
                <w:szCs w:val="20"/>
                <w:color w:val="auto"/>
              </w:rPr>
            </w:pPr>
            <w:r>
              <w:rPr>
                <w:rFonts w:ascii="Arial" w:cs="Arial" w:eastAsia="Arial" w:hAnsi="Arial"/>
                <w:sz w:val="14"/>
                <w:szCs w:val="14"/>
                <w:color w:val="auto"/>
              </w:rPr>
              <w:t>(2,636)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(2,572)</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Net loss, on a GAAP basis</w:t>
            </w:r>
          </w:p>
        </w:tc>
        <w:tc>
          <w:tcPr>
            <w:tcW w:w="200" w:type="dxa"/>
            <w:vAlign w:val="bottom"/>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(7,230)</w:t>
            </w:r>
          </w:p>
        </w:tc>
        <w:tc>
          <w:tcPr>
            <w:tcW w:w="24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(0.15)</w:t>
            </w:r>
          </w:p>
        </w:tc>
        <w:tc>
          <w:tcPr>
            <w:tcW w:w="3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(3,324)</w:t>
            </w:r>
          </w:p>
        </w:tc>
        <w:tc>
          <w:tcPr>
            <w:tcW w:w="120" w:type="dxa"/>
            <w:vAlign w:val="bottom"/>
          </w:tcPr>
          <w:p>
            <w:pPr>
              <w:spacing w:after="0"/>
              <w:rPr>
                <w:sz w:val="13"/>
                <w:szCs w:val="13"/>
                <w:color w:val="auto"/>
              </w:rPr>
            </w:pPr>
          </w:p>
        </w:tc>
        <w:tc>
          <w:tcPr>
            <w:tcW w:w="240" w:type="dxa"/>
            <w:vAlign w:val="bottom"/>
            <w:gridSpan w:val="2"/>
          </w:tcPr>
          <w:p>
            <w:pPr>
              <w:jc w:val="right"/>
              <w:ind w:right="2"/>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(0.07)</w:t>
            </w:r>
          </w:p>
        </w:tc>
        <w:tc>
          <w:tcPr>
            <w:tcW w:w="220" w:type="dxa"/>
            <w:vAlign w:val="bottom"/>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8"/>
              </w:rPr>
              <w:t>(13,531)</w:t>
            </w:r>
          </w:p>
        </w:tc>
        <w:tc>
          <w:tcPr>
            <w:tcW w:w="26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(0.28)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(18,826)</w:t>
            </w:r>
          </w:p>
        </w:tc>
        <w:tc>
          <w:tcPr>
            <w:tcW w:w="24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(0.39)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4"/>
          </w:tcPr>
          <w:p>
            <w:pPr>
              <w:spacing w:after="0" w:line="149" w:lineRule="exact"/>
              <w:rPr>
                <w:sz w:val="20"/>
                <w:szCs w:val="20"/>
                <w:color w:val="auto"/>
              </w:rPr>
            </w:pPr>
            <w:r>
              <w:rPr>
                <w:rFonts w:ascii="Arial" w:cs="Arial" w:eastAsia="Arial" w:hAnsi="Arial"/>
                <w:sz w:val="14"/>
                <w:szCs w:val="14"/>
                <w:color w:val="auto"/>
              </w:rPr>
              <w:t>Add back: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20" w:type="dxa"/>
            <w:vAlign w:val="bottom"/>
            <w:gridSpan w:val="4"/>
            <w:shd w:val="clear" w:color="auto" w:fill="CFF0FC"/>
          </w:tcPr>
          <w:p>
            <w:pPr>
              <w:spacing w:after="0" w:line="155" w:lineRule="exact"/>
              <w:rPr>
                <w:sz w:val="20"/>
                <w:szCs w:val="20"/>
                <w:color w:val="auto"/>
              </w:rPr>
            </w:pPr>
            <w:r>
              <w:rPr>
                <w:rFonts w:ascii="Arial" w:cs="Arial" w:eastAsia="Arial" w:hAnsi="Arial"/>
                <w:sz w:val="14"/>
                <w:szCs w:val="14"/>
                <w:color w:val="auto"/>
              </w:rPr>
              <w:t>Impairment of assets</w:t>
            </w:r>
          </w:p>
        </w:tc>
        <w:tc>
          <w:tcPr>
            <w:tcW w:w="340" w:type="dxa"/>
            <w:vAlign w:val="bottom"/>
            <w:gridSpan w:val="2"/>
            <w:shd w:val="clear" w:color="auto" w:fill="CFF0FC"/>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4,579</w:t>
            </w:r>
          </w:p>
        </w:tc>
        <w:tc>
          <w:tcPr>
            <w:tcW w:w="240" w:type="dxa"/>
            <w:vAlign w:val="bottom"/>
            <w:shd w:val="clear" w:color="auto" w:fill="CFF0FC"/>
          </w:tcPr>
          <w:p>
            <w:pPr>
              <w:spacing w:after="0"/>
              <w:rPr>
                <w:sz w:val="13"/>
                <w:szCs w:val="13"/>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0.09</w:t>
            </w:r>
          </w:p>
        </w:tc>
        <w:tc>
          <w:tcPr>
            <w:tcW w:w="10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2,377</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2"/>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0.05</w:t>
            </w:r>
          </w:p>
        </w:tc>
        <w:tc>
          <w:tcPr>
            <w:tcW w:w="18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4,579</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0.09</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center"/>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4,095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Arial" w:cs="Arial" w:eastAsia="Arial" w:hAnsi="Arial"/>
                <w:sz w:val="14"/>
                <w:szCs w:val="14"/>
                <w:color w:val="auto"/>
              </w:rPr>
              <w:t>CEO transition costs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1,843</w:t>
            </w:r>
          </w:p>
        </w:tc>
        <w:tc>
          <w:tcPr>
            <w:tcW w:w="2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2,404</w:t>
            </w: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0.05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Restructuring costs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FF0FC"/>
          </w:tcPr>
          <w:p>
            <w:pPr>
              <w:spacing w:after="0"/>
              <w:rPr>
                <w:sz w:val="14"/>
                <w:szCs w:val="14"/>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1,904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Arial" w:cs="Arial" w:eastAsia="Arial" w:hAnsi="Arial"/>
                <w:sz w:val="14"/>
                <w:szCs w:val="14"/>
                <w:color w:val="auto"/>
              </w:rPr>
              <w:t>Actual benefit for income taxes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(31)</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(0.00)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4"/>
                <w:szCs w:val="14"/>
                <w:color w:val="auto"/>
              </w:rPr>
              <w:t>(2,636)</w:t>
            </w:r>
          </w:p>
        </w:tc>
        <w:tc>
          <w:tcPr>
            <w:tcW w:w="240" w:type="dxa"/>
            <w:vAlign w:val="bottom"/>
            <w:gridSpan w:val="2"/>
          </w:tcPr>
          <w:p>
            <w:pPr>
              <w:jc w:val="right"/>
              <w:ind w:right="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(0.05)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(2,572)</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Borders>
              <w:top w:val="single" w:sz="8" w:color="CFF0FC"/>
            </w:tcBorders>
            <w:gridSpan w:val="4"/>
            <w:shd w:val="clear" w:color="auto" w:fill="CFF0FC"/>
          </w:tcPr>
          <w:p>
            <w:pPr>
              <w:spacing w:after="0" w:line="155" w:lineRule="exact"/>
              <w:rPr>
                <w:sz w:val="20"/>
                <w:szCs w:val="20"/>
                <w:color w:val="auto"/>
              </w:rPr>
            </w:pPr>
            <w:r>
              <w:rPr>
                <w:rFonts w:ascii="Arial" w:cs="Arial" w:eastAsia="Arial" w:hAnsi="Arial"/>
                <w:sz w:val="14"/>
                <w:szCs w:val="14"/>
                <w:color w:val="auto"/>
              </w:rPr>
              <w:t>Adjusted loss before income taxes</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(826)</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(0.02)</w:t>
            </w: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(3,583)</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(0.07)</w:t>
            </w:r>
          </w:p>
        </w:tc>
        <w:tc>
          <w:tcPr>
            <w:tcW w:w="1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(4,694)</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(0.10)</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center"/>
              <w:ind w:right="28"/>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(17,303)</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(0.35)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20" w:type="dxa"/>
            <w:vAlign w:val="bottom"/>
            <w:gridSpan w:val="4"/>
          </w:tcPr>
          <w:p>
            <w:pPr>
              <w:spacing w:after="0" w:line="143" w:lineRule="exact"/>
              <w:rPr>
                <w:sz w:val="20"/>
                <w:szCs w:val="20"/>
                <w:color w:val="auto"/>
              </w:rPr>
            </w:pPr>
            <w:r>
              <w:rPr>
                <w:rFonts w:ascii="Arial" w:cs="Arial" w:eastAsia="Arial" w:hAnsi="Arial"/>
                <w:sz w:val="14"/>
                <w:szCs w:val="14"/>
                <w:color w:val="auto"/>
                <w:w w:val="98"/>
              </w:rPr>
              <w:t>Income tax benefit, assuming normalized tax rate of 26%,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40" w:type="dxa"/>
            <w:vAlign w:val="bottom"/>
            <w:gridSpan w:val="5"/>
          </w:tcPr>
          <w:p>
            <w:pPr>
              <w:spacing w:after="0"/>
              <w:rPr>
                <w:sz w:val="20"/>
                <w:szCs w:val="20"/>
                <w:color w:val="auto"/>
              </w:rPr>
            </w:pPr>
            <w:r>
              <w:rPr>
                <w:rFonts w:ascii="Arial" w:cs="Arial" w:eastAsia="Arial" w:hAnsi="Arial"/>
                <w:sz w:val="14"/>
                <w:szCs w:val="14"/>
                <w:color w:val="auto"/>
              </w:rPr>
              <w:t>with no AMT benefit in 2017 or 2018</w:t>
            </w:r>
          </w:p>
        </w:tc>
        <w:tc>
          <w:tcPr>
            <w:tcW w:w="3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(215)</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(0.00)</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4"/>
          </w:tcPr>
          <w:p>
            <w:pPr>
              <w:jc w:val="right"/>
              <w:ind w:right="80"/>
              <w:spacing w:after="0"/>
              <w:rPr>
                <w:sz w:val="20"/>
                <w:szCs w:val="20"/>
                <w:color w:val="auto"/>
              </w:rPr>
            </w:pPr>
            <w:r>
              <w:rPr>
                <w:rFonts w:ascii="Arial" w:cs="Arial" w:eastAsia="Arial" w:hAnsi="Arial"/>
                <w:sz w:val="14"/>
                <w:szCs w:val="14"/>
                <w:color w:val="auto"/>
              </w:rPr>
              <w:t>(932)</w:t>
            </w:r>
          </w:p>
        </w:tc>
        <w:tc>
          <w:tcPr>
            <w:tcW w:w="240" w:type="dxa"/>
            <w:vAlign w:val="bottom"/>
            <w:gridSpan w:val="2"/>
          </w:tcPr>
          <w:p>
            <w:pPr>
              <w:jc w:val="right"/>
              <w:ind w:right="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(0.02)</w:t>
            </w:r>
          </w:p>
        </w:tc>
        <w:tc>
          <w:tcPr>
            <w:tcW w:w="3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4"/>
                <w:szCs w:val="14"/>
                <w:color w:val="auto"/>
              </w:rPr>
            </w:pPr>
          </w:p>
        </w:tc>
        <w:tc>
          <w:tcPr>
            <w:tcW w:w="20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(4,499)</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Borders>
              <w:top w:val="single" w:sz="8" w:color="CFF0FC"/>
            </w:tcBorders>
            <w:gridSpan w:val="4"/>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Adjusted net loss, non-GAAP basis</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(611)</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(0.01)</w:t>
            </w: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(2,651)</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(0.05)</w:t>
            </w:r>
          </w:p>
        </w:tc>
        <w:tc>
          <w:tcPr>
            <w:tcW w:w="1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(3,474)</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(0.07)</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center"/>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8"/>
              </w:rPr>
              <w:t>(12,804)</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(0.26)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20" w:type="dxa"/>
            <w:vAlign w:val="bottom"/>
            <w:gridSpan w:val="4"/>
            <w:shd w:val="clear" w:color="auto" w:fill="CFF0FC"/>
          </w:tcPr>
          <w:p>
            <w:pPr>
              <w:spacing w:after="0"/>
              <w:rPr>
                <w:sz w:val="20"/>
                <w:szCs w:val="20"/>
                <w:color w:val="auto"/>
              </w:rPr>
            </w:pPr>
            <w:r>
              <w:rPr>
                <w:rFonts w:ascii="Arial" w:cs="Arial" w:eastAsia="Arial" w:hAnsi="Arial"/>
                <w:sz w:val="14"/>
                <w:szCs w:val="14"/>
                <w:color w:val="auto"/>
                <w:w w:val="96"/>
              </w:rPr>
              <w:t>Weighted average number of common shares outstanding:</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gridSpan w:val="4"/>
          </w:tcPr>
          <w:p>
            <w:pPr>
              <w:ind w:left="100"/>
              <w:spacing w:after="0"/>
              <w:rPr>
                <w:sz w:val="20"/>
                <w:szCs w:val="20"/>
                <w:color w:val="auto"/>
              </w:rPr>
            </w:pPr>
            <w:r>
              <w:rPr>
                <w:rFonts w:ascii="Arial" w:cs="Arial" w:eastAsia="Arial" w:hAnsi="Arial"/>
                <w:sz w:val="14"/>
                <w:szCs w:val="14"/>
                <w:color w:val="auto"/>
              </w:rPr>
              <w:t>on a diluted basis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49,451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48,666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49,163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48,888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20" w:type="dxa"/>
            <w:vAlign w:val="bottom"/>
            <w:gridSpan w:val="26"/>
          </w:tcPr>
          <w:p>
            <w:pPr>
              <w:ind w:left="540"/>
              <w:spacing w:after="0"/>
              <w:rPr>
                <w:sz w:val="20"/>
                <w:szCs w:val="20"/>
                <w:color w:val="auto"/>
              </w:rPr>
            </w:pPr>
            <w:r>
              <w:rPr>
                <w:rFonts w:ascii="Arial" w:cs="Arial" w:eastAsia="Arial" w:hAnsi="Arial"/>
                <w:sz w:val="20"/>
                <w:szCs w:val="20"/>
                <w:b w:val="1"/>
                <w:bCs w:val="1"/>
                <w:color w:val="auto"/>
                <w:w w:val="99"/>
              </w:rPr>
              <w:t>GAAP TO NON-GAAP RECONCILIATION OF ADJUSTED EBITDA</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10"/>
          </w:tcPr>
          <w:p>
            <w:pPr>
              <w:jc w:val="right"/>
              <w:ind w:right="460"/>
              <w:spacing w:after="0"/>
              <w:rPr>
                <w:sz w:val="20"/>
                <w:szCs w:val="20"/>
                <w:color w:val="auto"/>
              </w:rPr>
            </w:pPr>
            <w:r>
              <w:rPr>
                <w:rFonts w:ascii="Arial" w:cs="Arial" w:eastAsia="Arial" w:hAnsi="Arial"/>
                <w:sz w:val="14"/>
                <w:szCs w:val="14"/>
                <w:color w:val="auto"/>
                <w:w w:val="91"/>
              </w:rPr>
              <w:t>For the three months ended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8"/>
          </w:tcPr>
          <w:p>
            <w:pPr>
              <w:jc w:val="center"/>
              <w:ind w:right="20"/>
              <w:spacing w:after="0"/>
              <w:rPr>
                <w:sz w:val="20"/>
                <w:szCs w:val="20"/>
                <w:color w:val="auto"/>
              </w:rPr>
            </w:pPr>
            <w:r>
              <w:rPr>
                <w:rFonts w:ascii="Arial" w:cs="Arial" w:eastAsia="Arial" w:hAnsi="Arial"/>
                <w:sz w:val="14"/>
                <w:szCs w:val="14"/>
                <w:color w:val="auto"/>
                <w:w w:val="92"/>
              </w:rPr>
              <w:t>For the fiscal year ended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February 2, 2019</w:t>
            </w: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right"/>
              <w:ind w:right="189"/>
              <w:spacing w:after="0"/>
              <w:rPr>
                <w:sz w:val="20"/>
                <w:szCs w:val="20"/>
                <w:color w:val="auto"/>
              </w:rPr>
            </w:pPr>
            <w:r>
              <w:rPr>
                <w:rFonts w:ascii="Arial" w:cs="Arial" w:eastAsia="Arial" w:hAnsi="Arial"/>
                <w:sz w:val="14"/>
                <w:szCs w:val="14"/>
                <w:color w:val="auto"/>
                <w:w w:val="97"/>
              </w:rPr>
              <w:t>February 3, 2018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color w:val="auto"/>
              </w:rPr>
              <w:t>February 2, 2019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color w:val="auto"/>
              </w:rPr>
              <w:t>February 3, 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gridSpan w:val="5"/>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vMerge w:val="restart"/>
          </w:tcPr>
          <w:p>
            <w:pPr>
              <w:jc w:val="right"/>
              <w:ind w:right="188"/>
              <w:spacing w:after="0"/>
              <w:rPr>
                <w:sz w:val="20"/>
                <w:szCs w:val="20"/>
                <w:color w:val="auto"/>
              </w:rPr>
            </w:pPr>
            <w:r>
              <w:rPr>
                <w:rFonts w:ascii="Arial" w:cs="Arial" w:eastAsia="Arial" w:hAnsi="Arial"/>
                <w:sz w:val="14"/>
                <w:szCs w:val="14"/>
                <w:color w:val="auto"/>
                <w:w w:val="90"/>
              </w:rPr>
              <w:t>(7.2)</w:t>
            </w:r>
          </w:p>
        </w:tc>
        <w:tc>
          <w:tcPr>
            <w:tcW w:w="140" w:type="dxa"/>
            <w:vAlign w:val="bottom"/>
            <w:gridSpan w:val="2"/>
            <w:vMerge w:val="restart"/>
          </w:tcPr>
          <w:p>
            <w:pPr>
              <w:jc w:val="right"/>
              <w:ind w:right="80"/>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(3.3)</w:t>
            </w:r>
          </w:p>
        </w:tc>
        <w:tc>
          <w:tcPr>
            <w:tcW w:w="480" w:type="dxa"/>
            <w:vAlign w:val="bottom"/>
            <w:gridSpan w:val="2"/>
            <w:vMerge w:val="restart"/>
          </w:tcPr>
          <w:p>
            <w:pPr>
              <w:jc w:val="right"/>
              <w:ind w:right="21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(13.5)</w:t>
            </w:r>
          </w:p>
        </w:tc>
        <w:tc>
          <w:tcPr>
            <w:tcW w:w="28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56"/>
        </w:trPr>
        <w:tc>
          <w:tcPr>
            <w:tcW w:w="7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color w:val="auto"/>
                <w:w w:val="94"/>
              </w:rPr>
              <w:t>Net loss, on</w:t>
            </w:r>
          </w:p>
        </w:tc>
        <w:tc>
          <w:tcPr>
            <w:tcW w:w="2820" w:type="dxa"/>
            <w:vAlign w:val="bottom"/>
            <w:gridSpan w:val="2"/>
          </w:tcPr>
          <w:p>
            <w:pPr>
              <w:spacing w:after="0" w:line="155" w:lineRule="exact"/>
              <w:rPr>
                <w:sz w:val="20"/>
                <w:szCs w:val="20"/>
                <w:color w:val="auto"/>
              </w:rPr>
            </w:pPr>
            <w:r>
              <w:rPr>
                <w:rFonts w:ascii="Arial" w:cs="Arial" w:eastAsia="Arial" w:hAnsi="Arial"/>
                <w:sz w:val="14"/>
                <w:szCs w:val="14"/>
                <w:color w:val="auto"/>
              </w:rPr>
              <w:t>a GAAP basis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3"/>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Add back:</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Arial" w:cs="Arial" w:eastAsia="Arial" w:hAnsi="Arial"/>
                <w:sz w:val="14"/>
                <w:szCs w:val="14"/>
                <w:color w:val="auto"/>
              </w:rPr>
              <w:t>Benefit for income taxes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88"/>
              <w:spacing w:after="0"/>
              <w:rPr>
                <w:sz w:val="20"/>
                <w:szCs w:val="20"/>
                <w:color w:val="auto"/>
              </w:rPr>
            </w:pPr>
            <w:r>
              <w:rPr>
                <w:rFonts w:ascii="Arial" w:cs="Arial" w:eastAsia="Arial" w:hAnsi="Arial"/>
                <w:sz w:val="14"/>
                <w:szCs w:val="14"/>
                <w:color w:val="auto"/>
                <w:w w:val="90"/>
              </w:rPr>
              <w:t>(0.0)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Borders>
              <w:bottom w:val="single" w:sz="8" w:color="CFF0FC"/>
            </w:tcBorders>
            <w:gridSpan w:val="4"/>
          </w:tcPr>
          <w:p>
            <w:pPr>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7.7</w:t>
            </w: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gridSpan w:val="4"/>
            <w:shd w:val="clear" w:color="auto" w:fill="CFF0FC"/>
          </w:tcPr>
          <w:p>
            <w:pPr>
              <w:spacing w:after="0" w:line="155" w:lineRule="exact"/>
              <w:rPr>
                <w:sz w:val="20"/>
                <w:szCs w:val="20"/>
                <w:color w:val="auto"/>
              </w:rPr>
            </w:pPr>
            <w:r>
              <w:rPr>
                <w:rFonts w:ascii="Arial" w:cs="Arial" w:eastAsia="Arial" w:hAnsi="Arial"/>
                <w:sz w:val="14"/>
                <w:szCs w:val="14"/>
                <w:color w:val="auto"/>
              </w:rPr>
              <w:t>EBITDA (non-GAAP)</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0.3</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2.6</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18.5</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Arial" w:cs="Arial" w:eastAsia="Arial" w:hAnsi="Arial"/>
                <w:sz w:val="14"/>
                <w:szCs w:val="14"/>
                <w:color w:val="auto"/>
              </w:rPr>
              <w:t>Add back: CEO transition costs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Add back: Restructuring costs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Borders>
              <w:bottom w:val="single" w:sz="8" w:color="CFF0FC"/>
            </w:tcBorders>
            <w:gridSpan w:val="4"/>
          </w:tcPr>
          <w:p>
            <w:pPr>
              <w:spacing w:after="0"/>
              <w:rPr>
                <w:sz w:val="20"/>
                <w:szCs w:val="20"/>
                <w:color w:val="auto"/>
              </w:rPr>
            </w:pPr>
            <w:r>
              <w:rPr>
                <w:rFonts w:ascii="Arial" w:cs="Arial" w:eastAsia="Arial" w:hAnsi="Arial"/>
                <w:sz w:val="14"/>
                <w:szCs w:val="14"/>
                <w:color w:val="auto"/>
              </w:rPr>
              <w:t>Add back: Impairment charges</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50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Borders>
              <w:bottom w:val="single" w:sz="8" w:color="CFF0FC"/>
            </w:tcBorders>
            <w:gridSpan w:val="4"/>
            <w:shd w:val="clear" w:color="auto" w:fill="CFF0FC"/>
          </w:tcPr>
          <w:p>
            <w:pPr>
              <w:spacing w:after="0" w:line="155" w:lineRule="exact"/>
              <w:rPr>
                <w:sz w:val="20"/>
                <w:szCs w:val="20"/>
                <w:color w:val="auto"/>
              </w:rPr>
            </w:pPr>
            <w:r>
              <w:rPr>
                <w:rFonts w:ascii="Arial" w:cs="Arial" w:eastAsia="Arial" w:hAnsi="Arial"/>
                <w:sz w:val="14"/>
                <w:szCs w:val="14"/>
                <w:color w:val="auto"/>
              </w:rPr>
              <w:t>Adjusted EBITDA (non-GAAP)</w:t>
            </w:r>
          </w:p>
        </w:tc>
        <w:tc>
          <w:tcPr>
            <w:tcW w:w="2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w:t>
            </w:r>
          </w:p>
        </w:tc>
        <w:tc>
          <w:tcPr>
            <w:tcW w:w="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5.0</w:t>
            </w: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ind w:right="218"/>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27.4</w:t>
            </w:r>
          </w:p>
        </w:tc>
        <w:tc>
          <w:tcPr>
            <w:tcW w:w="1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17.1</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GAAP TO NON-GAAP RECONCILIATION OF FREE CASH FLOW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60" w:type="dxa"/>
            <w:vAlign w:val="bottom"/>
            <w:gridSpan w:val="6"/>
          </w:tcPr>
          <w:p>
            <w:pPr>
              <w:jc w:val="right"/>
              <w:ind w:right="1620"/>
              <w:spacing w:after="0"/>
              <w:rPr>
                <w:sz w:val="20"/>
                <w:szCs w:val="20"/>
                <w:color w:val="auto"/>
              </w:rPr>
            </w:pPr>
            <w:r>
              <w:rPr>
                <w:rFonts w:ascii="Arial" w:cs="Arial" w:eastAsia="Arial" w:hAnsi="Arial"/>
                <w:sz w:val="14"/>
                <w:szCs w:val="14"/>
                <w:color w:val="auto"/>
              </w:rPr>
              <w:t>For the fiscal year ended</w:t>
            </w:r>
          </w:p>
        </w:tc>
      </w:tr>
      <w:tr>
        <w:trPr>
          <w:trHeight w:val="167"/>
        </w:trPr>
        <w:tc>
          <w:tcPr>
            <w:tcW w:w="68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4"/>
                <w:szCs w:val="14"/>
                <w:color w:val="auto"/>
              </w:rPr>
            </w:pPr>
          </w:p>
        </w:tc>
        <w:tc>
          <w:tcPr>
            <w:tcW w:w="2100" w:type="dxa"/>
            <w:vAlign w:val="bottom"/>
            <w:gridSpan w:val="3"/>
          </w:tcPr>
          <w:p>
            <w:pPr>
              <w:ind w:left="240"/>
              <w:spacing w:after="0"/>
              <w:rPr>
                <w:sz w:val="20"/>
                <w:szCs w:val="20"/>
                <w:color w:val="auto"/>
              </w:rPr>
            </w:pPr>
            <w:r>
              <w:rPr>
                <w:rFonts w:ascii="Arial" w:cs="Arial" w:eastAsia="Arial" w:hAnsi="Arial"/>
                <w:sz w:val="14"/>
                <w:szCs w:val="14"/>
                <w:color w:val="auto"/>
              </w:rPr>
              <w:t>February 2, 2019</w:t>
            </w:r>
          </w:p>
        </w:tc>
        <w:tc>
          <w:tcPr>
            <w:tcW w:w="300" w:type="dxa"/>
            <w:vAlign w:val="bottom"/>
          </w:tcPr>
          <w:p>
            <w:pPr>
              <w:spacing w:after="0"/>
              <w:rPr>
                <w:sz w:val="14"/>
                <w:szCs w:val="14"/>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4"/>
                <w:szCs w:val="14"/>
                <w:color w:val="auto"/>
              </w:rPr>
              <w:t>February 3, 2018</w:t>
            </w:r>
          </w:p>
        </w:tc>
      </w:tr>
      <w:tr>
        <w:trPr>
          <w:trHeight w:val="156"/>
        </w:trPr>
        <w:tc>
          <w:tcPr>
            <w:tcW w:w="6860" w:type="dxa"/>
            <w:vAlign w:val="bottom"/>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30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31.0</w:t>
            </w:r>
          </w:p>
        </w:tc>
        <w:tc>
          <w:tcPr>
            <w:tcW w:w="100" w:type="dxa"/>
            <w:vAlign w:val="bottom"/>
          </w:tcPr>
          <w:p>
            <w:pPr>
              <w:spacing w:after="0"/>
              <w:rPr>
                <w:sz w:val="13"/>
                <w:szCs w:val="13"/>
                <w:color w:val="auto"/>
              </w:rPr>
            </w:pPr>
          </w:p>
        </w:tc>
      </w:tr>
      <w:tr>
        <w:trPr>
          <w:trHeight w:val="162"/>
        </w:trPr>
        <w:tc>
          <w:tcPr>
            <w:tcW w:w="686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300" w:type="dxa"/>
            <w:vAlign w:val="bottom"/>
            <w:tcBorders>
              <w:bottom w:val="single" w:sz="8" w:color="auto"/>
            </w:tcBorders>
            <w:shd w:val="clear" w:color="auto" w:fill="CFF0FC"/>
          </w:tcPr>
          <w:p>
            <w:pPr>
              <w:spacing w:after="0"/>
              <w:rPr>
                <w:sz w:val="14"/>
                <w:szCs w:val="14"/>
                <w:color w:val="auto"/>
              </w:rPr>
            </w:pPr>
          </w:p>
        </w:tc>
        <w:tc>
          <w:tcPr>
            <w:tcW w:w="18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8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(9.7)</w:t>
            </w:r>
          </w:p>
        </w:tc>
      </w:tr>
      <w:tr>
        <w:trPr>
          <w:trHeight w:val="156"/>
        </w:trPr>
        <w:tc>
          <w:tcPr>
            <w:tcW w:w="6860" w:type="dxa"/>
            <w:vAlign w:val="bottom"/>
          </w:tcPr>
          <w:p>
            <w:pPr>
              <w:ind w:left="120"/>
              <w:spacing w:after="0" w:line="155" w:lineRule="exact"/>
              <w:rPr>
                <w:sz w:val="20"/>
                <w:szCs w:val="20"/>
                <w:color w:val="auto"/>
              </w:rPr>
            </w:pPr>
            <w:r>
              <w:rPr>
                <w:rFonts w:ascii="Arial" w:cs="Arial" w:eastAsia="Arial" w:hAnsi="Arial"/>
                <w:sz w:val="14"/>
                <w:szCs w:val="14"/>
                <w:color w:val="auto"/>
              </w:rPr>
              <w:t>Free Cash Flow before DXL capital expenditures (non-GAAP)</w:t>
            </w: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760" w:type="dxa"/>
            <w:vAlign w:val="bottom"/>
          </w:tcPr>
          <w:p>
            <w:pPr>
              <w:jc w:val="right"/>
              <w:spacing w:after="0" w:line="155"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760" w:type="dxa"/>
            <w:vAlign w:val="bottom"/>
          </w:tcPr>
          <w:p>
            <w:pPr>
              <w:jc w:val="right"/>
              <w:spacing w:after="0" w:line="155" w:lineRule="exact"/>
              <w:rPr>
                <w:sz w:val="20"/>
                <w:szCs w:val="20"/>
                <w:color w:val="auto"/>
              </w:rPr>
            </w:pPr>
            <w:r>
              <w:rPr>
                <w:rFonts w:ascii="Arial" w:cs="Arial" w:eastAsia="Arial" w:hAnsi="Arial"/>
                <w:sz w:val="14"/>
                <w:szCs w:val="14"/>
                <w:color w:val="auto"/>
              </w:rPr>
              <w:t>21.3</w:t>
            </w:r>
          </w:p>
        </w:tc>
        <w:tc>
          <w:tcPr>
            <w:tcW w:w="100" w:type="dxa"/>
            <w:vAlign w:val="bottom"/>
          </w:tcPr>
          <w:p>
            <w:pPr>
              <w:spacing w:after="0"/>
              <w:rPr>
                <w:sz w:val="13"/>
                <w:szCs w:val="13"/>
                <w:color w:val="auto"/>
              </w:rPr>
            </w:pPr>
          </w:p>
        </w:tc>
      </w:tr>
      <w:tr>
        <w:trPr>
          <w:trHeight w:val="162"/>
        </w:trPr>
        <w:tc>
          <w:tcPr>
            <w:tcW w:w="686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 and the acquisition of the DXL domain name</w:t>
            </w:r>
          </w:p>
        </w:tc>
        <w:tc>
          <w:tcPr>
            <w:tcW w:w="300" w:type="dxa"/>
            <w:vAlign w:val="bottom"/>
            <w:shd w:val="clear" w:color="auto" w:fill="CFF0FC"/>
          </w:tcPr>
          <w:p>
            <w:pPr>
              <w:spacing w:after="0"/>
              <w:rPr>
                <w:sz w:val="14"/>
                <w:szCs w:val="14"/>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(12.9)</w:t>
            </w:r>
          </w:p>
        </w:tc>
      </w:tr>
      <w:tr>
        <w:trPr>
          <w:trHeight w:val="156"/>
        </w:trPr>
        <w:tc>
          <w:tcPr>
            <w:tcW w:w="6860" w:type="dxa"/>
            <w:vAlign w:val="bottom"/>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100" w:type="dxa"/>
            <w:vAlign w:val="bottom"/>
          </w:tcPr>
          <w:p>
            <w:pPr>
              <w:spacing w:after="0"/>
              <w:rPr>
                <w:sz w:val="13"/>
                <w:szCs w:val="13"/>
                <w:color w:val="auto"/>
              </w:rPr>
            </w:pP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2019-12-28T14:25:15Z</dcterms:created>
  <dcterms:modified xsi:type="dcterms:W3CDTF">2019-12-28T14:25:15Z</dcterms:modified>
</cp:coreProperties>
</file>