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58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81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JEWELCOR MANAGEMENT,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 N. WILKES BARRE BLVD.,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CASUAL MALE RETAIL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05/23/2006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1824" w:val="left"/>
          <w:tab w:leader="none" w:pos="21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80"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9" w:lineRule="exact"/>
        <w:rPr>
          <w:sz w:val="24"/>
          <w:szCs w:val="24"/>
          <w:color w:val="auto"/>
        </w:rPr>
      </w:pPr>
    </w:p>
    <w:p>
      <w:pPr>
        <w:sectPr>
          <w:pgSz w:w="11900" w:h="16838" w:orient="portrait"/>
          <w:cols w:equalWidth="0" w:num="3">
            <w:col w:w="3500" w:space="580"/>
            <w:col w:w="3660" w:space="316"/>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00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820" w:type="dxa"/>
            <w:vAlign w:val="bottom"/>
            <w:gridSpan w:val="7"/>
          </w:tcPr>
          <w:p>
            <w:pPr>
              <w:jc w:val="center"/>
              <w:ind w:right="38"/>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3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7"/>
                <w:szCs w:val="17"/>
                <w:color w:val="0000FF"/>
              </w:rPr>
              <w:t>WILKES</w:t>
            </w:r>
          </w:p>
        </w:tc>
        <w:tc>
          <w:tcPr>
            <w:tcW w:w="820" w:type="dxa"/>
            <w:vAlign w:val="bottom"/>
            <w:vMerge w:val="restart"/>
          </w:tcPr>
          <w:p>
            <w:pPr>
              <w:ind w:left="600"/>
              <w:spacing w:after="0"/>
              <w:rPr>
                <w:sz w:val="20"/>
                <w:szCs w:val="20"/>
                <w:color w:val="auto"/>
              </w:rPr>
            </w:pPr>
            <w:r>
              <w:rPr>
                <w:rFonts w:ascii="Arial" w:cs="Arial" w:eastAsia="Arial" w:hAnsi="Arial"/>
                <w:sz w:val="17"/>
                <w:szCs w:val="17"/>
                <w:color w:val="0000FF"/>
                <w:w w:val="87"/>
              </w:rPr>
              <w:t>PA</w:t>
            </w:r>
          </w:p>
        </w:tc>
        <w:tc>
          <w:tcPr>
            <w:tcW w:w="1000" w:type="dxa"/>
            <w:vAlign w:val="bottom"/>
          </w:tcPr>
          <w:p>
            <w:pPr>
              <w:spacing w:after="0"/>
              <w:rPr>
                <w:sz w:val="20"/>
                <w:szCs w:val="20"/>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18702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gridSpan w:val="9"/>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BARRE</w:t>
            </w:r>
          </w:p>
        </w:tc>
        <w:tc>
          <w:tcPr>
            <w:tcW w:w="8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800" w:type="dxa"/>
            <w:vAlign w:val="bottom"/>
            <w:tcBorders>
              <w:bottom w:val="single" w:sz="8" w:color="2C2C2C"/>
            </w:tcBorders>
            <w:gridSpan w:val="5"/>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center"/>
              <w:ind w:left="5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60,000</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820" w:type="dxa"/>
            <w:vAlign w:val="bottom"/>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5.26</w:t>
            </w:r>
          </w:p>
        </w:tc>
        <w:tc>
          <w:tcPr>
            <w:tcW w:w="100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05/23/2006</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ind w:left="180"/>
              <w:spacing w:after="0" w:line="132" w:lineRule="exact"/>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07/02/2003</w:t>
            </w:r>
          </w:p>
        </w:tc>
        <w:tc>
          <w:tcPr>
            <w:tcW w:w="680" w:type="dxa"/>
            <w:vAlign w:val="bottom"/>
          </w:tcPr>
          <w:p>
            <w:pPr>
              <w:spacing w:after="0" w:line="132" w:lineRule="exact"/>
              <w:rPr>
                <w:sz w:val="20"/>
                <w:szCs w:val="20"/>
                <w:color w:val="auto"/>
              </w:rPr>
            </w:pPr>
            <w:r>
              <w:rPr>
                <w:rFonts w:ascii="Arial" w:cs="Arial" w:eastAsia="Arial" w:hAnsi="Arial"/>
                <w:sz w:val="13"/>
                <w:szCs w:val="13"/>
                <w:color w:val="0000FF"/>
              </w:rPr>
              <w:t>07/02/2010</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382,200</w:t>
            </w:r>
          </w:p>
        </w:tc>
        <w:tc>
          <w:tcPr>
            <w:tcW w:w="600" w:type="dxa"/>
            <w:vAlign w:val="bottom"/>
          </w:tcPr>
          <w:p>
            <w:pPr>
              <w:ind w:left="240"/>
              <w:spacing w:after="0" w:line="132" w:lineRule="exact"/>
              <w:rPr>
                <w:sz w:val="20"/>
                <w:szCs w:val="20"/>
                <w:color w:val="auto"/>
              </w:rPr>
            </w:pPr>
            <w:r>
              <w:rPr>
                <w:rFonts w:ascii="Arial" w:cs="Arial" w:eastAsia="Arial" w:hAnsi="Arial"/>
                <w:sz w:val="13"/>
                <w:szCs w:val="13"/>
                <w:color w:val="0000FF"/>
                <w:w w:val="85"/>
              </w:rPr>
              <w:t>60,000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20,000</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820" w:type="dxa"/>
            <w:vAlign w:val="bottom"/>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7.36</w:t>
            </w:r>
          </w:p>
        </w:tc>
        <w:tc>
          <w:tcPr>
            <w:tcW w:w="100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05/23/2006</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ind w:left="180"/>
              <w:spacing w:after="0" w:line="132" w:lineRule="exact"/>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09/25/2003</w:t>
            </w:r>
          </w:p>
        </w:tc>
        <w:tc>
          <w:tcPr>
            <w:tcW w:w="680" w:type="dxa"/>
            <w:vAlign w:val="bottom"/>
          </w:tcPr>
          <w:p>
            <w:pPr>
              <w:spacing w:after="0" w:line="132" w:lineRule="exact"/>
              <w:rPr>
                <w:sz w:val="20"/>
                <w:szCs w:val="20"/>
                <w:color w:val="auto"/>
              </w:rPr>
            </w:pPr>
            <w:r>
              <w:rPr>
                <w:rFonts w:ascii="Arial" w:cs="Arial" w:eastAsia="Arial" w:hAnsi="Arial"/>
                <w:sz w:val="13"/>
                <w:szCs w:val="13"/>
                <w:color w:val="0000FF"/>
              </w:rPr>
              <w:t>07/02/2010</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105,200</w:t>
            </w:r>
          </w:p>
        </w:tc>
        <w:tc>
          <w:tcPr>
            <w:tcW w:w="600" w:type="dxa"/>
            <w:vAlign w:val="bottom"/>
          </w:tcPr>
          <w:p>
            <w:pPr>
              <w:ind w:left="240"/>
              <w:spacing w:after="0" w:line="132" w:lineRule="exact"/>
              <w:rPr>
                <w:sz w:val="20"/>
                <w:szCs w:val="20"/>
                <w:color w:val="auto"/>
              </w:rPr>
            </w:pPr>
            <w:r>
              <w:rPr>
                <w:rFonts w:ascii="Arial" w:cs="Arial" w:eastAsia="Arial" w:hAnsi="Arial"/>
                <w:sz w:val="13"/>
                <w:szCs w:val="13"/>
                <w:color w:val="0000FF"/>
                <w:w w:val="85"/>
              </w:rPr>
              <w:t>20,000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to purchase 80,000 shares of common stock of the Issuer that are the subject of this Form 4 (the "Warrants") were previously reported as beneficially owned by the Reporting Person indirectly through Jewelcor Management, Inc., a corporation of which the Reporting Person is a controlling shareholder ("Jewelcor"). This Form 4 reports the change in the form of beneficial ownership of the Warrants which occurred pursuant to the May 23, 2006 acquisition of direct ownership by the Reporting Person of such Warrants from Jewelcor.</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Seymour Holtzman</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05/25/2006</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2019-12-17T03:43:34Z</dcterms:created>
  <dcterms:modified xsi:type="dcterms:W3CDTF">2019-12-17T03:43:34Z</dcterms:modified>
</cp:coreProperties>
</file>