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146050</wp:posOffset>
            </wp:positionH>
            <wp:positionV relativeFrom="page">
              <wp:posOffset>146050</wp:posOffset>
            </wp:positionV>
            <wp:extent cx="7269480"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9480" cy="27940"/>
                    </a:xfrm>
                    <a:prstGeom prst="rect">
                      <a:avLst/>
                    </a:prstGeom>
                    <a:noFill/>
                  </pic:spPr>
                </pic:pic>
              </a:graphicData>
            </a:graphic>
          </wp:anchor>
        </w:drawing>
        <w:t>UNITED STATES</w:t>
      </w:r>
    </w:p>
    <w:p>
      <w:pPr>
        <w:spacing w:after="0" w:line="30" w:lineRule="exact"/>
        <w:rPr>
          <w:sz w:val="24"/>
          <w:szCs w:val="24"/>
          <w:color w:val="auto"/>
        </w:rPr>
      </w:pPr>
    </w:p>
    <w:p>
      <w:pPr>
        <w:jc w:val="center"/>
        <w:ind w:right="-325"/>
        <w:spacing w:after="0"/>
        <w:rPr>
          <w:sz w:val="20"/>
          <w:szCs w:val="20"/>
          <w:color w:val="auto"/>
        </w:rPr>
      </w:pPr>
      <w:r>
        <w:rPr>
          <w:rFonts w:ascii="Arial" w:cs="Arial" w:eastAsia="Arial" w:hAnsi="Arial"/>
          <w:sz w:val="21"/>
          <w:szCs w:val="21"/>
          <w:b w:val="1"/>
          <w:bCs w:val="1"/>
          <w:color w:val="auto"/>
        </w:rPr>
        <w:t>SECURITIES AND EXCHANGE COMMISSION</w:t>
      </w:r>
    </w:p>
    <w:p>
      <w:pPr>
        <w:spacing w:after="0" w:line="4" w:lineRule="exact"/>
        <w:rPr>
          <w:sz w:val="24"/>
          <w:szCs w:val="24"/>
          <w:color w:val="auto"/>
        </w:rPr>
      </w:pPr>
    </w:p>
    <w:p>
      <w:pPr>
        <w:jc w:val="center"/>
        <w:ind w:right="-32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3010535</wp:posOffset>
            </wp:positionH>
            <wp:positionV relativeFrom="paragraph">
              <wp:posOffset>95250</wp:posOffset>
            </wp:positionV>
            <wp:extent cx="12433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7620"/>
                    </a:xfrm>
                    <a:prstGeom prst="rect">
                      <a:avLst/>
                    </a:prstGeom>
                    <a:noFill/>
                  </pic:spPr>
                </pic:pic>
              </a:graphicData>
            </a:graphic>
          </wp:anchor>
        </w:drawing>
      </w:r>
    </w:p>
    <w:p>
      <w:pPr>
        <w:spacing w:after="0" w:line="259" w:lineRule="exact"/>
        <w:rPr>
          <w:sz w:val="24"/>
          <w:szCs w:val="24"/>
          <w:color w:val="auto"/>
        </w:rPr>
      </w:pPr>
    </w:p>
    <w:p>
      <w:pPr>
        <w:jc w:val="center"/>
        <w:ind w:right="-345"/>
        <w:spacing w:after="0"/>
        <w:rPr>
          <w:sz w:val="20"/>
          <w:szCs w:val="20"/>
          <w:color w:val="auto"/>
        </w:rPr>
      </w:pPr>
      <w:r>
        <w:rPr>
          <w:rFonts w:ascii="Arial" w:cs="Arial" w:eastAsia="Arial" w:hAnsi="Arial"/>
          <w:sz w:val="28"/>
          <w:szCs w:val="28"/>
          <w:b w:val="1"/>
          <w:bCs w:val="1"/>
          <w:color w:val="auto"/>
        </w:rPr>
        <w:t>FORM 8-K</w:t>
      </w:r>
    </w:p>
    <w:p>
      <w:pPr>
        <w:spacing w:after="0" w:line="138" w:lineRule="exact"/>
        <w:rPr>
          <w:sz w:val="24"/>
          <w:szCs w:val="24"/>
          <w:color w:val="auto"/>
        </w:rPr>
      </w:pPr>
    </w:p>
    <w:p>
      <w:pPr>
        <w:ind w:left="4846"/>
        <w:spacing w:after="0"/>
        <w:rPr>
          <w:sz w:val="20"/>
          <w:szCs w:val="20"/>
          <w:color w:val="auto"/>
        </w:rPr>
      </w:pPr>
      <w:r>
        <w:rPr>
          <w:rFonts w:ascii="Arial" w:cs="Arial" w:eastAsia="Arial" w:hAnsi="Arial"/>
          <w:sz w:val="19"/>
          <w:szCs w:val="19"/>
          <w:b w:val="1"/>
          <w:bCs w:val="1"/>
          <w:color w:val="auto"/>
        </w:rPr>
        <w:t>CURRENT REPORT</w:t>
      </w:r>
    </w:p>
    <w:p>
      <w:pPr>
        <w:spacing w:after="0" w:line="124" w:lineRule="exact"/>
        <w:rPr>
          <w:sz w:val="24"/>
          <w:szCs w:val="24"/>
          <w:color w:val="auto"/>
        </w:rPr>
      </w:pPr>
    </w:p>
    <w:p>
      <w:pPr>
        <w:ind w:left="3706"/>
        <w:spacing w:after="0"/>
        <w:rPr>
          <w:sz w:val="20"/>
          <w:szCs w:val="20"/>
          <w:color w:val="auto"/>
        </w:rPr>
      </w:pPr>
      <w:r>
        <w:rPr>
          <w:rFonts w:ascii="Arial" w:cs="Arial" w:eastAsia="Arial" w:hAnsi="Arial"/>
          <w:sz w:val="19"/>
          <w:szCs w:val="19"/>
          <w:b w:val="1"/>
          <w:bCs w:val="1"/>
          <w:color w:val="auto"/>
        </w:rPr>
        <w:t>PURSUANT TO SECTION 13 OR 15(d) OF THE</w:t>
      </w:r>
    </w:p>
    <w:p>
      <w:pPr>
        <w:spacing w:after="0" w:line="16" w:lineRule="exact"/>
        <w:rPr>
          <w:sz w:val="24"/>
          <w:szCs w:val="24"/>
          <w:color w:val="auto"/>
        </w:rPr>
      </w:pPr>
    </w:p>
    <w:p>
      <w:pPr>
        <w:jc w:val="center"/>
        <w:ind w:right="-325"/>
        <w:spacing w:after="0"/>
        <w:rPr>
          <w:sz w:val="20"/>
          <w:szCs w:val="20"/>
          <w:color w:val="auto"/>
        </w:rPr>
      </w:pPr>
      <w:r>
        <w:rPr>
          <w:rFonts w:ascii="Arial" w:cs="Arial" w:eastAsia="Arial" w:hAnsi="Arial"/>
          <w:sz w:val="19"/>
          <w:szCs w:val="19"/>
          <w:b w:val="1"/>
          <w:bCs w:val="1"/>
          <w:color w:val="auto"/>
        </w:rPr>
        <w:t>SECURITIES EXCHANGE ACT OF 1934</w:t>
      </w:r>
    </w:p>
    <w:p>
      <w:pPr>
        <w:spacing w:after="0" w:line="119" w:lineRule="exact"/>
        <w:rPr>
          <w:sz w:val="24"/>
          <w:szCs w:val="24"/>
          <w:color w:val="auto"/>
        </w:rPr>
      </w:pPr>
    </w:p>
    <w:p>
      <w:pPr>
        <w:jc w:val="center"/>
        <w:ind w:right="-345"/>
        <w:spacing w:after="0"/>
        <w:rPr>
          <w:sz w:val="20"/>
          <w:szCs w:val="20"/>
          <w:color w:val="auto"/>
        </w:rPr>
      </w:pPr>
      <w:r>
        <w:rPr>
          <w:rFonts w:ascii="Arial" w:cs="Arial" w:eastAsia="Arial" w:hAnsi="Arial"/>
          <w:sz w:val="15"/>
          <w:szCs w:val="15"/>
          <w:color w:val="auto"/>
        </w:rPr>
        <w:t>Date of Report (Date of earliest event reported): January 30, 2006</w:t>
      </w:r>
    </w:p>
    <w:p>
      <w:pPr>
        <w:spacing w:after="0" w:line="142" w:lineRule="exact"/>
        <w:rPr>
          <w:sz w:val="24"/>
          <w:szCs w:val="24"/>
          <w:color w:val="auto"/>
        </w:rPr>
      </w:pPr>
    </w:p>
    <w:p>
      <w:pPr>
        <w:jc w:val="center"/>
        <w:ind w:right="-325"/>
        <w:spacing w:after="0"/>
        <w:rPr>
          <w:sz w:val="20"/>
          <w:szCs w:val="20"/>
          <w:color w:val="auto"/>
        </w:rPr>
      </w:pPr>
      <w:r>
        <w:rPr>
          <w:rFonts w:ascii="Arial" w:cs="Arial" w:eastAsia="Arial" w:hAnsi="Arial"/>
          <w:sz w:val="15"/>
          <w:szCs w:val="15"/>
          <w:b w:val="1"/>
          <w:bCs w:val="1"/>
          <w:color w:val="auto"/>
        </w:rPr>
        <w:t>0-15898</w:t>
      </w:r>
    </w:p>
    <w:p>
      <w:pPr>
        <w:spacing w:after="0" w:line="26" w:lineRule="exact"/>
        <w:rPr>
          <w:sz w:val="24"/>
          <w:szCs w:val="24"/>
          <w:color w:val="auto"/>
        </w:rPr>
      </w:pPr>
    </w:p>
    <w:p>
      <w:pPr>
        <w:jc w:val="center"/>
        <w:ind w:right="-325"/>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3010535</wp:posOffset>
            </wp:positionH>
            <wp:positionV relativeFrom="paragraph">
              <wp:posOffset>92710</wp:posOffset>
            </wp:positionV>
            <wp:extent cx="124333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7620"/>
                    </a:xfrm>
                    <a:prstGeom prst="rect">
                      <a:avLst/>
                    </a:prstGeom>
                    <a:noFill/>
                  </pic:spPr>
                </pic:pic>
              </a:graphicData>
            </a:graphic>
          </wp:anchor>
        </w:drawing>
      </w:r>
    </w:p>
    <w:p>
      <w:pPr>
        <w:spacing w:after="0" w:line="253" w:lineRule="exact"/>
        <w:rPr>
          <w:sz w:val="24"/>
          <w:szCs w:val="24"/>
          <w:color w:val="auto"/>
        </w:rPr>
      </w:pPr>
    </w:p>
    <w:p>
      <w:pPr>
        <w:jc w:val="center"/>
        <w:ind w:right="-325"/>
        <w:spacing w:after="0"/>
        <w:rPr>
          <w:sz w:val="20"/>
          <w:szCs w:val="20"/>
          <w:color w:val="auto"/>
        </w:rPr>
      </w:pPr>
      <w:r>
        <w:rPr>
          <w:rFonts w:ascii="Arial" w:cs="Arial" w:eastAsia="Arial" w:hAnsi="Arial"/>
          <w:sz w:val="37"/>
          <w:szCs w:val="37"/>
          <w:b w:val="1"/>
          <w:bCs w:val="1"/>
          <w:color w:val="auto"/>
        </w:rPr>
        <w:t>CASUAL MALE RETAIL GROUP, INC.</w:t>
      </w:r>
    </w:p>
    <w:p>
      <w:pPr>
        <w:spacing w:after="0" w:line="50" w:lineRule="exact"/>
        <w:rPr>
          <w:sz w:val="24"/>
          <w:szCs w:val="24"/>
          <w:color w:val="auto"/>
        </w:rPr>
      </w:pPr>
    </w:p>
    <w:p>
      <w:pPr>
        <w:jc w:val="center"/>
        <w:ind w:right="-325"/>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106"/>
          </w:cols>
          <w:pgMar w:left="234" w:top="469" w:right="559" w:bottom="1440" w:gutter="0" w:footer="0" w:header="0"/>
        </w:sectPr>
      </w:pPr>
    </w:p>
    <w:p>
      <w:pPr>
        <w:spacing w:after="0" w:line="109" w:lineRule="exact"/>
        <w:rPr>
          <w:sz w:val="24"/>
          <w:szCs w:val="24"/>
          <w:color w:val="auto"/>
        </w:rPr>
      </w:pPr>
    </w:p>
    <w:p>
      <w:pPr>
        <w:ind w:left="2506"/>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04-2623104</w:t>
      </w:r>
    </w:p>
    <w:p>
      <w:pPr>
        <w:spacing w:after="0" w:line="49" w:lineRule="exact"/>
        <w:rPr>
          <w:sz w:val="24"/>
          <w:szCs w:val="24"/>
          <w:color w:val="auto"/>
        </w:rPr>
      </w:pPr>
    </w:p>
    <w:p>
      <w:pPr>
        <w:sectPr>
          <w:pgSz w:w="11900" w:h="16838" w:orient="portrait"/>
          <w:cols w:equalWidth="0" w:num="2">
            <w:col w:w="7546" w:space="720"/>
            <w:col w:w="2840"/>
          </w:cols>
          <w:pgMar w:left="234" w:top="469" w:right="559" w:bottom="1440" w:gutter="0" w:footer="0" w:header="0"/>
          <w:type w:val="continuous"/>
        </w:sectPr>
      </w:pPr>
    </w:p>
    <w:p>
      <w:pPr>
        <w:ind w:left="2206"/>
        <w:spacing w:after="0"/>
        <w:rPr>
          <w:sz w:val="20"/>
          <w:szCs w:val="20"/>
          <w:color w:val="auto"/>
        </w:rPr>
      </w:pPr>
      <w:r>
        <w:rPr>
          <w:rFonts w:ascii="Arial" w:cs="Arial" w:eastAsia="Arial" w:hAnsi="Arial"/>
          <w:sz w:val="9"/>
          <w:szCs w:val="9"/>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(IRS Employer Identification Number)</w:t>
      </w:r>
    </w:p>
    <w:p>
      <w:pPr>
        <w:spacing w:after="0" w:line="123" w:lineRule="exact"/>
        <w:rPr>
          <w:sz w:val="24"/>
          <w:szCs w:val="24"/>
          <w:color w:val="auto"/>
        </w:rPr>
      </w:pPr>
    </w:p>
    <w:p>
      <w:pPr>
        <w:sectPr>
          <w:pgSz w:w="11900" w:h="16838" w:orient="portrait"/>
          <w:cols w:equalWidth="0" w:num="2">
            <w:col w:w="6946" w:space="720"/>
            <w:col w:w="3440"/>
          </w:cols>
          <w:pgMar w:left="234" w:top="469" w:right="559" w:bottom="1440" w:gutter="0" w:footer="0" w:header="0"/>
          <w:type w:val="continuous"/>
        </w:sectPr>
      </w:pPr>
    </w:p>
    <w:p>
      <w:pPr>
        <w:jc w:val="center"/>
        <w:ind w:right="-325"/>
        <w:spacing w:after="0"/>
        <w:rPr>
          <w:sz w:val="20"/>
          <w:szCs w:val="20"/>
          <w:color w:val="auto"/>
        </w:rPr>
      </w:pPr>
      <w:r>
        <w:rPr>
          <w:rFonts w:ascii="Arial" w:cs="Arial" w:eastAsia="Arial" w:hAnsi="Arial"/>
          <w:sz w:val="13"/>
          <w:szCs w:val="13"/>
          <w:b w:val="1"/>
          <w:bCs w:val="1"/>
          <w:color w:val="auto"/>
        </w:rPr>
        <w:t>555 Turnpike Street, Canton, Massachusetts 02021</w:t>
      </w:r>
    </w:p>
    <w:p>
      <w:pPr>
        <w:spacing w:after="0" w:line="49" w:lineRule="exact"/>
        <w:rPr>
          <w:sz w:val="24"/>
          <w:szCs w:val="24"/>
          <w:color w:val="auto"/>
        </w:rPr>
      </w:pPr>
    </w:p>
    <w:p>
      <w:pPr>
        <w:jc w:val="center"/>
        <w:ind w:right="-325"/>
        <w:spacing w:after="0"/>
        <w:rPr>
          <w:sz w:val="20"/>
          <w:szCs w:val="20"/>
          <w:color w:val="auto"/>
        </w:rPr>
      </w:pPr>
      <w:r>
        <w:rPr>
          <w:rFonts w:ascii="Arial" w:cs="Arial" w:eastAsia="Arial" w:hAnsi="Arial"/>
          <w:sz w:val="12"/>
          <w:szCs w:val="12"/>
          <w:b w:val="1"/>
          <w:bCs w:val="1"/>
          <w:color w:val="auto"/>
        </w:rPr>
        <w:t>(Address of registrant’s principal executive office)</w:t>
      </w:r>
    </w:p>
    <w:p>
      <w:pPr>
        <w:spacing w:after="0" w:line="116" w:lineRule="exact"/>
        <w:rPr>
          <w:sz w:val="24"/>
          <w:szCs w:val="24"/>
          <w:color w:val="auto"/>
        </w:rPr>
      </w:pPr>
    </w:p>
    <w:p>
      <w:pPr>
        <w:jc w:val="center"/>
        <w:ind w:right="-325"/>
        <w:spacing w:after="0"/>
        <w:rPr>
          <w:sz w:val="20"/>
          <w:szCs w:val="20"/>
          <w:color w:val="auto"/>
        </w:rPr>
      </w:pPr>
      <w:r>
        <w:rPr>
          <w:rFonts w:ascii="Arial" w:cs="Arial" w:eastAsia="Arial" w:hAnsi="Arial"/>
          <w:sz w:val="15"/>
          <w:szCs w:val="15"/>
          <w:color w:val="auto"/>
        </w:rPr>
        <w:t>(781) 828-9300</w:t>
      </w:r>
    </w:p>
    <w:p>
      <w:pPr>
        <w:spacing w:after="0" w:line="22" w:lineRule="exact"/>
        <w:rPr>
          <w:sz w:val="24"/>
          <w:szCs w:val="24"/>
          <w:color w:val="auto"/>
        </w:rPr>
      </w:pPr>
    </w:p>
    <w:p>
      <w:pPr>
        <w:jc w:val="center"/>
        <w:ind w:right="-325"/>
        <w:spacing w:after="0"/>
        <w:rPr>
          <w:sz w:val="20"/>
          <w:szCs w:val="20"/>
          <w:color w:val="auto"/>
        </w:rPr>
      </w:pPr>
      <w:r>
        <w:rPr>
          <w:rFonts w:ascii="Arial" w:cs="Arial" w:eastAsia="Arial" w:hAnsi="Arial"/>
          <w:sz w:val="15"/>
          <w:szCs w:val="15"/>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3010535</wp:posOffset>
            </wp:positionH>
            <wp:positionV relativeFrom="paragraph">
              <wp:posOffset>108585</wp:posOffset>
            </wp:positionV>
            <wp:extent cx="124333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7620"/>
                    </a:xfrm>
                    <a:prstGeom prst="rect">
                      <a:avLst/>
                    </a:prstGeom>
                    <a:noFill/>
                  </pic:spPr>
                </pic:pic>
              </a:graphicData>
            </a:graphic>
          </wp:anchor>
        </w:drawing>
      </w:r>
    </w:p>
    <w:p>
      <w:pPr>
        <w:sectPr>
          <w:pgSz w:w="11900" w:h="16838" w:orient="portrait"/>
          <w:cols w:equalWidth="0" w:num="1">
            <w:col w:w="11106"/>
          </w:cols>
          <w:pgMar w:left="234" w:top="469" w:right="559" w:bottom="1440" w:gutter="0" w:footer="0" w:header="0"/>
          <w:type w:val="continuous"/>
        </w:sectPr>
      </w:pPr>
    </w:p>
    <w:p>
      <w:pPr>
        <w:spacing w:after="0" w:line="329" w:lineRule="exact"/>
        <w:rPr>
          <w:sz w:val="24"/>
          <w:szCs w:val="24"/>
          <w:color w:val="auto"/>
        </w:rPr>
      </w:pPr>
    </w:p>
    <w:p>
      <w:pPr>
        <w:ind w:left="6"/>
        <w:spacing w:after="0" w:line="293"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86"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45"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45"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Act(17 CFR 240.14d-2(b))</w:t>
      </w:r>
    </w:p>
    <w:p>
      <w:pPr>
        <w:spacing w:after="0" w:line="145"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7269480"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9480" cy="27940"/>
                    </a:xfrm>
                    <a:prstGeom prst="rect">
                      <a:avLst/>
                    </a:prstGeom>
                    <a:noFill/>
                  </pic:spPr>
                </pic:pic>
              </a:graphicData>
            </a:graphic>
          </wp:anchor>
        </w:drawing>
      </w:r>
    </w:p>
    <w:p>
      <w:pPr>
        <w:sectPr>
          <w:pgSz w:w="11900" w:h="16838" w:orient="portrait"/>
          <w:cols w:equalWidth="0" w:num="1">
            <w:col w:w="11106"/>
          </w:cols>
          <w:pgMar w:left="234" w:top="469"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085"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4085" cy="24765"/>
                    </a:xfrm>
                    <a:prstGeom prst="rect">
                      <a:avLst/>
                    </a:prstGeom>
                    <a:noFill/>
                  </pic:spPr>
                </pic:pic>
              </a:graphicData>
            </a:graphic>
          </wp:anchor>
        </w:drawing>
        <w:t>ITEM 7.01 – Regulation FD Disclosure</w:t>
      </w:r>
    </w:p>
    <w:p>
      <w:pPr>
        <w:spacing w:after="0" w:line="79"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auto"/>
        </w:rPr>
        <w:t>On January 31, 2006, the Company issued a press release announcing that on January 30, 2006 the Company entered into a sale-leaseback transaction with Spirit Finance Corporation. A copy of the press release is attached to this report as Exhibit 99.1, and is incorporated herein by reference.</w:t>
      </w:r>
    </w:p>
    <w:p>
      <w:pPr>
        <w:spacing w:after="0" w:line="86"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The Company expects to discuss this transaction at the Brean Murray, Carret Small Cap Institutional Conference ‘06 which will be held today, Tuesday, January 31, 2006. In additional to the slide presentation already filed by the Company on Form 8-K dated January 11, 2006, the Company will present two additional slides discussing the above sale/leaseback transaction. A copy of the additional slides for this presentation are attached to this report as Exhibit 99.2, and are incorporated herein by reference.</w:t>
      </w:r>
    </w:p>
    <w:p>
      <w:pPr>
        <w:spacing w:after="0" w:line="99" w:lineRule="exact"/>
        <w:rPr>
          <w:sz w:val="20"/>
          <w:szCs w:val="20"/>
          <w:color w:val="auto"/>
        </w:rPr>
      </w:pPr>
    </w:p>
    <w:p>
      <w:pPr>
        <w:ind w:right="40"/>
        <w:spacing w:after="0" w:line="297" w:lineRule="auto"/>
        <w:rPr>
          <w:sz w:val="20"/>
          <w:szCs w:val="20"/>
          <w:color w:val="auto"/>
        </w:rPr>
      </w:pPr>
      <w:r>
        <w:rPr>
          <w:rFonts w:ascii="Arial" w:cs="Arial" w:eastAsia="Arial" w:hAnsi="Arial"/>
          <w:sz w:val="14"/>
          <w:szCs w:val="14"/>
          <w:color w:val="auto"/>
        </w:rPr>
        <w:t>The slides contained in the exhibit include statements intended as “forward-looking statements.” These slides are being furnished, not filed, pursuant to Regulation FD. Accordingly, the slides will not be incorporated by reference into any registration statement filed by the Company under the Securities Act of 1933, as amended, unless specifically identified therein as being incorporated therein by reference. The furnishing of these slides are not intended to, and do not, constitute a determination or admission by the Company that the information in the slides is material or complete, or that investors should consider this information before making an investment decision with respect to the Company.</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 FINANCIAL STATEMENTS AND EXHIBITS</w:t>
      </w:r>
    </w:p>
    <w:p>
      <w:pPr>
        <w:spacing w:after="0" w:line="79" w:lineRule="exact"/>
        <w:rPr>
          <w:sz w:val="20"/>
          <w:szCs w:val="20"/>
          <w:color w:val="auto"/>
        </w:rPr>
      </w:pPr>
    </w:p>
    <w:p>
      <w:pPr>
        <w:ind w:left="900" w:hanging="458"/>
        <w:spacing w:after="0"/>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2"/>
              </w:rPr>
              <w:t>Exhibit No.</w:t>
            </w:r>
          </w:p>
        </w:tc>
        <w:tc>
          <w:tcPr>
            <w:tcW w:w="7520" w:type="dxa"/>
            <w:vAlign w:val="bottom"/>
            <w:gridSpan w:val="3"/>
          </w:tcPr>
          <w:p>
            <w:pPr>
              <w:ind w:left="740"/>
              <w:spacing w:after="0"/>
              <w:rPr>
                <w:sz w:val="20"/>
                <w:szCs w:val="20"/>
                <w:color w:val="auto"/>
              </w:rPr>
            </w:pPr>
            <w:r>
              <w:rPr>
                <w:rFonts w:ascii="Arial" w:cs="Arial" w:eastAsia="Arial" w:hAnsi="Arial"/>
                <w:sz w:val="12"/>
                <w:szCs w:val="12"/>
                <w:b w:val="1"/>
                <w:bCs w:val="1"/>
                <w:color w:val="auto"/>
              </w:rPr>
              <w:t>Description</w:t>
            </w:r>
          </w:p>
        </w:tc>
      </w:tr>
      <w:tr>
        <w:trPr>
          <w:trHeight w:val="84"/>
        </w:trPr>
        <w:tc>
          <w:tcPr>
            <w:tcW w:w="70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100" w:type="dxa"/>
            <w:vAlign w:val="bottom"/>
          </w:tcPr>
          <w:p>
            <w:pPr>
              <w:spacing w:after="0"/>
              <w:rPr>
                <w:sz w:val="7"/>
                <w:szCs w:val="7"/>
                <w:color w:val="auto"/>
              </w:rPr>
            </w:pPr>
          </w:p>
        </w:tc>
      </w:tr>
      <w:tr>
        <w:trPr>
          <w:trHeight w:val="274"/>
        </w:trPr>
        <w:tc>
          <w:tcPr>
            <w:tcW w:w="700" w:type="dxa"/>
            <w:vAlign w:val="bottom"/>
          </w:tcPr>
          <w:p>
            <w:pPr>
              <w:jc w:val="center"/>
              <w:spacing w:after="0"/>
              <w:rPr>
                <w:sz w:val="20"/>
                <w:szCs w:val="20"/>
                <w:color w:val="auto"/>
              </w:rPr>
            </w:pPr>
            <w:r>
              <w:rPr>
                <w:rFonts w:ascii="Arial" w:cs="Arial" w:eastAsia="Arial" w:hAnsi="Arial"/>
                <w:sz w:val="15"/>
                <w:szCs w:val="15"/>
                <w:color w:val="auto"/>
                <w:w w:val="95"/>
              </w:rPr>
              <w:t>99.1</w:t>
            </w:r>
          </w:p>
        </w:tc>
        <w:tc>
          <w:tcPr>
            <w:tcW w:w="7520" w:type="dxa"/>
            <w:vAlign w:val="bottom"/>
            <w:gridSpan w:val="3"/>
          </w:tcPr>
          <w:p>
            <w:pPr>
              <w:ind w:left="740"/>
              <w:spacing w:after="0"/>
              <w:rPr>
                <w:sz w:val="20"/>
                <w:szCs w:val="20"/>
                <w:color w:val="auto"/>
              </w:rPr>
            </w:pPr>
            <w:r>
              <w:rPr>
                <w:rFonts w:ascii="Arial" w:cs="Arial" w:eastAsia="Arial" w:hAnsi="Arial"/>
                <w:sz w:val="15"/>
                <w:szCs w:val="15"/>
                <w:color w:val="auto"/>
              </w:rPr>
              <w:t>Press Release dated January 31, 2006</w:t>
            </w:r>
          </w:p>
        </w:tc>
      </w:tr>
      <w:tr>
        <w:trPr>
          <w:trHeight w:val="283"/>
        </w:trPr>
        <w:tc>
          <w:tcPr>
            <w:tcW w:w="700" w:type="dxa"/>
            <w:vAlign w:val="bottom"/>
          </w:tcPr>
          <w:p>
            <w:pPr>
              <w:jc w:val="center"/>
              <w:spacing w:after="0"/>
              <w:rPr>
                <w:sz w:val="20"/>
                <w:szCs w:val="20"/>
                <w:color w:val="auto"/>
              </w:rPr>
            </w:pPr>
            <w:r>
              <w:rPr>
                <w:rFonts w:ascii="Arial" w:cs="Arial" w:eastAsia="Arial" w:hAnsi="Arial"/>
                <w:sz w:val="15"/>
                <w:szCs w:val="15"/>
                <w:color w:val="auto"/>
                <w:w w:val="95"/>
              </w:rPr>
              <w:t>99.2</w:t>
            </w:r>
          </w:p>
        </w:tc>
        <w:tc>
          <w:tcPr>
            <w:tcW w:w="7520" w:type="dxa"/>
            <w:vAlign w:val="bottom"/>
            <w:gridSpan w:val="3"/>
          </w:tcPr>
          <w:p>
            <w:pPr>
              <w:ind w:left="740"/>
              <w:spacing w:after="0"/>
              <w:rPr>
                <w:sz w:val="20"/>
                <w:szCs w:val="20"/>
                <w:color w:val="auto"/>
              </w:rPr>
            </w:pPr>
            <w:r>
              <w:rPr>
                <w:rFonts w:ascii="Arial" w:cs="Arial" w:eastAsia="Arial" w:hAnsi="Arial"/>
                <w:sz w:val="15"/>
                <w:szCs w:val="15"/>
                <w:color w:val="auto"/>
                <w:w w:val="91"/>
              </w:rPr>
              <w:t>Slides discussing the Sale-Leaseback transaction for the Company’s investor presentation on January 31, 2006</w:t>
            </w:r>
          </w:p>
        </w:tc>
      </w:tr>
      <w:tr>
        <w:trPr>
          <w:trHeight w:val="318"/>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00" w:type="dxa"/>
            <w:vAlign w:val="bottom"/>
          </w:tcPr>
          <w:p>
            <w:pPr>
              <w:ind w:left="3120"/>
              <w:spacing w:after="0"/>
              <w:rPr>
                <w:sz w:val="20"/>
                <w:szCs w:val="20"/>
                <w:color w:val="auto"/>
              </w:rPr>
            </w:pPr>
            <w:r>
              <w:rPr>
                <w:rFonts w:ascii="Arial" w:cs="Arial" w:eastAsia="Arial" w:hAnsi="Arial"/>
                <w:sz w:val="15"/>
                <w:szCs w:val="15"/>
                <w:color w:val="auto"/>
              </w:rPr>
              <w:t>SIGNATURES</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CASUAL MALE RETAIL GROUP, INC.</w:t>
      </w:r>
    </w:p>
    <w:p>
      <w:pPr>
        <w:spacing w:after="0" w:line="205"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420" w:type="dxa"/>
            <w:vAlign w:val="bottom"/>
          </w:tcPr>
          <w:p>
            <w:pPr>
              <w:spacing w:after="0"/>
              <w:rPr>
                <w:sz w:val="20"/>
                <w:szCs w:val="20"/>
                <w:color w:val="auto"/>
              </w:rPr>
            </w:pPr>
            <w:r>
              <w:rPr>
                <w:rFonts w:ascii="Arial" w:cs="Arial" w:eastAsia="Arial" w:hAnsi="Arial"/>
                <w:sz w:val="15"/>
                <w:szCs w:val="15"/>
                <w:color w:val="auto"/>
              </w:rPr>
              <w:t>By:</w:t>
            </w:r>
          </w:p>
        </w:tc>
        <w:tc>
          <w:tcPr>
            <w:tcW w:w="41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/s/  D</w:t>
            </w:r>
            <w:r>
              <w:rPr>
                <w:rFonts w:ascii="Arial" w:cs="Arial" w:eastAsia="Arial" w:hAnsi="Arial"/>
                <w:sz w:val="12"/>
                <w:szCs w:val="12"/>
                <w:color w:val="auto"/>
              </w:rPr>
              <w:t>ENNIS</w:t>
            </w:r>
            <w:r>
              <w:rPr>
                <w:rFonts w:ascii="Arial" w:cs="Arial" w:eastAsia="Arial" w:hAnsi="Arial"/>
                <w:sz w:val="15"/>
                <w:szCs w:val="15"/>
                <w:color w:val="auto"/>
              </w:rPr>
              <w:t xml:space="preserve"> R. H</w:t>
            </w:r>
            <w:r>
              <w:rPr>
                <w:rFonts w:ascii="Arial" w:cs="Arial" w:eastAsia="Arial" w:hAnsi="Arial"/>
                <w:sz w:val="12"/>
                <w:szCs w:val="12"/>
                <w:color w:val="auto"/>
              </w:rPr>
              <w:t>ERNREICH</w:t>
            </w:r>
          </w:p>
        </w:tc>
      </w:tr>
      <w:tr>
        <w:trPr>
          <w:trHeight w:val="175"/>
        </w:trPr>
        <w:tc>
          <w:tcPr>
            <w:tcW w:w="420" w:type="dxa"/>
            <w:vAlign w:val="bottom"/>
          </w:tcPr>
          <w:p>
            <w:pPr>
              <w:spacing w:after="0"/>
              <w:rPr>
                <w:sz w:val="20"/>
                <w:szCs w:val="20"/>
                <w:color w:val="auto"/>
              </w:rPr>
            </w:pPr>
            <w:r>
              <w:rPr>
                <w:rFonts w:ascii="Arial" w:cs="Arial" w:eastAsia="Arial" w:hAnsi="Arial"/>
                <w:sz w:val="15"/>
                <w:szCs w:val="15"/>
                <w:color w:val="auto"/>
                <w:w w:val="90"/>
              </w:rPr>
              <w:t>Name:</w:t>
            </w:r>
          </w:p>
        </w:tc>
        <w:tc>
          <w:tcPr>
            <w:tcW w:w="4160" w:type="dxa"/>
            <w:vAlign w:val="bottom"/>
          </w:tcPr>
          <w:p>
            <w:pPr>
              <w:jc w:val="center"/>
              <w:spacing w:after="0"/>
              <w:rPr>
                <w:sz w:val="20"/>
                <w:szCs w:val="20"/>
                <w:color w:val="auto"/>
              </w:rPr>
            </w:pPr>
            <w:r>
              <w:rPr>
                <w:rFonts w:ascii="Arial" w:cs="Arial" w:eastAsia="Arial" w:hAnsi="Arial"/>
                <w:sz w:val="12"/>
                <w:szCs w:val="12"/>
                <w:b w:val="1"/>
                <w:bCs w:val="1"/>
                <w:color w:val="auto"/>
                <w:w w:val="88"/>
              </w:rPr>
              <w:t>Dennis R. Hernreich</w:t>
            </w:r>
          </w:p>
        </w:tc>
      </w:tr>
      <w:tr>
        <w:trPr>
          <w:trHeight w:val="185"/>
        </w:trPr>
        <w:tc>
          <w:tcPr>
            <w:tcW w:w="420" w:type="dxa"/>
            <w:vAlign w:val="bottom"/>
          </w:tcPr>
          <w:p>
            <w:pPr>
              <w:spacing w:after="0"/>
              <w:rPr>
                <w:sz w:val="20"/>
                <w:szCs w:val="20"/>
                <w:color w:val="auto"/>
              </w:rPr>
            </w:pPr>
            <w:r>
              <w:rPr>
                <w:rFonts w:ascii="Arial" w:cs="Arial" w:eastAsia="Arial" w:hAnsi="Arial"/>
                <w:sz w:val="15"/>
                <w:szCs w:val="15"/>
                <w:color w:val="auto"/>
              </w:rPr>
              <w:t>Title:</w:t>
            </w:r>
          </w:p>
        </w:tc>
        <w:tc>
          <w:tcPr>
            <w:tcW w:w="4160" w:type="dxa"/>
            <w:vAlign w:val="bottom"/>
          </w:tcPr>
          <w:p>
            <w:pPr>
              <w:jc w:val="center"/>
              <w:spacing w:after="0"/>
              <w:rPr>
                <w:sz w:val="20"/>
                <w:szCs w:val="20"/>
                <w:color w:val="auto"/>
              </w:rPr>
            </w:pPr>
            <w:r>
              <w:rPr>
                <w:rFonts w:ascii="Arial" w:cs="Arial" w:eastAsia="Arial" w:hAnsi="Arial"/>
                <w:sz w:val="12"/>
                <w:szCs w:val="12"/>
                <w:b w:val="1"/>
                <w:bCs w:val="1"/>
                <w:color w:val="auto"/>
                <w:w w:val="88"/>
              </w:rPr>
              <w:t>Executive Vice President</w:t>
            </w:r>
          </w:p>
        </w:tc>
      </w:tr>
      <w:tr>
        <w:trPr>
          <w:trHeight w:val="151"/>
        </w:trPr>
        <w:tc>
          <w:tcPr>
            <w:tcW w:w="420" w:type="dxa"/>
            <w:vAlign w:val="bottom"/>
          </w:tcPr>
          <w:p>
            <w:pPr>
              <w:spacing w:after="0"/>
              <w:rPr>
                <w:sz w:val="13"/>
                <w:szCs w:val="13"/>
                <w:color w:val="auto"/>
              </w:rPr>
            </w:pPr>
          </w:p>
        </w:tc>
        <w:tc>
          <w:tcPr>
            <w:tcW w:w="4160" w:type="dxa"/>
            <w:vAlign w:val="bottom"/>
          </w:tcPr>
          <w:p>
            <w:pPr>
              <w:jc w:val="center"/>
              <w:spacing w:after="0"/>
              <w:rPr>
                <w:sz w:val="20"/>
                <w:szCs w:val="20"/>
                <w:color w:val="auto"/>
              </w:rPr>
            </w:pPr>
            <w:r>
              <w:rPr>
                <w:rFonts w:ascii="Arial" w:cs="Arial" w:eastAsia="Arial" w:hAnsi="Arial"/>
                <w:sz w:val="12"/>
                <w:szCs w:val="12"/>
                <w:b w:val="1"/>
                <w:bCs w:val="1"/>
                <w:color w:val="auto"/>
                <w:w w:val="90"/>
              </w:rPr>
              <w:t>and Chief Financial Officer</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Date: January 31, 2006</w:t>
      </w:r>
    </w:p>
    <w:p>
      <w:pPr>
        <w:sectPr>
          <w:pgSz w:w="11900" w:h="16838" w:orient="portrait"/>
          <w:cols w:equalWidth="0" w:num="1">
            <w:col w:w="11440"/>
          </w:cols>
          <w:pgMar w:left="240" w:top="258"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99695</wp:posOffset>
            </wp:positionV>
            <wp:extent cx="2089150" cy="906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89150" cy="90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For Information Contact: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Company Contact: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Jeff Unger, Investor Relations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(561) 514-0115</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Andrew Bard, Weber Shandwick Worldwide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(212) 445-8368</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CMRG Enters Into Sale/Leaseback of its Headquarters for $57 Million</w:t>
      </w:r>
    </w:p>
    <w:p>
      <w:pPr>
        <w:spacing w:after="0" w:line="150" w:lineRule="exact"/>
        <w:rPr>
          <w:sz w:val="20"/>
          <w:szCs w:val="20"/>
          <w:color w:val="auto"/>
        </w:rPr>
      </w:pPr>
    </w:p>
    <w:p>
      <w:pPr>
        <w:ind w:right="100"/>
        <w:spacing w:after="0" w:line="272" w:lineRule="auto"/>
        <w:rPr>
          <w:sz w:val="20"/>
          <w:szCs w:val="20"/>
          <w:color w:val="auto"/>
        </w:rPr>
      </w:pPr>
      <w:r>
        <w:rPr>
          <w:rFonts w:ascii="Arial" w:cs="Arial" w:eastAsia="Arial" w:hAnsi="Arial"/>
          <w:sz w:val="15"/>
          <w:szCs w:val="15"/>
          <w:color w:val="auto"/>
        </w:rPr>
        <w:t>CANTON, MA, January 31, 2006 — Casual Male Retail Group, Inc. (NASDAQ/NMS: “CMRG“), retail brand operator of Casual Male XL, Casual Male Big and Tall and Rochester Big &amp; Tall, today reported it has entered into a sale-leaseback transaction with Spirit Finance Corporation. The transaction involves the sale for $57 million and the immediate leaseback of the Company’s headquarters and distribution center located in Canton, MA. The transaction is expected to close and be funded shortly, subject to the satisfaction of customary closing conditions.</w:t>
      </w:r>
    </w:p>
    <w:p>
      <w:pPr>
        <w:spacing w:after="0" w:line="103" w:lineRule="exact"/>
        <w:rPr>
          <w:sz w:val="20"/>
          <w:szCs w:val="20"/>
          <w:color w:val="auto"/>
        </w:rPr>
      </w:pPr>
    </w:p>
    <w:p>
      <w:pPr>
        <w:ind w:right="140"/>
        <w:spacing w:after="0" w:line="272" w:lineRule="auto"/>
        <w:rPr>
          <w:sz w:val="20"/>
          <w:szCs w:val="20"/>
          <w:color w:val="auto"/>
        </w:rPr>
      </w:pPr>
      <w:r>
        <w:rPr>
          <w:rFonts w:ascii="Arial" w:cs="Arial" w:eastAsia="Arial" w:hAnsi="Arial"/>
          <w:sz w:val="15"/>
          <w:szCs w:val="15"/>
          <w:color w:val="auto"/>
        </w:rPr>
        <w:t>The Company anticipates using the net proceeds from the sale of approximately $56 million to reduce outstanding bank debt, including the term loan, to repay the existing mortgage on the property, to buyback a portion of the Company’s outstanding convertible notes and the remaining proceeds of approximately $14 million will be used for working capital. The Company repaid the existing mortgage in January 2006 and incurred an approximate $1.2 million pre-payment penalty resulting in a one-time charge to its 2005 earnings, which will be recognized in the fourth quarter.</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auto"/>
        </w:rPr>
        <w:t>Casual Male has agreed to lease the building for an initial period of 20 years, with option periods to extend the lease for another 30 years. After considering the annual rent obligation, the approximate $28 million gain on sale to be amortized over the initial term of the lease, together with interest savings from debt reduction and the decreased depreciation in assets as a result of the sale, the transaction is expected to be slightly accretive to earnings in 2006.</w:t>
      </w:r>
    </w:p>
    <w:p>
      <w:pPr>
        <w:spacing w:after="0" w:line="99" w:lineRule="exact"/>
        <w:rPr>
          <w:sz w:val="20"/>
          <w:szCs w:val="20"/>
          <w:color w:val="auto"/>
        </w:rPr>
      </w:pPr>
    </w:p>
    <w:p>
      <w:pPr>
        <w:ind w:right="140"/>
        <w:spacing w:after="0" w:line="306" w:lineRule="auto"/>
        <w:rPr>
          <w:sz w:val="20"/>
          <w:szCs w:val="20"/>
          <w:color w:val="auto"/>
        </w:rPr>
      </w:pPr>
      <w:r>
        <w:rPr>
          <w:rFonts w:ascii="Arial" w:cs="Arial" w:eastAsia="Arial" w:hAnsi="Arial"/>
          <w:sz w:val="14"/>
          <w:szCs w:val="14"/>
          <w:color w:val="auto"/>
        </w:rPr>
        <w:t>Dennis Hernreich, Executive Vice-President and Chief Operating Officer and Chief Financial Officer, commented, “The sale-leaseback transaction significantly strengthens our balance sheet and financial position. The Company now has the flexibility to utilize future free cash flow and working capital to reduce the outstanding convertible notes and to seek external growth opportunities. In addition, Spirit worked very closely with us in creating a very flexible operating lease responsive to the Company’s business and future requirements.”</w:t>
      </w:r>
    </w:p>
    <w:p>
      <w:pPr>
        <w:sectPr>
          <w:pgSz w:w="11900" w:h="16838" w:orient="portrait"/>
          <w:cols w:equalWidth="0" w:num="1">
            <w:col w:w="11440"/>
          </w:cols>
          <w:pgMar w:left="240" w:top="128" w:right="219" w:bottom="1440" w:gutter="0" w:footer="0" w:header="0"/>
        </w:sectPr>
      </w:pPr>
    </w:p>
    <w:bookmarkStart w:id="3" w:name="page4"/>
    <w:bookmarkEnd w:id="3"/>
    <w:p>
      <w:pPr>
        <w:ind w:right="200"/>
        <w:spacing w:after="0" w:line="27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085"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4085" cy="24765"/>
                    </a:xfrm>
                    <a:prstGeom prst="rect">
                      <a:avLst/>
                    </a:prstGeom>
                    <a:noFill/>
                  </pic:spPr>
                </pic:pic>
              </a:graphicData>
            </a:graphic>
          </wp:anchor>
        </w:drawing>
        <w:t>Today the Company will be presenting at the Brean Murray, Carret &amp; Co. Small Cap Institutional Investor Conference at 1:00 p.m. eastern time. The presentation is expected to last approximately 25 minutes and will be broadcast live over the Internet. The live webcast links will be available on the Casual Male website at http://www.casualmale.com/investor and will also be archived for replay. The accompanying slide presentations can be found in the Company’s 8-K filing on January 11, 2006. Furthermore, the Company will be filing an 8-K today prior to its presentation, with two additional slides, which will discuss the transaction in more detail.</w:t>
      </w:r>
    </w:p>
    <w:p>
      <w:pPr>
        <w:spacing w:after="0" w:line="103" w:lineRule="exact"/>
        <w:rPr>
          <w:sz w:val="20"/>
          <w:szCs w:val="20"/>
          <w:color w:val="auto"/>
        </w:rPr>
      </w:pPr>
    </w:p>
    <w:p>
      <w:pPr>
        <w:jc w:val="both"/>
        <w:ind w:right="120"/>
        <w:spacing w:after="0" w:line="339" w:lineRule="auto"/>
        <w:rPr>
          <w:sz w:val="20"/>
          <w:szCs w:val="20"/>
          <w:color w:val="auto"/>
        </w:rPr>
      </w:pPr>
      <w:r>
        <w:rPr>
          <w:rFonts w:ascii="Arial" w:cs="Arial" w:eastAsia="Arial" w:hAnsi="Arial"/>
          <w:sz w:val="13"/>
          <w:szCs w:val="13"/>
          <w:color w:val="auto"/>
        </w:rPr>
        <w:t>Casual Male Retail Group, Inc., the largest retailer of big and tall men’s apparel with retail operations throughout the United States, Canada and London, England, operates 483 Casual Male XL, Casual Male Big &amp; Tall stores, the Casual Male e-commerce site, Casual Male catalog business, 13 Casual Male at Sears-Canada stores, 24 Rochester Big &amp; Tall stores and a direct to consumer business. The Company is headquartered in Canton, Massachusetts, and its common stock is listed on the NASDAQ National Market under the symbol “CMRG.”</w:t>
      </w:r>
    </w:p>
    <w:p>
      <w:pPr>
        <w:spacing w:after="0" w:line="62"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Spirit Finance Corporation provides customized, flexible sale/leaseback financing solutions for single-tenant, operationally essential real estate vital to the operations of retail, service and distribution companies. Spirit’s core markets include free-standing, automotive, drugstores, educational facilities, movie theatres, restaurants, supermarkets, and other retail, distribution and service businesses. Additional information about Spirit Finance Corporation is available on Spirit’s website at www.spiritfinance.com.</w:t>
      </w:r>
    </w:p>
    <w:p>
      <w:pPr>
        <w:spacing w:after="0" w:line="80" w:lineRule="exact"/>
        <w:rPr>
          <w:sz w:val="20"/>
          <w:szCs w:val="20"/>
          <w:color w:val="auto"/>
        </w:rPr>
      </w:pPr>
    </w:p>
    <w:p>
      <w:pPr>
        <w:ind w:right="40"/>
        <w:spacing w:after="0" w:line="293" w:lineRule="auto"/>
        <w:rPr>
          <w:sz w:val="20"/>
          <w:szCs w:val="20"/>
          <w:color w:val="auto"/>
        </w:rPr>
      </w:pPr>
      <w:r>
        <w:rPr>
          <w:rFonts w:ascii="Arial" w:cs="Arial" w:eastAsia="Arial" w:hAnsi="Arial"/>
          <w:sz w:val="14"/>
          <w:szCs w:val="14"/>
          <w:i w:val="1"/>
          <w:iCs w:val="1"/>
          <w:color w:val="auto"/>
        </w:rPr>
        <w:t>This Press Release contains “forward-looking information” within the meaning of the federal securities laws, including estimates of expenses and savings and their impact on earnings. The discussion of forward-looking information requires management of the Company to make certain estimates and assumptions regarding the Company’s strategic direction, its revenues and expenses and the impact of such factors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90" w:lineRule="exact"/>
        <w:rPr>
          <w:sz w:val="20"/>
          <w:szCs w:val="20"/>
          <w:color w:val="auto"/>
        </w:rPr>
      </w:pPr>
    </w:p>
    <w:p>
      <w:pPr>
        <w:jc w:val="center"/>
        <w:spacing w:after="0"/>
        <w:tabs>
          <w:tab w:leader="none" w:pos="140" w:val="left"/>
          <w:tab w:leader="none" w:pos="120" w:val="left"/>
        </w:tabs>
        <w:rPr>
          <w:sz w:val="20"/>
          <w:szCs w:val="20"/>
          <w:color w:val="auto"/>
        </w:rPr>
      </w:pPr>
      <w:r>
        <w:rPr>
          <w:rFonts w:ascii="Arial" w:cs="Arial" w:eastAsia="Arial" w:hAnsi="Arial"/>
          <w:sz w:val="15"/>
          <w:szCs w:val="15"/>
          <w:color w:val="auto"/>
        </w:rPr>
        <w:t>#</w:t>
        <w:tab/>
        <w:t>#</w:t>
      </w:r>
      <w:r>
        <w:rPr>
          <w:sz w:val="20"/>
          <w:szCs w:val="20"/>
          <w:color w:val="auto"/>
        </w:rPr>
        <w:tab/>
      </w:r>
      <w:r>
        <w:rPr>
          <w:rFonts w:ascii="Arial" w:cs="Arial" w:eastAsia="Arial" w:hAnsi="Arial"/>
          <w:sz w:val="14"/>
          <w:szCs w:val="14"/>
          <w:color w:val="auto"/>
        </w:rPr>
        <w:t>#</w:t>
      </w:r>
    </w:p>
    <w:p>
      <w:pPr>
        <w:sectPr>
          <w:pgSz w:w="11900" w:h="16838" w:orient="portrait"/>
          <w:cols w:equalWidth="0" w:num="1">
            <w:col w:w="11420"/>
          </w:cols>
          <w:pgMar w:left="240" w:top="262" w:right="239" w:bottom="1440" w:gutter="0" w:footer="0" w:header="0"/>
        </w:sectPr>
      </w:pPr>
    </w:p>
    <w:bookmarkStart w:id="4" w:name="page5"/>
    <w:bookmarkEnd w:id="4"/>
    <w:p>
      <w:pPr>
        <w:ind w:left="10300"/>
        <w:spacing w:after="0"/>
        <w:rPr>
          <w:sz w:val="20"/>
          <w:szCs w:val="20"/>
          <w:color w:val="auto"/>
        </w:rPr>
      </w:pPr>
      <w:r>
        <w:rPr>
          <w:rFonts w:ascii="Arial" w:cs="Arial" w:eastAsia="Arial" w:hAnsi="Arial"/>
          <w:sz w:val="17"/>
          <w:szCs w:val="17"/>
          <w:b w:val="1"/>
          <w:bCs w:val="1"/>
          <w:color w:val="auto"/>
        </w:rPr>
        <w:t>Exhibit 99.2</w:t>
      </w:r>
    </w:p>
    <w:p>
      <w:pPr>
        <w:sectPr>
          <w:pgSz w:w="11900" w:h="16838" w:orient="portrait"/>
          <w:cols w:equalWidth="0" w:num="1">
            <w:col w:w="11280"/>
          </w:cols>
          <w:pgMar w:left="380" w:top="197"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Sale-Leaseback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48260</wp:posOffset>
            </wp:positionV>
            <wp:extent cx="7031990" cy="4680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1990" cy="468058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 Summary</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FFFFFF"/>
        </w:rPr>
        <w:t>Overview</w:t>
      </w:r>
    </w:p>
    <w:p>
      <w:pPr>
        <w:spacing w:after="0" w:line="336" w:lineRule="exact"/>
        <w:rPr>
          <w:sz w:val="20"/>
          <w:szCs w:val="20"/>
          <w:color w:val="auto"/>
        </w:rPr>
      </w:pPr>
    </w:p>
    <w:p>
      <w:pPr>
        <w:ind w:left="4260"/>
        <w:spacing w:after="0"/>
        <w:rPr>
          <w:sz w:val="20"/>
          <w:szCs w:val="20"/>
          <w:color w:val="auto"/>
        </w:rPr>
      </w:pPr>
      <w:r>
        <w:rPr>
          <w:rFonts w:ascii="Arial" w:cs="Arial" w:eastAsia="Arial" w:hAnsi="Arial"/>
          <w:sz w:val="19"/>
          <w:szCs w:val="19"/>
          <w:color w:val="auto"/>
        </w:rPr>
        <w:t>Sale of</w:t>
      </w:r>
    </w:p>
    <w:p>
      <w:pPr>
        <w:ind w:left="4200"/>
        <w:spacing w:after="0" w:line="201" w:lineRule="auto"/>
        <w:rPr>
          <w:sz w:val="20"/>
          <w:szCs w:val="20"/>
          <w:color w:val="auto"/>
        </w:rPr>
      </w:pPr>
      <w:r>
        <w:rPr>
          <w:rFonts w:ascii="Arial" w:cs="Arial" w:eastAsia="Arial" w:hAnsi="Arial"/>
          <w:sz w:val="10"/>
          <w:szCs w:val="10"/>
          <w:color w:val="auto"/>
        </w:rPr>
        <w:t>Property</w:t>
      </w:r>
    </w:p>
    <w:p>
      <w:pPr>
        <w:ind w:left="4300"/>
        <w:spacing w:after="0"/>
        <w:rPr>
          <w:sz w:val="20"/>
          <w:szCs w:val="20"/>
          <w:color w:val="auto"/>
        </w:rPr>
      </w:pPr>
      <w:r>
        <w:rPr>
          <w:rFonts w:ascii="Arial" w:cs="Arial" w:eastAsia="Arial" w:hAnsi="Arial"/>
          <w:sz w:val="15"/>
          <w:szCs w:val="15"/>
          <w:b w:val="1"/>
          <w:bCs w:val="1"/>
          <w:color w:val="FFFFFF"/>
        </w:rPr>
        <w:t>2</w:t>
      </w:r>
    </w:p>
    <w:p>
      <w:pPr>
        <w:spacing w:after="0" w:line="101" w:lineRule="exact"/>
        <w:rPr>
          <w:sz w:val="20"/>
          <w:szCs w:val="20"/>
          <w:color w:val="auto"/>
        </w:rPr>
      </w:pPr>
    </w:p>
    <w:p>
      <w:pPr>
        <w:ind w:left="1560"/>
        <w:spacing w:after="0"/>
        <w:rPr>
          <w:sz w:val="20"/>
          <w:szCs w:val="20"/>
          <w:color w:val="auto"/>
        </w:rPr>
      </w:pPr>
      <w:r>
        <w:rPr>
          <w:rFonts w:ascii="Arial" w:cs="Arial" w:eastAsia="Arial" w:hAnsi="Arial"/>
          <w:sz w:val="22"/>
          <w:szCs w:val="22"/>
          <w:b w:val="1"/>
          <w:bCs w:val="1"/>
          <w:color w:val="FFFFFF"/>
        </w:rPr>
        <w:t>Spirit Finance</w:t>
      </w:r>
    </w:p>
    <w:p>
      <w:pPr>
        <w:spacing w:after="0" w:line="55" w:lineRule="exact"/>
        <w:rPr>
          <w:sz w:val="20"/>
          <w:szCs w:val="20"/>
          <w:color w:val="auto"/>
        </w:rPr>
      </w:pPr>
    </w:p>
    <w:p>
      <w:pPr>
        <w:ind w:left="3860"/>
        <w:spacing w:after="0"/>
        <w:rPr>
          <w:sz w:val="20"/>
          <w:szCs w:val="20"/>
          <w:color w:val="auto"/>
        </w:rPr>
      </w:pPr>
      <w:r>
        <w:rPr>
          <w:rFonts w:ascii="Arial" w:cs="Arial" w:eastAsia="Arial" w:hAnsi="Arial"/>
          <w:sz w:val="19"/>
          <w:szCs w:val="19"/>
          <w:color w:val="auto"/>
        </w:rPr>
        <w:t>$57.0MM</w:t>
      </w:r>
    </w:p>
    <w:p>
      <w:pPr>
        <w:spacing w:after="0" w:line="6" w:lineRule="exact"/>
        <w:rPr>
          <w:sz w:val="20"/>
          <w:szCs w:val="20"/>
          <w:color w:val="auto"/>
        </w:rPr>
      </w:pPr>
    </w:p>
    <w:p>
      <w:pPr>
        <w:ind w:left="3860"/>
        <w:spacing w:after="0"/>
        <w:rPr>
          <w:sz w:val="20"/>
          <w:szCs w:val="20"/>
          <w:color w:val="auto"/>
        </w:rPr>
      </w:pPr>
      <w:r>
        <w:rPr>
          <w:rFonts w:ascii="Arial" w:cs="Arial" w:eastAsia="Arial" w:hAnsi="Arial"/>
          <w:sz w:val="19"/>
          <w:szCs w:val="19"/>
          <w:color w:val="auto"/>
        </w:rPr>
        <w:t>proceeds</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$4.56MM rent</w:t>
      </w:r>
    </w:p>
    <w:p>
      <w:pPr>
        <w:spacing w:after="0" w:line="100" w:lineRule="exact"/>
        <w:rPr>
          <w:sz w:val="20"/>
          <w:szCs w:val="20"/>
          <w:color w:val="auto"/>
        </w:rPr>
      </w:pPr>
    </w:p>
    <w:p>
      <w:pPr>
        <w:jc w:val="center"/>
        <w:ind w:left="1060"/>
        <w:spacing w:after="0"/>
        <w:rPr>
          <w:sz w:val="20"/>
          <w:szCs w:val="20"/>
          <w:color w:val="auto"/>
        </w:rPr>
      </w:pPr>
      <w:r>
        <w:rPr>
          <w:rFonts w:ascii="Arial" w:cs="Arial" w:eastAsia="Arial" w:hAnsi="Arial"/>
          <w:sz w:val="19"/>
          <w:szCs w:val="19"/>
          <w:color w:val="auto"/>
        </w:rPr>
        <w:t>Long-term</w:t>
      </w:r>
    </w:p>
    <w:p>
      <w:pPr>
        <w:spacing w:after="0" w:line="6" w:lineRule="exact"/>
        <w:rPr>
          <w:sz w:val="20"/>
          <w:szCs w:val="20"/>
          <w:color w:val="auto"/>
        </w:rPr>
      </w:pPr>
    </w:p>
    <w:p>
      <w:pPr>
        <w:jc w:val="center"/>
        <w:ind w:left="1040"/>
        <w:spacing w:after="0"/>
        <w:rPr>
          <w:sz w:val="20"/>
          <w:szCs w:val="20"/>
          <w:color w:val="auto"/>
        </w:rPr>
      </w:pPr>
      <w:r>
        <w:rPr>
          <w:rFonts w:ascii="Arial" w:cs="Arial" w:eastAsia="Arial" w:hAnsi="Arial"/>
          <w:sz w:val="19"/>
          <w:szCs w:val="19"/>
          <w:color w:val="auto"/>
        </w:rPr>
        <w:t>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Casual Male</w:t>
      </w:r>
    </w:p>
    <w:p>
      <w:pPr>
        <w:spacing w:after="0" w:line="200" w:lineRule="exact"/>
        <w:rPr>
          <w:sz w:val="20"/>
          <w:szCs w:val="20"/>
          <w:color w:val="auto"/>
        </w:rPr>
      </w:pPr>
    </w:p>
    <w:p>
      <w:pPr>
        <w:spacing w:after="0" w:line="291" w:lineRule="exact"/>
        <w:rPr>
          <w:sz w:val="20"/>
          <w:szCs w:val="20"/>
          <w:color w:val="auto"/>
        </w:rPr>
      </w:pPr>
    </w:p>
    <w:p>
      <w:pPr>
        <w:jc w:val="center"/>
        <w:ind w:right="3020"/>
        <w:spacing w:after="0"/>
        <w:rPr>
          <w:sz w:val="20"/>
          <w:szCs w:val="20"/>
          <w:color w:val="auto"/>
        </w:rPr>
      </w:pPr>
      <w:r>
        <w:rPr>
          <w:rFonts w:ascii="Arial" w:cs="Arial" w:eastAsia="Arial" w:hAnsi="Arial"/>
          <w:sz w:val="19"/>
          <w:szCs w:val="19"/>
          <w:color w:val="auto"/>
        </w:rPr>
        <w:t>Casual Male</w:t>
      </w:r>
    </w:p>
    <w:p>
      <w:pPr>
        <w:spacing w:after="0" w:line="6" w:lineRule="exact"/>
        <w:rPr>
          <w:sz w:val="20"/>
          <w:szCs w:val="20"/>
          <w:color w:val="auto"/>
        </w:rPr>
      </w:pPr>
    </w:p>
    <w:p>
      <w:pPr>
        <w:jc w:val="center"/>
        <w:ind w:right="3020"/>
        <w:spacing w:after="0"/>
        <w:rPr>
          <w:sz w:val="20"/>
          <w:szCs w:val="20"/>
          <w:color w:val="auto"/>
        </w:rPr>
      </w:pPr>
      <w:r>
        <w:rPr>
          <w:rFonts w:ascii="Arial" w:cs="Arial" w:eastAsia="Arial" w:hAnsi="Arial"/>
          <w:sz w:val="19"/>
          <w:szCs w:val="19"/>
          <w:color w:val="auto"/>
        </w:rPr>
        <w:t>continues to</w:t>
      </w:r>
    </w:p>
    <w:p>
      <w:pPr>
        <w:spacing w:after="0" w:line="6" w:lineRule="exact"/>
        <w:rPr>
          <w:sz w:val="20"/>
          <w:szCs w:val="20"/>
          <w:color w:val="auto"/>
        </w:rPr>
      </w:pPr>
    </w:p>
    <w:p>
      <w:pPr>
        <w:jc w:val="center"/>
        <w:ind w:right="3020"/>
        <w:spacing w:after="0"/>
        <w:rPr>
          <w:sz w:val="20"/>
          <w:szCs w:val="20"/>
          <w:color w:val="auto"/>
        </w:rPr>
      </w:pPr>
      <w:r>
        <w:rPr>
          <w:rFonts w:ascii="Arial" w:cs="Arial" w:eastAsia="Arial" w:hAnsi="Arial"/>
          <w:sz w:val="19"/>
          <w:szCs w:val="19"/>
          <w:color w:val="auto"/>
        </w:rPr>
        <w:t>operate / manage</w:t>
      </w:r>
    </w:p>
    <w:p>
      <w:pPr>
        <w:spacing w:after="0" w:line="6" w:lineRule="exact"/>
        <w:rPr>
          <w:sz w:val="20"/>
          <w:szCs w:val="20"/>
          <w:color w:val="auto"/>
        </w:rPr>
      </w:pPr>
    </w:p>
    <w:p>
      <w:pPr>
        <w:jc w:val="center"/>
        <w:ind w:right="3020"/>
        <w:spacing w:after="0"/>
        <w:rPr>
          <w:sz w:val="20"/>
          <w:szCs w:val="20"/>
          <w:color w:val="auto"/>
        </w:rPr>
      </w:pPr>
      <w:r>
        <w:rPr>
          <w:rFonts w:ascii="Arial" w:cs="Arial" w:eastAsia="Arial" w:hAnsi="Arial"/>
          <w:sz w:val="19"/>
          <w:szCs w:val="19"/>
          <w:color w:val="auto"/>
        </w:rPr>
        <w:t>the property</w:t>
      </w:r>
    </w:p>
    <w:p>
      <w:pPr>
        <w:spacing w:after="0" w:line="311" w:lineRule="exact"/>
        <w:rPr>
          <w:sz w:val="20"/>
          <w:szCs w:val="20"/>
          <w:color w:val="auto"/>
        </w:rPr>
      </w:pPr>
    </w:p>
    <w:p>
      <w:pPr>
        <w:jc w:val="center"/>
        <w:ind w:right="3160"/>
        <w:spacing w:after="0"/>
        <w:rPr>
          <w:sz w:val="20"/>
          <w:szCs w:val="20"/>
          <w:color w:val="auto"/>
        </w:rPr>
      </w:pPr>
      <w:r>
        <w:rPr>
          <w:rFonts w:ascii="Arial" w:cs="Arial" w:eastAsia="Arial" w:hAnsi="Arial"/>
          <w:sz w:val="22"/>
          <w:szCs w:val="22"/>
          <w:b w:val="1"/>
          <w:bCs w:val="1"/>
          <w:color w:val="FFFFFF"/>
        </w:rPr>
        <w:t>Headquarters/DC</w:t>
      </w:r>
    </w:p>
    <w:p>
      <w:pPr>
        <w:spacing w:after="0" w:line="34" w:lineRule="exact"/>
        <w:rPr>
          <w:sz w:val="20"/>
          <w:szCs w:val="20"/>
          <w:color w:val="auto"/>
        </w:rPr>
      </w:pPr>
    </w:p>
    <w:p>
      <w:pPr>
        <w:jc w:val="center"/>
        <w:ind w:right="3140"/>
        <w:spacing w:after="0"/>
        <w:rPr>
          <w:sz w:val="20"/>
          <w:szCs w:val="20"/>
          <w:color w:val="auto"/>
        </w:rPr>
      </w:pPr>
      <w:r>
        <w:rPr>
          <w:rFonts w:ascii="Arial" w:cs="Arial" w:eastAsia="Arial" w:hAnsi="Arial"/>
          <w:sz w:val="22"/>
          <w:szCs w:val="22"/>
          <w:b w:val="1"/>
          <w:bCs w:val="1"/>
          <w:color w:val="FFFFFF"/>
        </w:rPr>
        <w:t>(Canton, MA)</w:t>
      </w:r>
    </w:p>
    <w:p>
      <w:pPr>
        <w:spacing w:after="0" w:line="200" w:lineRule="exact"/>
        <w:rPr>
          <w:sz w:val="20"/>
          <w:szCs w:val="20"/>
          <w:color w:val="auto"/>
        </w:rPr>
      </w:pPr>
    </w:p>
    <w:p>
      <w:pPr>
        <w:sectPr>
          <w:pgSz w:w="11900" w:h="16838" w:orient="portrait"/>
          <w:cols w:equalWidth="0" w:num="2">
            <w:col w:w="6000" w:space="280"/>
            <w:col w:w="5000"/>
          </w:cols>
          <w:pgMar w:left="380" w:top="197" w:right="239" w:bottom="1440" w:gutter="0" w:footer="0" w:header="0"/>
          <w:type w:val="continuous"/>
        </w:sectPr>
      </w:pPr>
    </w:p>
    <w:p>
      <w:pPr>
        <w:spacing w:after="0" w:line="193" w:lineRule="exact"/>
        <w:rPr>
          <w:sz w:val="20"/>
          <w:szCs w:val="20"/>
          <w:color w:val="auto"/>
        </w:rPr>
      </w:pPr>
    </w:p>
    <w:p>
      <w:pPr>
        <w:ind w:left="620" w:right="360"/>
        <w:spacing w:after="0" w:line="270" w:lineRule="auto"/>
        <w:rPr>
          <w:sz w:val="20"/>
          <w:szCs w:val="20"/>
          <w:color w:val="auto"/>
        </w:rPr>
      </w:pPr>
      <w:r>
        <w:rPr>
          <w:rFonts w:ascii="Arial" w:cs="Arial" w:eastAsia="Arial" w:hAnsi="Arial"/>
          <w:sz w:val="20"/>
          <w:szCs w:val="20"/>
          <w:color w:val="auto"/>
        </w:rPr>
        <w:t>Spirit Finance has acquired Casual Male’s ~755,992 square foot corporate headquarters and distribution center in Canton, MA for $57MM.</w:t>
      </w:r>
    </w:p>
    <w:p>
      <w:pPr>
        <w:spacing w:after="0" w:line="60" w:lineRule="exact"/>
        <w:rPr>
          <w:sz w:val="20"/>
          <w:szCs w:val="20"/>
          <w:color w:val="auto"/>
        </w:rPr>
      </w:pPr>
    </w:p>
    <w:p>
      <w:pPr>
        <w:ind w:left="620" w:right="1160"/>
        <w:spacing w:after="0" w:line="270" w:lineRule="auto"/>
        <w:rPr>
          <w:sz w:val="20"/>
          <w:szCs w:val="20"/>
          <w:color w:val="auto"/>
        </w:rPr>
      </w:pPr>
      <w:r>
        <w:rPr>
          <w:rFonts w:ascii="Arial" w:cs="Arial" w:eastAsia="Arial" w:hAnsi="Arial"/>
          <w:sz w:val="20"/>
          <w:szCs w:val="20"/>
          <w:color w:val="auto"/>
        </w:rPr>
        <w:t>Net proceeds from the sale transaction approximate $56 million, after transaction costs of approximately $1 million.</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Casual Male’s gain from sale of its property to Spirit Finance produced a capital gain of approximately $28 million.</w:t>
      </w:r>
    </w:p>
    <w:p>
      <w:pPr>
        <w:spacing w:after="0" w:line="112" w:lineRule="exact"/>
        <w:rPr>
          <w:sz w:val="20"/>
          <w:szCs w:val="20"/>
          <w:color w:val="auto"/>
        </w:rPr>
      </w:pPr>
    </w:p>
    <w:p>
      <w:pPr>
        <w:ind w:left="620" w:right="760"/>
        <w:spacing w:after="0" w:line="270" w:lineRule="auto"/>
        <w:rPr>
          <w:sz w:val="20"/>
          <w:szCs w:val="20"/>
          <w:color w:val="auto"/>
        </w:rPr>
      </w:pPr>
      <w:r>
        <w:rPr>
          <w:rFonts w:ascii="Arial" w:cs="Arial" w:eastAsia="Arial" w:hAnsi="Arial"/>
          <w:sz w:val="20"/>
          <w:szCs w:val="20"/>
          <w:color w:val="auto"/>
        </w:rPr>
        <w:t>Casual Male has mitigated any capital gains tax liability associated with the transaction by offsetting them with a portion of its tax loss carry-forwards, leaving over $70 million in tax loss carry forwards for future use.</w:t>
      </w:r>
    </w:p>
    <w:p>
      <w:pPr>
        <w:spacing w:after="0" w:line="72" w:lineRule="exact"/>
        <w:rPr>
          <w:sz w:val="20"/>
          <w:szCs w:val="20"/>
          <w:color w:val="auto"/>
        </w:rPr>
      </w:pPr>
    </w:p>
    <w:p>
      <w:pPr>
        <w:ind w:left="620" w:right="520"/>
        <w:spacing w:after="0" w:line="258" w:lineRule="auto"/>
        <w:rPr>
          <w:sz w:val="20"/>
          <w:szCs w:val="20"/>
          <w:color w:val="auto"/>
        </w:rPr>
      </w:pPr>
      <w:r>
        <w:rPr>
          <w:rFonts w:ascii="Arial" w:cs="Arial" w:eastAsia="Arial" w:hAnsi="Arial"/>
          <w:sz w:val="20"/>
          <w:szCs w:val="20"/>
          <w:color w:val="auto"/>
        </w:rPr>
        <w:t>Casual Male has entered into a 20-year lease with Spirit Finance, with 6, 5-year renewal options. Casual Male’s initial rent in years 1-5 of the lease will be $4.56 million.</w:t>
      </w:r>
    </w:p>
    <w:p>
      <w:pPr>
        <w:spacing w:after="0" w:line="8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Casual Male will continue to operate and manage the property in the same manner as prior to the sale.</w:t>
      </w:r>
    </w:p>
    <w:p>
      <w:pPr>
        <w:sectPr>
          <w:pgSz w:w="11900" w:h="16838" w:orient="portrait"/>
          <w:cols w:equalWidth="0" w:num="1">
            <w:col w:w="11280"/>
          </w:cols>
          <w:pgMar w:left="380" w:top="197"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085"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085" cy="24765"/>
                    </a:xfrm>
                    <a:prstGeom prst="rect">
                      <a:avLst/>
                    </a:prstGeom>
                    <a:noFill/>
                  </pic:spPr>
                </pic:pic>
              </a:graphicData>
            </a:graphic>
          </wp:anchor>
        </w:drawing>
        <w:t>Sale-Leaseback Financing</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 Summary</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FFFFFF"/>
        </w:rPr>
        <w:t>Use of Proceeds / Financial Statement Impact</w:t>
      </w:r>
    </w:p>
    <w:p>
      <w:pPr>
        <w:spacing w:after="0" w:line="182" w:lineRule="exact"/>
        <w:rPr>
          <w:sz w:val="20"/>
          <w:szCs w:val="20"/>
          <w:color w:val="auto"/>
        </w:rPr>
      </w:pPr>
    </w:p>
    <w:p>
      <w:pPr>
        <w:ind w:left="1380"/>
        <w:spacing w:after="0"/>
        <w:rPr>
          <w:sz w:val="20"/>
          <w:szCs w:val="20"/>
          <w:color w:val="auto"/>
        </w:rPr>
      </w:pPr>
      <w:r>
        <w:rPr>
          <w:rFonts w:ascii="Arial" w:cs="Arial" w:eastAsia="Arial" w:hAnsi="Arial"/>
          <w:sz w:val="19"/>
          <w:szCs w:val="19"/>
          <w:b w:val="1"/>
          <w:bCs w:val="1"/>
          <w:color w:val="auto"/>
        </w:rPr>
        <w:t>Use of Proceeds</w:t>
      </w:r>
    </w:p>
    <w:p>
      <w:pPr>
        <w:spacing w:after="0" w:line="91"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Will use the net proceeds of ~$56 million primarily for debt reduction and to buffer its cash position</w:t>
      </w:r>
    </w:p>
    <w:tbl>
      <w:tblPr>
        <w:tblLayout w:type="fixed"/>
        <w:tblInd w:w="1660" w:type="dxa"/>
        <w:tblCellMar>
          <w:top w:w="0" w:type="dxa"/>
          <w:left w:w="0" w:type="dxa"/>
          <w:bottom w:w="0" w:type="dxa"/>
          <w:right w:w="0" w:type="dxa"/>
        </w:tblCellMar>
      </w:tblPr>
      <w:tr>
        <w:trPr>
          <w:trHeight w:val="139"/>
        </w:trPr>
        <w:tc>
          <w:tcPr>
            <w:tcW w:w="8040" w:type="dxa"/>
            <w:vAlign w:val="bottom"/>
          </w:tcPr>
          <w:p>
            <w:pPr>
              <w:ind w:left="2640"/>
              <w:spacing w:after="0" w:line="139" w:lineRule="exact"/>
              <w:rPr>
                <w:sz w:val="20"/>
                <w:szCs w:val="20"/>
                <w:color w:val="auto"/>
              </w:rPr>
            </w:pPr>
            <w:r>
              <w:rPr>
                <w:rFonts w:ascii="Arial" w:cs="Arial" w:eastAsia="Arial" w:hAnsi="Arial"/>
                <w:sz w:val="15"/>
                <w:szCs w:val="15"/>
                <w:b w:val="1"/>
                <w:bCs w:val="1"/>
                <w:color w:val="FFFFFF"/>
              </w:rPr>
              <w:t>2</w:t>
            </w:r>
          </w:p>
        </w:tc>
        <w:tc>
          <w:tcPr>
            <w:tcW w:w="600" w:type="dxa"/>
            <w:vAlign w:val="bottom"/>
            <w:vMerge w:val="restart"/>
          </w:tcPr>
          <w:p>
            <w:pPr>
              <w:jc w:val="right"/>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27"/>
        </w:trPr>
        <w:tc>
          <w:tcPr>
            <w:tcW w:w="8040" w:type="dxa"/>
            <w:vAlign w:val="bottom"/>
          </w:tcPr>
          <w:p>
            <w:pPr>
              <w:ind w:left="280"/>
              <w:spacing w:after="0"/>
              <w:rPr>
                <w:sz w:val="20"/>
                <w:szCs w:val="20"/>
                <w:color w:val="auto"/>
              </w:rPr>
            </w:pPr>
            <w:r>
              <w:rPr>
                <w:rFonts w:ascii="Arial" w:cs="Arial" w:eastAsia="Arial" w:hAnsi="Arial"/>
                <w:sz w:val="19"/>
                <w:szCs w:val="19"/>
                <w:color w:val="auto"/>
              </w:rPr>
              <w:t>Payoff of existing mortgage, including early retirement penalty of $1 million</w:t>
            </w: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8040" w:type="dxa"/>
            <w:vAlign w:val="bottom"/>
          </w:tcPr>
          <w:p>
            <w:pPr>
              <w:ind w:left="280"/>
              <w:spacing w:after="0"/>
              <w:rPr>
                <w:sz w:val="20"/>
                <w:szCs w:val="20"/>
                <w:color w:val="auto"/>
              </w:rPr>
            </w:pPr>
            <w:r>
              <w:rPr>
                <w:rFonts w:ascii="Arial" w:cs="Arial" w:eastAsia="Arial" w:hAnsi="Arial"/>
                <w:sz w:val="19"/>
                <w:szCs w:val="19"/>
                <w:color w:val="auto"/>
              </w:rPr>
              <w:t>Reduction in bank debt (revolver and Rochester Big &amp; Tall acquisition financing)</w:t>
            </w:r>
          </w:p>
        </w:tc>
        <w:tc>
          <w:tcPr>
            <w:tcW w:w="600" w:type="dxa"/>
            <w:vAlign w:val="bottom"/>
          </w:tcPr>
          <w:p>
            <w:pPr>
              <w:jc w:val="right"/>
              <w:spacing w:after="0"/>
              <w:rPr>
                <w:sz w:val="20"/>
                <w:szCs w:val="20"/>
                <w:color w:val="auto"/>
              </w:rPr>
            </w:pPr>
            <w:r>
              <w:rPr>
                <w:rFonts w:ascii="Arial" w:cs="Arial" w:eastAsia="Arial" w:hAnsi="Arial"/>
                <w:sz w:val="19"/>
                <w:szCs w:val="19"/>
                <w:color w:val="auto"/>
              </w:rPr>
              <w:t>27.0</w:t>
            </w:r>
          </w:p>
        </w:tc>
        <w:tc>
          <w:tcPr>
            <w:tcW w:w="0" w:type="dxa"/>
            <w:vAlign w:val="bottom"/>
          </w:tcPr>
          <w:p>
            <w:pPr>
              <w:spacing w:after="0"/>
              <w:rPr>
                <w:sz w:val="1"/>
                <w:szCs w:val="1"/>
                <w:color w:val="auto"/>
              </w:rPr>
            </w:pPr>
          </w:p>
        </w:tc>
      </w:tr>
      <w:tr>
        <w:trPr>
          <w:trHeight w:val="318"/>
        </w:trPr>
        <w:tc>
          <w:tcPr>
            <w:tcW w:w="8040" w:type="dxa"/>
            <w:vAlign w:val="bottom"/>
          </w:tcPr>
          <w:p>
            <w:pPr>
              <w:ind w:left="280"/>
              <w:spacing w:after="0"/>
              <w:rPr>
                <w:sz w:val="20"/>
                <w:szCs w:val="20"/>
                <w:color w:val="auto"/>
              </w:rPr>
            </w:pPr>
            <w:r>
              <w:rPr>
                <w:rFonts w:ascii="Arial" w:cs="Arial" w:eastAsia="Arial" w:hAnsi="Arial"/>
                <w:sz w:val="19"/>
                <w:szCs w:val="19"/>
                <w:color w:val="auto"/>
              </w:rPr>
              <w:t>Partial buyback of convertible note securities</w:t>
            </w:r>
          </w:p>
        </w:tc>
        <w:tc>
          <w:tcPr>
            <w:tcW w:w="600" w:type="dxa"/>
            <w:vAlign w:val="bottom"/>
          </w:tcPr>
          <w:p>
            <w:pPr>
              <w:jc w:val="right"/>
              <w:spacing w:after="0"/>
              <w:rPr>
                <w:sz w:val="20"/>
                <w:szCs w:val="20"/>
                <w:color w:val="auto"/>
              </w:rPr>
            </w:pPr>
            <w:r>
              <w:rPr>
                <w:rFonts w:ascii="Arial" w:cs="Arial" w:eastAsia="Arial" w:hAnsi="Arial"/>
                <w:sz w:val="19"/>
                <w:szCs w:val="19"/>
                <w:color w:val="auto"/>
              </w:rPr>
              <w:t>5.0</w:t>
            </w:r>
          </w:p>
        </w:tc>
        <w:tc>
          <w:tcPr>
            <w:tcW w:w="0" w:type="dxa"/>
            <w:vAlign w:val="bottom"/>
          </w:tcPr>
          <w:p>
            <w:pPr>
              <w:spacing w:after="0"/>
              <w:rPr>
                <w:sz w:val="1"/>
                <w:szCs w:val="1"/>
                <w:color w:val="auto"/>
              </w:rPr>
            </w:pPr>
          </w:p>
        </w:tc>
      </w:tr>
      <w:tr>
        <w:trPr>
          <w:trHeight w:val="318"/>
        </w:trPr>
        <w:tc>
          <w:tcPr>
            <w:tcW w:w="8040" w:type="dxa"/>
            <w:vAlign w:val="bottom"/>
          </w:tcPr>
          <w:p>
            <w:pPr>
              <w:ind w:left="280"/>
              <w:spacing w:after="0"/>
              <w:rPr>
                <w:sz w:val="20"/>
                <w:szCs w:val="20"/>
                <w:color w:val="auto"/>
              </w:rPr>
            </w:pPr>
            <w:r>
              <w:rPr>
                <w:rFonts w:ascii="Arial" w:cs="Arial" w:eastAsia="Arial" w:hAnsi="Arial"/>
                <w:sz w:val="19"/>
                <w:szCs w:val="19"/>
                <w:color w:val="auto"/>
              </w:rPr>
              <w:t>Cash increase</w:t>
            </w:r>
          </w:p>
        </w:tc>
        <w:tc>
          <w:tcPr>
            <w:tcW w:w="600" w:type="dxa"/>
            <w:vAlign w:val="bottom"/>
          </w:tcPr>
          <w:p>
            <w:pPr>
              <w:jc w:val="right"/>
              <w:spacing w:after="0"/>
              <w:rPr>
                <w:sz w:val="20"/>
                <w:szCs w:val="20"/>
                <w:color w:val="auto"/>
              </w:rPr>
            </w:pPr>
            <w:r>
              <w:rPr>
                <w:rFonts w:ascii="Arial" w:cs="Arial" w:eastAsia="Arial" w:hAnsi="Arial"/>
                <w:sz w:val="19"/>
                <w:szCs w:val="19"/>
                <w:color w:val="auto"/>
              </w:rPr>
              <w:t>14.0</w:t>
            </w:r>
          </w:p>
        </w:tc>
        <w:tc>
          <w:tcPr>
            <w:tcW w:w="0" w:type="dxa"/>
            <w:vAlign w:val="bottom"/>
          </w:tcPr>
          <w:p>
            <w:pPr>
              <w:spacing w:after="0"/>
              <w:rPr>
                <w:sz w:val="1"/>
                <w:szCs w:val="1"/>
                <w:color w:val="auto"/>
              </w:rPr>
            </w:pPr>
          </w:p>
        </w:tc>
      </w:tr>
      <w:tr>
        <w:trPr>
          <w:trHeight w:val="318"/>
        </w:trPr>
        <w:tc>
          <w:tcPr>
            <w:tcW w:w="804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Earnings Impact</w:t>
            </w:r>
          </w:p>
        </w:tc>
        <w:tc>
          <w:tcPr>
            <w:tcW w:w="600" w:type="dxa"/>
            <w:vAlign w:val="bottom"/>
          </w:tcPr>
          <w:p>
            <w:pPr>
              <w:jc w:val="right"/>
              <w:spacing w:after="0"/>
              <w:rPr>
                <w:sz w:val="20"/>
                <w:szCs w:val="20"/>
                <w:color w:val="auto"/>
              </w:rPr>
            </w:pPr>
            <w:r>
              <w:rPr>
                <w:rFonts w:ascii="Arial" w:cs="Arial" w:eastAsia="Arial" w:hAnsi="Arial"/>
                <w:sz w:val="19"/>
                <w:szCs w:val="19"/>
                <w:color w:val="auto"/>
              </w:rPr>
              <w:t>$56.0</w:t>
            </w:r>
          </w:p>
        </w:tc>
        <w:tc>
          <w:tcPr>
            <w:tcW w:w="0" w:type="dxa"/>
            <w:vAlign w:val="bottom"/>
          </w:tcPr>
          <w:p>
            <w:pPr>
              <w:spacing w:after="0"/>
              <w:rPr>
                <w:sz w:val="1"/>
                <w:szCs w:val="1"/>
                <w:color w:val="auto"/>
              </w:rPr>
            </w:pPr>
          </w:p>
        </w:tc>
      </w:tr>
      <w:tr>
        <w:trPr>
          <w:trHeight w:val="236"/>
        </w:trPr>
        <w:tc>
          <w:tcPr>
            <w:tcW w:w="804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8040" w:type="dxa"/>
            <w:vAlign w:val="bottom"/>
          </w:tcPr>
          <w:p>
            <w:pPr>
              <w:spacing w:after="0"/>
              <w:rPr>
                <w:sz w:val="20"/>
                <w:szCs w:val="20"/>
                <w:color w:val="auto"/>
              </w:rPr>
            </w:pPr>
            <w:r>
              <w:rPr>
                <w:rFonts w:ascii="Arial" w:cs="Arial" w:eastAsia="Arial" w:hAnsi="Arial"/>
                <w:sz w:val="19"/>
                <w:szCs w:val="19"/>
                <w:color w:val="auto"/>
              </w:rPr>
              <w:t>Transaction will be accretive in 2006 by approximately $0.02, after tax, per share as a result of:</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40" w:type="dxa"/>
            <w:vAlign w:val="bottom"/>
          </w:tcPr>
          <w:p>
            <w:pPr>
              <w:ind w:left="280"/>
              <w:spacing w:after="0"/>
              <w:rPr>
                <w:sz w:val="20"/>
                <w:szCs w:val="20"/>
                <w:color w:val="auto"/>
              </w:rPr>
            </w:pPr>
            <w:r>
              <w:rPr>
                <w:rFonts w:ascii="Arial" w:cs="Arial" w:eastAsia="Arial" w:hAnsi="Arial"/>
                <w:sz w:val="19"/>
                <w:szCs w:val="19"/>
                <w:color w:val="auto"/>
              </w:rPr>
              <w:t>Reduced interest expense</w:t>
            </w:r>
          </w:p>
        </w:tc>
        <w:tc>
          <w:tcPr>
            <w:tcW w:w="600" w:type="dxa"/>
            <w:vAlign w:val="bottom"/>
          </w:tcPr>
          <w:p>
            <w:pPr>
              <w:jc w:val="right"/>
              <w:spacing w:after="0"/>
              <w:rPr>
                <w:sz w:val="20"/>
                <w:szCs w:val="20"/>
                <w:color w:val="auto"/>
              </w:rPr>
            </w:pPr>
            <w:r>
              <w:rPr>
                <w:rFonts w:ascii="Arial" w:cs="Arial" w:eastAsia="Arial" w:hAnsi="Arial"/>
                <w:sz w:val="19"/>
                <w:szCs w:val="19"/>
                <w:color w:val="auto"/>
              </w:rPr>
              <w:t>$3.6</w:t>
            </w:r>
          </w:p>
        </w:tc>
        <w:tc>
          <w:tcPr>
            <w:tcW w:w="0" w:type="dxa"/>
            <w:vAlign w:val="bottom"/>
          </w:tcPr>
          <w:p>
            <w:pPr>
              <w:spacing w:after="0"/>
              <w:rPr>
                <w:sz w:val="1"/>
                <w:szCs w:val="1"/>
                <w:color w:val="auto"/>
              </w:rPr>
            </w:pPr>
          </w:p>
        </w:tc>
      </w:tr>
      <w:tr>
        <w:trPr>
          <w:trHeight w:val="318"/>
        </w:trPr>
        <w:tc>
          <w:tcPr>
            <w:tcW w:w="8040" w:type="dxa"/>
            <w:vAlign w:val="bottom"/>
          </w:tcPr>
          <w:p>
            <w:pPr>
              <w:ind w:left="280"/>
              <w:spacing w:after="0"/>
              <w:rPr>
                <w:sz w:val="20"/>
                <w:szCs w:val="20"/>
                <w:color w:val="auto"/>
              </w:rPr>
            </w:pPr>
            <w:r>
              <w:rPr>
                <w:rFonts w:ascii="Arial" w:cs="Arial" w:eastAsia="Arial" w:hAnsi="Arial"/>
                <w:sz w:val="19"/>
                <w:szCs w:val="19"/>
                <w:color w:val="auto"/>
              </w:rPr>
              <w:t>Annual rent payments</w:t>
            </w:r>
          </w:p>
        </w:tc>
        <w:tc>
          <w:tcPr>
            <w:tcW w:w="600" w:type="dxa"/>
            <w:vAlign w:val="bottom"/>
          </w:tcPr>
          <w:p>
            <w:pPr>
              <w:jc w:val="right"/>
              <w:spacing w:after="0"/>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318"/>
        </w:trPr>
        <w:tc>
          <w:tcPr>
            <w:tcW w:w="8040" w:type="dxa"/>
            <w:vAlign w:val="bottom"/>
          </w:tcPr>
          <w:p>
            <w:pPr>
              <w:ind w:left="280"/>
              <w:spacing w:after="0"/>
              <w:rPr>
                <w:sz w:val="20"/>
                <w:szCs w:val="20"/>
                <w:color w:val="auto"/>
              </w:rPr>
            </w:pPr>
            <w:r>
              <w:rPr>
                <w:rFonts w:ascii="Arial" w:cs="Arial" w:eastAsia="Arial" w:hAnsi="Arial"/>
                <w:sz w:val="19"/>
                <w:szCs w:val="19"/>
                <w:color w:val="auto"/>
              </w:rPr>
              <w:t>Elimination of depreciation expense associated with the property(non-cash)</w:t>
            </w:r>
          </w:p>
        </w:tc>
        <w:tc>
          <w:tcPr>
            <w:tcW w:w="600" w:type="dxa"/>
            <w:vAlign w:val="bottom"/>
          </w:tcPr>
          <w:p>
            <w:pPr>
              <w:jc w:val="right"/>
              <w:spacing w:after="0"/>
              <w:rPr>
                <w:sz w:val="20"/>
                <w:szCs w:val="20"/>
                <w:color w:val="auto"/>
              </w:rPr>
            </w:pPr>
            <w:r>
              <w:rPr>
                <w:rFonts w:ascii="Arial" w:cs="Arial" w:eastAsia="Arial" w:hAnsi="Arial"/>
                <w:sz w:val="19"/>
                <w:szCs w:val="19"/>
                <w:color w:val="auto"/>
              </w:rPr>
              <w:t>0.8</w:t>
            </w:r>
          </w:p>
        </w:tc>
        <w:tc>
          <w:tcPr>
            <w:tcW w:w="0" w:type="dxa"/>
            <w:vAlign w:val="bottom"/>
          </w:tcPr>
          <w:p>
            <w:pPr>
              <w:spacing w:after="0"/>
              <w:rPr>
                <w:sz w:val="1"/>
                <w:szCs w:val="1"/>
                <w:color w:val="auto"/>
              </w:rPr>
            </w:pPr>
          </w:p>
        </w:tc>
      </w:tr>
      <w:tr>
        <w:trPr>
          <w:trHeight w:val="318"/>
        </w:trPr>
        <w:tc>
          <w:tcPr>
            <w:tcW w:w="8040" w:type="dxa"/>
            <w:vAlign w:val="bottom"/>
          </w:tcPr>
          <w:p>
            <w:pPr>
              <w:ind w:left="280"/>
              <w:spacing w:after="0"/>
              <w:rPr>
                <w:sz w:val="20"/>
                <w:szCs w:val="20"/>
                <w:color w:val="auto"/>
              </w:rPr>
            </w:pPr>
            <w:r>
              <w:rPr>
                <w:rFonts w:ascii="Arial" w:cs="Arial" w:eastAsia="Arial" w:hAnsi="Arial"/>
                <w:sz w:val="19"/>
                <w:szCs w:val="19"/>
                <w:color w:val="auto"/>
              </w:rPr>
              <w:t>Annual amortization of GAAP gain on building reducing annual lease expense (non cash)</w:t>
            </w:r>
          </w:p>
        </w:tc>
        <w:tc>
          <w:tcPr>
            <w:tcW w:w="600" w:type="dxa"/>
            <w:vAlign w:val="bottom"/>
          </w:tcPr>
          <w:p>
            <w:pPr>
              <w:jc w:val="right"/>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342"/>
        </w:trPr>
        <w:tc>
          <w:tcPr>
            <w:tcW w:w="80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318"/>
        </w:trPr>
        <w:tc>
          <w:tcPr>
            <w:tcW w:w="8040" w:type="dxa"/>
            <w:vAlign w:val="bottom"/>
          </w:tcPr>
          <w:p>
            <w:pPr>
              <w:ind w:left="20"/>
              <w:spacing w:after="0"/>
              <w:rPr>
                <w:sz w:val="20"/>
                <w:szCs w:val="20"/>
                <w:color w:val="auto"/>
              </w:rPr>
            </w:pPr>
            <w:r>
              <w:rPr>
                <w:rFonts w:ascii="Arial" w:cs="Arial" w:eastAsia="Arial" w:hAnsi="Arial"/>
                <w:sz w:val="19"/>
                <w:szCs w:val="19"/>
                <w:b w:val="1"/>
                <w:bCs w:val="1"/>
                <w:color w:val="auto"/>
              </w:rPr>
              <w:t>Balance Sheet Impact</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660"/>
        <w:spacing w:after="0" w:line="268" w:lineRule="auto"/>
        <w:rPr>
          <w:sz w:val="20"/>
          <w:szCs w:val="20"/>
          <w:color w:val="auto"/>
        </w:rPr>
      </w:pPr>
      <w:r>
        <w:rPr>
          <w:rFonts w:ascii="Arial" w:cs="Arial" w:eastAsia="Arial" w:hAnsi="Arial"/>
          <w:sz w:val="19"/>
          <w:szCs w:val="19"/>
          <w:color w:val="auto"/>
        </w:rPr>
        <w:t>Sale transaction will reduce debt from approximately $140 million prior to the transaction to approximately $100 million, excluding cash balances of approximately $20 million</w:t>
      </w:r>
    </w:p>
    <w:p>
      <w:pPr>
        <w:spacing w:after="0" w:line="66"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Borrowing capacity under CMRG’s $90 million revolver facility fully available</w:t>
      </w:r>
    </w:p>
    <w:p>
      <w:pPr>
        <w:spacing w:after="0" w:line="394" w:lineRule="exact"/>
        <w:rPr>
          <w:sz w:val="20"/>
          <w:szCs w:val="20"/>
          <w:color w:val="auto"/>
        </w:rPr>
      </w:pPr>
    </w:p>
    <w:p>
      <w:pPr>
        <w:ind w:left="1660"/>
        <w:spacing w:after="0"/>
        <w:rPr>
          <w:sz w:val="20"/>
          <w:szCs w:val="20"/>
          <w:color w:val="auto"/>
        </w:rPr>
      </w:pPr>
      <w:r>
        <w:rPr>
          <w:rFonts w:ascii="Arial" w:cs="Arial" w:eastAsia="Arial" w:hAnsi="Arial"/>
          <w:sz w:val="19"/>
          <w:szCs w:val="19"/>
          <w:b w:val="1"/>
          <w:bCs w:val="1"/>
          <w:color w:val="auto"/>
        </w:rPr>
        <w:t>Cash Flow Impact</w:t>
      </w:r>
    </w:p>
    <w:p>
      <w:pPr>
        <w:spacing w:after="0" w:line="124"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CMRG’s operating cash flow will be reduced by approximately $1.0 million</w:t>
      </w:r>
    </w:p>
    <w:p>
      <w:pPr>
        <w:spacing w:after="0" w:line="100"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CMRG’s free cash flow to be used for further debt reductions or growth activities</w:t>
      </w:r>
    </w:p>
    <w:sectPr>
      <w:pgSz w:w="11900" w:h="16838" w:orient="portrait"/>
      <w:cols w:equalWidth="0" w:num="1">
        <w:col w:w="10460"/>
      </w:cols>
      <w:pgMar w:left="380" w:top="295"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2019-12-20T17:05:28Z</dcterms:created>
  <dcterms:modified xsi:type="dcterms:W3CDTF">2019-12-20T17:05:28Z</dcterms:modified>
</cp:coreProperties>
</file>