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left"/>
        <w:rPr/>
      </w:pPr>
      <w:bookmarkStart w:id="0" w:name="dxlg-20230412.htm"/>
      <w:bookmarkStart w:id="1" w:name="ksdxlg20230412"/>
      <w:bookmarkEnd w:id="0"/>
      <w:bookmarkEnd w:id="1"/>
      <w:r>
        <w:rPr/>
        <w:t> </w:t>
      </w:r>
    </w:p>
    <w:p>
      <w:pPr>
        <w:pStyle w:val="TextBody"/>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spacing w:before="0" w:after="0"/>
        <w:jc w:val="left"/>
        <w:rPr/>
      </w:pPr>
      <w:r>
        <w:rPr/>
        <w:t> </w:t>
      </w:r>
    </w:p>
    <w:p>
      <w:pPr>
        <w:pStyle w:val="TextBody"/>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spacing w:before="0" w:after="0"/>
        <w:jc w:val="left"/>
        <w:rPr/>
      </w:pPr>
      <w:r>
        <w:rPr/>
        <w:t> </w:t>
      </w:r>
    </w:p>
    <w:p>
      <w:pPr>
        <w:pStyle w:val="TextBody"/>
        <w:spacing w:before="180" w:after="0"/>
        <w:jc w:val="center"/>
        <w:rPr>
          <w:rFonts w:ascii="Times New Roman;serif" w:hAnsi="Times New Roman;serif"/>
          <w:b/>
          <w:sz w:val="24"/>
        </w:rPr>
      </w:pPr>
      <w:r>
        <w:rPr>
          <w:rFonts w:ascii="Times New Roman;serif" w:hAnsi="Times New Roman;serif"/>
          <w:b/>
          <w:sz w:val="24"/>
        </w:rPr>
        <w:t>CURRENT REPORT</w:t>
      </w:r>
    </w:p>
    <w:p>
      <w:pPr>
        <w:pStyle w:val="TextBody"/>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74" w:type="dxa"/>
        <w:jc w:val="left"/>
        <w:tblInd w:w="0" w:type="dxa"/>
        <w:tblCellMar>
          <w:top w:w="28" w:type="dxa"/>
          <w:left w:w="28" w:type="dxa"/>
          <w:bottom w:w="28" w:type="dxa"/>
          <w:right w:w="28" w:type="dxa"/>
        </w:tblCellMar>
      </w:tblPr>
      <w:tblGrid>
        <w:gridCol w:w="5474"/>
      </w:tblGrid>
      <w:tr>
        <w:trPr/>
        <w:tc>
          <w:tcPr>
            <w:tcW w:w="5474" w:type="dxa"/>
            <w:tcBorders/>
            <w:shd w:fill="auto" w:val="clear"/>
            <w:vAlign w:val="center"/>
          </w:tcPr>
          <w:p>
            <w:pPr>
              <w:pStyle w:val="TableContents"/>
              <w:spacing w:before="0" w:after="283"/>
              <w:rPr>
                <w:sz w:val="4"/>
                <w:szCs w:val="4"/>
              </w:rPr>
            </w:pPr>
            <w:r>
              <w:rPr>
                <w:sz w:val="4"/>
                <w:szCs w:val="4"/>
              </w:rPr>
            </w:r>
          </w:p>
        </w:tc>
      </w:tr>
      <w:tr>
        <w:trPr/>
        <w:tc>
          <w:tcPr>
            <w:tcW w:w="5474"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April 12, 2023</w:t>
            </w:r>
          </w:p>
        </w:tc>
      </w:tr>
    </w:tbl>
    <w:p>
      <w:pPr>
        <w:pStyle w:val="TextBody"/>
        <w:pBdr>
          <w:bottom w:val="single" w:sz="6" w:space="1" w:color="000000"/>
        </w:pBdr>
        <w:spacing w:before="100" w:after="0"/>
        <w:jc w:val="left"/>
        <w:rPr/>
      </w:pPr>
      <w:r>
        <w:rPr/>
        <w:t> </w:t>
      </w:r>
    </w:p>
    <w:p>
      <w:pPr>
        <w:pStyle w:val="TextBody"/>
        <w:spacing w:before="0" w:after="0"/>
        <w:jc w:val="left"/>
        <w:rPr/>
      </w:pPr>
      <w:r>
        <w:rPr/>
        <w:t> </w:t>
      </w:r>
    </w:p>
    <w:p>
      <w:pPr>
        <w:pStyle w:val="TextBody"/>
        <w:spacing w:before="100" w:after="0"/>
        <w:jc w:val="center"/>
        <w:rPr>
          <w:rFonts w:ascii="Times New Roman;serif" w:hAnsi="Times New Roman;serif"/>
          <w:b/>
          <w:sz w:val="48"/>
        </w:rPr>
      </w:pPr>
      <w:r>
        <w:rPr>
          <w:rFonts w:ascii="Times New Roman;serif" w:hAnsi="Times New Roman;serif"/>
          <w:b/>
          <w:sz w:val="48"/>
        </w:rPr>
        <w:t>DESTINATION XL GROUP, INC.</w:t>
      </w:r>
    </w:p>
    <w:p>
      <w:pPr>
        <w:pStyle w:val="TextBody"/>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spacing w:before="180" w:after="0"/>
        <w:jc w:val="left"/>
        <w:rPr/>
      </w:pPr>
      <w:r>
        <w:rPr/>
        <w:t> </w:t>
      </w:r>
    </w:p>
    <w:p>
      <w:pPr>
        <w:pStyle w:val="TextBody"/>
        <w:spacing w:before="0" w:after="0"/>
        <w:jc w:val="left"/>
        <w:rPr/>
      </w:pPr>
      <w:r>
        <w:rPr/>
        <w:t> </w:t>
      </w:r>
    </w:p>
    <w:tbl>
      <w:tblPr>
        <w:tblW w:w="5867" w:type="dxa"/>
        <w:jc w:val="left"/>
        <w:tblInd w:w="0" w:type="dxa"/>
        <w:tblCellMar>
          <w:top w:w="28" w:type="dxa"/>
          <w:left w:w="28" w:type="dxa"/>
          <w:bottom w:w="28" w:type="dxa"/>
          <w:right w:w="28" w:type="dxa"/>
        </w:tblCellMar>
      </w:tblPr>
      <w:tblGrid>
        <w:gridCol w:w="949"/>
        <w:gridCol w:w="866"/>
        <w:gridCol w:w="870"/>
        <w:gridCol w:w="1846"/>
        <w:gridCol w:w="1336"/>
      </w:tblGrid>
      <w:tr>
        <w:trPr/>
        <w:tc>
          <w:tcPr>
            <w:tcW w:w="94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01-34219</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04-2623104</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6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70"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555 Turnpike Street</w:t>
            </w:r>
          </w:p>
        </w:tc>
        <w:tc>
          <w:tcPr>
            <w:tcW w:w="3182"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Canton, Massachusetts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02021</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spacing w:before="0" w:after="0"/>
        <w:jc w:val="left"/>
        <w:rPr/>
      </w:pPr>
      <w:r>
        <w:rPr/>
        <w:t> </w:t>
      </w:r>
    </w:p>
    <w:tbl>
      <w:tblPr>
        <w:tblW w:w="5999" w:type="dxa"/>
        <w:jc w:val="left"/>
        <w:tblInd w:w="0" w:type="dxa"/>
        <w:tblCellMar>
          <w:top w:w="28" w:type="dxa"/>
          <w:left w:w="28" w:type="dxa"/>
          <w:bottom w:w="28" w:type="dxa"/>
          <w:right w:w="28" w:type="dxa"/>
        </w:tblCellMar>
      </w:tblPr>
      <w:tblGrid>
        <w:gridCol w:w="5999"/>
      </w:tblGrid>
      <w:tr>
        <w:trPr/>
        <w:tc>
          <w:tcPr>
            <w:tcW w:w="5999" w:type="dxa"/>
            <w:tcBorders/>
            <w:shd w:fill="auto" w:val="clear"/>
            <w:vAlign w:val="center"/>
          </w:tcPr>
          <w:p>
            <w:pPr>
              <w:pStyle w:val="TableContents"/>
              <w:spacing w:before="0" w:after="283"/>
              <w:rPr>
                <w:sz w:val="4"/>
                <w:szCs w:val="4"/>
              </w:rPr>
            </w:pPr>
            <w:r>
              <w:rPr>
                <w:sz w:val="4"/>
                <w:szCs w:val="4"/>
              </w:rPr>
            </w:r>
          </w:p>
        </w:tc>
      </w:tr>
      <w:tr>
        <w:trPr/>
        <w:tc>
          <w:tcPr>
            <w:tcW w:w="5999" w:type="dxa"/>
            <w:tcBorders/>
            <w:shd w:fill="auto" w:val="clear"/>
            <w:tcMar>
              <w:top w:w="0" w:type="dxa"/>
              <w:left w:w="0" w:type="dxa"/>
              <w:bottom w:w="0" w:type="dxa"/>
              <w:right w:w="0" w:type="dxa"/>
            </w:tcMar>
            <w:vAlign w:val="center"/>
          </w:tcPr>
          <w:p>
            <w:pPr>
              <w:pStyle w:val="TableContents"/>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781</w:t>
            </w:r>
            <w:r>
              <w:rPr>
                <w:rFonts w:ascii="Times New Roman" w:hAnsi="Times New Roman"/>
                <w:sz w:val="20"/>
              </w:rPr>
              <w:t xml:space="preserve"> </w:t>
            </w:r>
            <w:r>
              <w:rPr>
                <w:rFonts w:ascii="Times New Roman;serif" w:hAnsi="Times New Roman;serif"/>
                <w:b/>
                <w:sz w:val="20"/>
              </w:rPr>
              <w:t>828-9300</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spacing w:before="187" w:after="0"/>
        <w:jc w:val="left"/>
        <w:rPr/>
      </w:pPr>
      <w:r>
        <w:rPr/>
        <w:t> </w:t>
      </w:r>
    </w:p>
    <w:p>
      <w:pPr>
        <w:pStyle w:val="TextBody"/>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560" w:type="dxa"/>
        <w:jc w:val="left"/>
        <w:tblInd w:w="0" w:type="dxa"/>
        <w:tblCellMar>
          <w:top w:w="28" w:type="dxa"/>
          <w:left w:w="28" w:type="dxa"/>
          <w:bottom w:w="28" w:type="dxa"/>
          <w:right w:w="28" w:type="dxa"/>
        </w:tblCellMar>
      </w:tblPr>
      <w:tblGrid>
        <w:gridCol w:w="3496"/>
        <w:gridCol w:w="146"/>
        <w:gridCol w:w="946"/>
        <w:gridCol w:w="146"/>
        <w:gridCol w:w="382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34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4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DXLG</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8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360" w:after="120"/>
        <w:jc w:val="left"/>
        <w:rPr>
          <w:rFonts w:ascii="Times New Roman;serif" w:hAnsi="Times New Roman;serif"/>
          <w:b/>
          <w:sz w:val="20"/>
        </w:rPr>
      </w:pPr>
      <w:r>
        <w:rPr>
          <w:rFonts w:ascii="Times New Roman;serif" w:hAnsi="Times New Roman;serif"/>
          <w:b/>
          <w:sz w:val="20"/>
        </w:rPr>
        <w:t>Item 5.02 Departure of Directors or Certain Officers; Election of Directors; Appointment of Certain Officers; Compensatory Arrangements of Certain Officers.</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Compensatory Arrangments of Certain Officers.</w:t>
      </w:r>
    </w:p>
    <w:p>
      <w:pPr>
        <w:pStyle w:val="TextBody"/>
        <w:spacing w:before="240" w:after="0"/>
        <w:jc w:val="left"/>
        <w:rPr>
          <w:rFonts w:ascii="Times New Roman" w:hAnsi="Times New Roman"/>
          <w:sz w:val="20"/>
        </w:rPr>
      </w:pPr>
      <w:r>
        <w:rPr>
          <w:rFonts w:ascii="Times New Roman;serif" w:hAnsi="Times New Roman;serif"/>
          <w:b w:val="false"/>
          <w:sz w:val="20"/>
        </w:rPr>
        <w:t>On April 12, 2023, Destination XL Group, Inc. (the “Company”) named Anthony J. Gaeta its Chief Stores and Real Estate Officer, effective April 16, 2023. Mr. Gaeta is a Named Executive Officer of the Company and since March 2022 has served as the Company's Chief Stores Officer. The Company also entered into the Second Amended and Restated Employment Agreement with Mr. Gaeta on April 12, 2023, pursuant to which Mr. Gaeta's base salary was increased from $325,000 to $400,000. Except for the change in role, title and base salary, there were no other changes to the terms of the employment agreement.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copy of the Second Amended and Restated Employment Agreement is included as Exhibit 10.1 to this filing and is incorporated herein by reference.</w:t>
      </w:r>
    </w:p>
    <w:p>
      <w:pPr>
        <w:pStyle w:val="TextBody"/>
        <w:spacing w:before="120" w:after="0"/>
        <w:jc w:val="left"/>
        <w:rPr/>
      </w:pPr>
      <w:r>
        <w:rPr/>
        <w:t> </w:t>
      </w:r>
    </w:p>
    <w:p>
      <w:pPr>
        <w:pStyle w:val="TextBody"/>
        <w:spacing w:before="360" w:after="120"/>
        <w:jc w:val="left"/>
        <w:rPr>
          <w:rFonts w:ascii="Times New Roman;serif" w:hAnsi="Times New Roman;serif"/>
          <w:b/>
          <w:sz w:val="20"/>
        </w:rPr>
      </w:pPr>
      <w:r>
        <w:rPr>
          <w:rFonts w:ascii="Times New Roman;serif" w:hAnsi="Times New Roman;serif"/>
          <w:b/>
          <w:sz w:val="20"/>
        </w:rPr>
        <w:t>Item 9.01 Financial Statements and Exhibits.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 Exhibits</w:t>
      </w:r>
    </w:p>
    <w:tbl>
      <w:tblPr>
        <w:tblW w:w="10205" w:type="dxa"/>
        <w:jc w:val="left"/>
        <w:tblInd w:w="0" w:type="dxa"/>
        <w:tblCellMar>
          <w:top w:w="28" w:type="dxa"/>
          <w:left w:w="28" w:type="dxa"/>
          <w:bottom w:w="28" w:type="dxa"/>
          <w:right w:w="28" w:type="dxa"/>
        </w:tblCellMar>
      </w:tblPr>
      <w:tblGrid>
        <w:gridCol w:w="936"/>
        <w:gridCol w:w="109"/>
        <w:gridCol w:w="109"/>
        <w:gridCol w:w="9051"/>
      </w:tblGrid>
      <w:tr>
        <w:trPr/>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51" w:type="dxa"/>
            <w:tcBorders/>
            <w:shd w:fill="auto" w:val="clear"/>
            <w:vAlign w:val="center"/>
          </w:tcPr>
          <w:p>
            <w:pPr>
              <w:pStyle w:val="TableContents"/>
              <w:spacing w:before="0" w:after="283"/>
              <w:rPr>
                <w:sz w:val="4"/>
                <w:szCs w:val="4"/>
              </w:rPr>
            </w:pPr>
            <w:r>
              <w:rPr>
                <w:sz w:val="4"/>
                <w:szCs w:val="4"/>
              </w:rPr>
            </w:r>
          </w:p>
        </w:tc>
      </w:tr>
      <w:tr>
        <w:trPr/>
        <w:tc>
          <w:tcPr>
            <w:tcW w:w="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u w:val="single"/>
              </w:rPr>
              <w:t>Exhibit No</w:t>
            </w:r>
            <w:r>
              <w:rPr>
                <w:rFonts w:ascii="Times New Roman;serif" w:hAnsi="Times New Roman;serif"/>
                <w:b/>
                <w:sz w:val="20"/>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Description</w:t>
            </w:r>
          </w:p>
        </w:tc>
      </w:tr>
      <w:tr>
        <w:trPr/>
        <w:tc>
          <w:tcPr>
            <w:tcW w:w="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xlg-ex10_1.htm">
              <w:r>
                <w:rPr>
                  <w:rStyle w:val="InternetLink"/>
                  <w:rFonts w:ascii="Times New Roman;serif" w:hAnsi="Times New Roman;serif"/>
                  <w:b w:val="false"/>
                  <w:sz w:val="20"/>
                  <w:u w:val="single"/>
                </w:rPr>
                <w:t>Second Amended and Restated Employment Agreement between the Company and Anthony J. Gaeta effective April 16, 2023</w:t>
              </w:r>
            </w:hyperlink>
          </w:p>
        </w:tc>
      </w:tr>
      <w:tr>
        <w:trPr/>
        <w:tc>
          <w:tcPr>
            <w:tcW w:w="9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0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Cover Page Interactive Data File – The cover page interactive data file does not appear in the interactive data file because its XBRL tags are embedded within the Inline XBRL document.</w:t>
            </w:r>
          </w:p>
        </w:tc>
      </w:tr>
    </w:tbl>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pPr>
      <w:r>
        <w:rPr/>
        <w:t> </w:t>
      </w:r>
    </w:p>
    <w:p>
      <w:pPr>
        <w:pStyle w:val="TextBody"/>
        <w:spacing w:before="360" w:after="12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187"/>
        <w:jc w:val="center"/>
        <w:rPr>
          <w:rFonts w:ascii="Times New Roman;serif" w:hAnsi="Times New Roman;serif"/>
          <w:b/>
          <w:sz w:val="20"/>
        </w:rPr>
      </w:pPr>
      <w:r>
        <w:rPr>
          <w:rFonts w:ascii="Times New Roman;serif" w:hAnsi="Times New Roman;serif"/>
          <w:b/>
          <w:sz w:val="20"/>
        </w:rPr>
        <w:t>SIGNATURES</w:t>
      </w:r>
    </w:p>
    <w:p>
      <w:pPr>
        <w:pStyle w:val="TextBody"/>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p>
      <w:pPr>
        <w:pStyle w:val="TextBody"/>
        <w:spacing w:before="0" w:after="187"/>
        <w:jc w:val="left"/>
        <w:rPr/>
      </w:pPr>
      <w:r>
        <w:rPr/>
        <w:t> </w:t>
      </w:r>
    </w:p>
    <w:p>
      <w:pPr>
        <w:pStyle w:val="TextBody"/>
        <w:spacing w:before="0" w:after="187"/>
        <w:jc w:val="left"/>
        <w:rPr/>
      </w:pPr>
      <w:r>
        <w:rPr/>
        <w:t> </w:t>
      </w:r>
    </w:p>
    <w:tbl>
      <w:tblPr>
        <w:tblW w:w="4939" w:type="dxa"/>
        <w:jc w:val="left"/>
        <w:tblInd w:w="0" w:type="dxa"/>
        <w:tblCellMar>
          <w:top w:w="28" w:type="dxa"/>
          <w:left w:w="28" w:type="dxa"/>
          <w:bottom w:w="28" w:type="dxa"/>
          <w:right w:w="28" w:type="dxa"/>
        </w:tblCellMar>
      </w:tblPr>
      <w:tblGrid>
        <w:gridCol w:w="556"/>
        <w:gridCol w:w="1291"/>
        <w:gridCol w:w="451"/>
        <w:gridCol w:w="2641"/>
      </w:tblGrid>
      <w:tr>
        <w:trPr/>
        <w:tc>
          <w:tcPr>
            <w:tcW w:w="55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86" w:after="86"/>
              <w:ind w:left="0" w:right="0" w:hanging="0"/>
              <w:jc w:val="left"/>
              <w:rPr>
                <w:rFonts w:ascii="Times New Roman;serif" w:hAnsi="Times New Roman;serif"/>
                <w:b w:val="false"/>
                <w:sz w:val="20"/>
              </w:rPr>
            </w:pPr>
            <w:r>
              <w:rPr>
                <w:rFonts w:ascii="Times New Roman;serif" w:hAnsi="Times New Roman;serif"/>
                <w:b w:val="false"/>
                <w:sz w:val="20"/>
              </w:rPr>
              <w:t>Destination XL Group, Inc.</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9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April 14, 2023</w:t>
            </w:r>
          </w:p>
        </w:tc>
        <w:tc>
          <w:tcPr>
            <w:tcW w:w="451" w:type="dxa"/>
            <w:tcBorders/>
            <w:shd w:fill="auto" w:val="clear"/>
            <w:tcMar>
              <w:top w:w="0" w:type="dxa"/>
              <w:left w:w="0" w:type="dxa"/>
              <w:bottom w:w="0" w:type="dxa"/>
              <w:right w:w="0" w:type="dxa"/>
            </w:tcMar>
            <w:vAlign w:val="center"/>
          </w:tcPr>
          <w:p>
            <w:pPr>
              <w:pStyle w:val="TableContents"/>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641" w:type="dxa"/>
            <w:tcBorders>
              <w:bottom w:val="single" w:sz="2" w:space="0" w:color="000000"/>
            </w:tcBorders>
            <w:shd w:fill="auto" w:val="clear"/>
            <w:tcMar>
              <w:top w:w="0" w:type="dxa"/>
              <w:left w:w="0" w:type="dxa"/>
              <w:right w:w="0" w:type="dxa"/>
            </w:tcMar>
            <w:vAlign w:val="center"/>
          </w:tcPr>
          <w:p>
            <w:pPr>
              <w:pStyle w:val="TableContents"/>
              <w:spacing w:before="86" w:after="0"/>
              <w:ind w:left="0" w:right="0" w:hanging="0"/>
              <w:jc w:val="left"/>
              <w:rPr>
                <w:rFonts w:ascii="Times New Roman;serif" w:hAnsi="Times New Roman;serif"/>
                <w:b w:val="false"/>
                <w:sz w:val="20"/>
              </w:rPr>
            </w:pPr>
            <w:r>
              <w:rPr>
                <w:rFonts w:ascii="Times New Roman;serif" w:hAnsi="Times New Roman;serif"/>
                <w:b w:val="false"/>
                <w:sz w:val="20"/>
              </w:rPr>
              <w:t>/s/ Robert S. Molloy</w:t>
            </w:r>
          </w:p>
        </w:tc>
      </w:tr>
      <w:tr>
        <w:trPr/>
        <w:tc>
          <w:tcPr>
            <w:tcW w:w="5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2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41" w:type="dxa"/>
            <w:tcBorders/>
            <w:shd w:fill="auto" w:val="clear"/>
            <w:tcMar>
              <w:top w:w="0" w:type="dxa"/>
              <w:left w:w="0" w:type="dxa"/>
              <w:bottom w:w="0" w:type="dxa"/>
              <w:right w:w="0" w:type="dxa"/>
            </w:tcMar>
            <w:vAlign w:val="center"/>
          </w:tcPr>
          <w:p>
            <w:pPr>
              <w:pStyle w:val="TableContents"/>
              <w:spacing w:before="14" w:after="187"/>
              <w:ind w:left="0" w:right="0" w:hanging="0"/>
              <w:jc w:val="left"/>
              <w:rPr>
                <w:rFonts w:ascii="Times New Roman;serif" w:hAnsi="Times New Roman;serif"/>
                <w:b w:val="false"/>
                <w:sz w:val="20"/>
              </w:rPr>
            </w:pPr>
            <w:r>
              <w:rPr>
                <w:rFonts w:ascii="Times New Roman;serif" w:hAnsi="Times New Roman;serif"/>
                <w:b w:val="false"/>
                <w:sz w:val="20"/>
              </w:rPr>
              <w:t>General Counsel and Secretary</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18"/>
        </w:rPr>
      </w:pPr>
      <w:bookmarkStart w:id="2" w:name="dxlg-ex10_1.htm"/>
      <w:bookmarkStart w:id="3" w:name="ksdxlgex10_1"/>
      <w:bookmarkEnd w:id="2"/>
      <w:bookmarkEnd w:id="3"/>
      <w:r>
        <w:rPr>
          <w:rFonts w:ascii="Times New Roman;serif" w:hAnsi="Times New Roman;serif"/>
          <w:b/>
          <w:sz w:val="18"/>
        </w:rPr>
        <w:t>Exhibit 10.1</w:t>
      </w:r>
    </w:p>
    <w:p>
      <w:pPr>
        <w:pStyle w:val="TextBody"/>
        <w:spacing w:before="0" w:after="0"/>
        <w:jc w:val="right"/>
        <w:rPr/>
      </w:pPr>
      <w:r>
        <w:rPr/>
        <w:t> </w:t>
      </w:r>
    </w:p>
    <w:p>
      <w:pPr>
        <w:pStyle w:val="TextBody"/>
        <w:spacing w:before="0" w:after="0"/>
        <w:jc w:val="center"/>
        <w:rPr>
          <w:rFonts w:ascii="Times New Roman;serif" w:hAnsi="Times New Roman;serif"/>
          <w:b/>
          <w:sz w:val="24"/>
          <w:u w:val="single"/>
        </w:rPr>
      </w:pPr>
      <w:r>
        <w:rPr>
          <w:rFonts w:ascii="Times New Roman;serif" w:hAnsi="Times New Roman;serif"/>
          <w:b/>
          <w:sz w:val="24"/>
          <w:u w:val="single"/>
        </w:rPr>
        <w:t>SECOND AMENDED AND RESTATED EMPLOYMENT AGREEMENT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This Second Amended and Restated Employment Agreement ("Agreement") is made effective as of April 16, 2023 (the “Effective Date”) between DESTINATION XL GROUP, INC. (the “Company”), a Delaware corporation with an office at 555 Turnpike Street, Canton, Massachusetts 02021 (“DXLG” which term includes any affiliates and subsidiaries), and ANTHONY J. GAETA (the “Executive”) having an address at 14 Quail Run Road, Bridgewater, MA 02324.</w:t>
      </w:r>
    </w:p>
    <w:p>
      <w:pPr>
        <w:pStyle w:val="TextBody"/>
        <w:spacing w:before="0" w:after="0"/>
        <w:jc w:val="left"/>
        <w:rPr/>
      </w:pPr>
      <w:r>
        <w:rPr/>
        <w:t> </w:t>
      </w:r>
    </w:p>
    <w:p>
      <w:pPr>
        <w:pStyle w:val="TextBody"/>
        <w:spacing w:before="0" w:after="0"/>
        <w:jc w:val="center"/>
        <w:rPr>
          <w:rFonts w:ascii="Times New Roman;serif" w:hAnsi="Times New Roman;serif"/>
          <w:b w:val="false"/>
          <w:sz w:val="24"/>
          <w:u w:val="single"/>
        </w:rPr>
      </w:pPr>
      <w:r>
        <w:rPr>
          <w:rFonts w:ascii="Times New Roman;serif" w:hAnsi="Times New Roman;serif"/>
          <w:b w:val="false"/>
          <w:sz w:val="24"/>
          <w:u w:val="single"/>
        </w:rPr>
        <w:t>WITNESSETH:</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WHEREAS, the Company desires that Executive work for the Company and Executive desires to be so employed by</w:t>
      </w:r>
      <w:r>
        <w:rPr>
          <w:rFonts w:ascii="Times New Roman" w:hAnsi="Times New Roman"/>
          <w:sz w:val="20"/>
        </w:rPr>
        <w:t xml:space="preserve"> </w:t>
      </w:r>
      <w:r>
        <w:rPr>
          <w:rFonts w:ascii="Times New Roman;serif" w:hAnsi="Times New Roman;serif"/>
          <w:b w:val="false"/>
          <w:sz w:val="24"/>
        </w:rPr>
        <w:t>the Company as its Chief Stores and Real Estate Officer.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WHEREAS, Executive and the Company desire to set forth in writing the terms and conditions of the Executive's employment with the Company from the date hereof.</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NOW, THEREFORE, in consideration of the promises and the mutual promises, representations and covenants herein contained, the parties hereto agree as follows: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 </w:t>
      </w:r>
      <w:r>
        <w:rPr>
          <w:rFonts w:ascii="Times New Roman;serif" w:hAnsi="Times New Roman;serif"/>
          <w:b w:val="false"/>
          <w:sz w:val="24"/>
          <w:u w:val="single"/>
        </w:rPr>
        <w:t>EMPLOYMENT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The Company hereby employs Executive and Executive hereby accepts such employment, subject to the terms and conditions herein set forth.</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 </w:t>
      </w:r>
      <w:r>
        <w:rPr>
          <w:rFonts w:ascii="Times New Roman;serif" w:hAnsi="Times New Roman;serif"/>
          <w:b w:val="false"/>
          <w:sz w:val="24"/>
          <w:u w:val="single"/>
        </w:rPr>
        <w:t>TERM</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term of employment under this Agreement (the “Term of Employment”) shall begin on the Effective Date and shall continue until terminated by either party as hereinafter set forth.</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3. </w:t>
      </w:r>
      <w:r>
        <w:rPr>
          <w:rFonts w:ascii="Times New Roman;serif" w:hAnsi="Times New Roman;serif"/>
          <w:b w:val="false"/>
          <w:sz w:val="24"/>
          <w:u w:val="single"/>
        </w:rPr>
        <w:t>COMPENSATION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 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Four Hundred Thousand Dollars and 00/100 Cents ($400,000.00)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(b) 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50% of Executive’s actual annual base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4"/>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 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4. </w:t>
      </w:r>
      <w:r>
        <w:rPr>
          <w:rFonts w:ascii="Times New Roman;serif" w:hAnsi="Times New Roman;serif"/>
          <w:b w:val="false"/>
          <w:sz w:val="24"/>
          <w:u w:val="single"/>
        </w:rPr>
        <w:t>EXPENSES</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5. </w:t>
      </w:r>
      <w:r>
        <w:rPr>
          <w:rFonts w:ascii="Times New Roman;serif" w:hAnsi="Times New Roman;serif"/>
          <w:b w:val="false"/>
          <w:sz w:val="24"/>
          <w:u w:val="single"/>
        </w:rPr>
        <w:t>OTHER BENEFITS</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pStyle w:val="TextBody"/>
        <w:spacing w:before="0" w:after="0"/>
        <w:jc w:val="both"/>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pPr>
      <w:r>
        <w:rPr>
          <w:rFonts w:ascii="Times New Roman;serif" w:hAnsi="Times New Roman;serif"/>
          <w:b w:val="false"/>
          <w:sz w:val="24"/>
        </w:rPr>
        <w:t>The Company will, during the Term of Employment, provide Executive with an automobile allowance in the total amount of Eight Thousand Four Hundred Dollars</w:t>
      </w:r>
      <w:r>
        <w:rPr/>
        <w:t xml:space="preserve"> </w:t>
      </w:r>
      <w:r>
        <w:rPr>
          <w:rFonts w:ascii="Times New Roman;serif" w:hAnsi="Times New Roman;serif"/>
          <w:b w:val="false"/>
          <w:sz w:val="24"/>
        </w:rPr>
        <w:t>and 00/100 ($8,400.00) annually, in equal bi-weekly payments in accordance with the Company’s normal payroll practices. Executive shall pay and be responsible for all insurance, repairs and maintenance costs</w:t>
      </w:r>
      <w:r>
        <w:rPr/>
        <w:t xml:space="preserve"> </w:t>
      </w:r>
      <w:r>
        <w:rPr>
          <w:rFonts w:ascii="Times New Roman;serif" w:hAnsi="Times New Roman;serif"/>
          <w:b w:val="false"/>
          <w:sz w:val="24"/>
        </w:rPr>
        <w:t>associated with operating the automobile. Executive is responsible for his gasoline, unless the gasoline expense is reimbursable under the Company's policies and procedures.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(b) Executive will be eligible to participate in the Company’s annual performance appraisal process.</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6. </w:t>
      </w:r>
      <w:r>
        <w:rPr>
          <w:rFonts w:ascii="Times New Roman;serif" w:hAnsi="Times New Roman;serif"/>
          <w:b w:val="false"/>
          <w:sz w:val="24"/>
          <w:u w:val="single"/>
        </w:rPr>
        <w:t>DUTIES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Executive shall perform such duties and functions consistent with the position of Chief Stores and Real Estate Officer and/or as the Company shall from time to time determine and Executive shall comply in the performance of his duties with the policies of, and be subject to the direction of the Company.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4"/>
        </w:rPr>
        <w:t>(b) During the Term of Employment, Executive shall devote substantially all of his time and attention, vacation time and absences for sickness excepted, to the business of the Company, as necessary to fulfill</w:t>
      </w:r>
      <w:r>
        <w:rPr>
          <w:rFonts w:ascii="Times New Roman" w:hAnsi="Times New Roman"/>
          <w:sz w:val="20"/>
        </w:rPr>
        <w:t xml:space="preserve"> </w:t>
      </w:r>
      <w:r>
        <w:rPr>
          <w:rFonts w:ascii="Times New Roman;serif" w:hAnsi="Times New Roman;serif"/>
          <w:b w:val="false"/>
          <w:sz w:val="24"/>
        </w:rPr>
        <w:t>his duties. Executive shall perform the duties assigned to his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val="false"/>
          <w:sz w:val="24"/>
        </w:rPr>
        <w:t>(c) 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w:t>
      </w:r>
      <w:r>
        <w:rPr>
          <w:rFonts w:ascii="Times New Roman" w:hAnsi="Times New Roman"/>
          <w:sz w:val="20"/>
        </w:rPr>
        <w:t xml:space="preserve"> </w:t>
      </w:r>
      <w:r>
        <w:rPr>
          <w:rFonts w:ascii="Times New Roman;serif" w:hAnsi="Times New Roman;serif"/>
          <w:b w:val="false"/>
          <w:sz w:val="24"/>
        </w:rPr>
        <w:t>services at such other locations as may be required for the proper performance of his duties hereunder, and Executive recognizes that such duties may involve travel.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7. </w:t>
      </w:r>
      <w:r>
        <w:rPr>
          <w:rFonts w:ascii="Times New Roman;serif" w:hAnsi="Times New Roman;serif"/>
          <w:b w:val="false"/>
          <w:sz w:val="24"/>
          <w:u w:val="single"/>
        </w:rPr>
        <w:t>TERMINATION OF EMPLOYMENT; EFFECT OF TERMINATION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 The Term of Employment may be terminated by the Company at any time: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(i) 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(ii) upon the determination of the Company that there is justifiable cause (as hereinafter defined) for such termination.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The Term of Employment shall terminate upon: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(i) the death of Executive;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(ii) the date on which the Company elects to terminate the Term of Employment by reason of the "disability" of Executive (as hereinafter defined in subsection (c) herein) pursuant to subsection (g) hereof; or</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(iii) Executive’s resignation of employment.</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(c) 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w:t>
      </w:r>
    </w:p>
    <w:p>
      <w:pPr>
        <w:pStyle w:val="TextBody"/>
        <w:spacing w:before="0" w:after="0"/>
        <w:jc w:val="left"/>
        <w:rPr/>
      </w:pPr>
      <w:r>
        <w:rPr/>
        <w:t> </w:t>
      </w:r>
    </w:p>
    <w:p>
      <w:pPr>
        <w:pStyle w:val="HorizontalLine"/>
        <w:rPr/>
      </w:pPr>
      <w:r>
        <w:rPr/>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(d) 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4 hereof as have been accrued through the date of his termination of employment.</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 If the Company terminates this Agreement without "justifiable cause" as provided in subsection 7(a)(i), the Company shall pay Executive his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(f) 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(g) 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(h) Upon the resignation of Executive in any capacity, that resignation will be deemed to be a resignation from all offices and positions that Executive holds with respect to the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4"/>
        </w:rPr>
        <w:t>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(i) 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Times New Roman" w:hAnsi="Times New Roman"/>
          <w:sz w:val="20"/>
        </w:rPr>
        <w:t>“</w:t>
      </w:r>
      <w:r>
        <w:rPr>
          <w:rFonts w:ascii="Times New Roman;serif" w:hAnsi="Times New Roman;serif"/>
          <w:b w:val="false"/>
          <w:i/>
          <w:sz w:val="24"/>
        </w:rPr>
        <w:t>Good Reason”</w:t>
      </w:r>
      <w:r>
        <w:rPr>
          <w:rFonts w:ascii="Times New Roman" w:hAnsi="Times New Roman"/>
          <w:sz w:val="20"/>
        </w:rPr>
        <w:t xml:space="preserve"> </w:t>
      </w:r>
      <w:r>
        <w:rPr>
          <w:rFonts w:ascii="Times New Roman;serif" w:hAnsi="Times New Roman;serif"/>
          <w:b w:val="false"/>
          <w:sz w:val="24"/>
        </w:rPr>
        <w:t>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(j) Clawback of Certain Compensation and Benefits. If, after the termination of the Term of Employment for any reason other than by the Company for “justifiable cause”:</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pStyle w:val="TextBody"/>
        <w:spacing w:before="0" w:after="240"/>
        <w:jc w:val="both"/>
        <w:rPr>
          <w:rFonts w:ascii="Times New Roman" w:hAnsi="Times New Roman"/>
          <w:b w:val="false"/>
          <w:sz w:val="24"/>
        </w:rPr>
      </w:pPr>
      <w:r>
        <w:rPr>
          <w:rFonts w:ascii="Times New Roman" w:hAnsi="Times New Roman"/>
          <w:b w:val="false"/>
          <w:sz w:val="24"/>
        </w:rPr>
        <w:t>1)</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Executive shall be required to pay to the Company, immediately upon written demand by the Company, all amounts paid to Executive by the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w:t>
      </w:r>
    </w:p>
    <w:p>
      <w:pPr>
        <w:pStyle w:val="TextBody"/>
        <w:spacing w:before="0" w:after="0"/>
        <w:jc w:val="left"/>
        <w:rPr/>
      </w:pPr>
      <w:r>
        <w:rPr/>
        <w:t> </w:t>
      </w:r>
    </w:p>
    <w:p>
      <w:pPr>
        <w:pStyle w:val="HorizontalLine"/>
        <w:rPr/>
      </w:pPr>
      <w:r>
        <w:rPr/>
      </w:r>
    </w:p>
    <w:p>
      <w:pPr>
        <w:pStyle w:val="TextBody"/>
        <w:spacing w:before="0" w:after="240"/>
        <w:jc w:val="both"/>
        <w:rPr/>
      </w:pPr>
      <w:r>
        <w:rPr>
          <w:rFonts w:ascii="Times New Roman;serif" w:hAnsi="Times New Roman;serif"/>
          <w:b w:val="false"/>
          <w:sz w:val="24"/>
        </w:rPr>
        <w:t>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2)</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all vested and unvested Awards (as that term is defined in the 2016 Incentive Compensation Plan) then held by the Executive shall immediately expire; and</w:t>
      </w:r>
    </w:p>
    <w:p>
      <w:pPr>
        <w:pStyle w:val="TextBody"/>
        <w:spacing w:before="0" w:after="240"/>
        <w:jc w:val="both"/>
        <w:rPr>
          <w:rFonts w:ascii="Times New Roman" w:hAnsi="Times New Roman"/>
          <w:b w:val="false"/>
          <w:sz w:val="24"/>
        </w:rPr>
      </w:pPr>
      <w:r>
        <w:rPr>
          <w:rFonts w:ascii="Times New Roman" w:hAnsi="Times New Roman"/>
          <w:b w:val="false"/>
          <w:sz w:val="24"/>
        </w:rPr>
        <w:t>3)</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Executive shall be required to pay to the Company, immediately upon written demand by 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pStyle w:val="TextBody"/>
        <w:spacing w:before="0" w:after="0"/>
        <w:jc w:val="left"/>
        <w:rPr>
          <w:rFonts w:ascii="Times New Roman;serif" w:hAnsi="Times New Roman;serif"/>
          <w:b w:val="false"/>
          <w:sz w:val="24"/>
        </w:rPr>
      </w:pPr>
      <w:r>
        <w:rPr>
          <w:rFonts w:ascii="Times New Roman;serif" w:hAnsi="Times New Roman;serif"/>
          <w:b w:val="false"/>
          <w:sz w:val="24"/>
        </w:rPr>
        <w:t>(k) Any payment pursuant to paragraph 7(e) or 7(i) shall be contingent upon Executive’s execution of the General Release within 21 days after termination of the Term of Employment (or such longer time as may be authorized by the Company or otherwise required by applicable law), and the Executive’s not revoking that release.</w:t>
      </w:r>
    </w:p>
    <w:p>
      <w:pPr>
        <w:pStyle w:val="TextBody"/>
        <w:spacing w:before="0" w:after="0"/>
        <w:jc w:val="left"/>
        <w:rPr/>
      </w:pPr>
      <w:bookmarkStart w:id="4" w:name="wherewasi"/>
      <w:bookmarkEnd w:id="4"/>
      <w:r>
        <w:rPr/>
        <w:t> </w:t>
      </w:r>
    </w:p>
    <w:p>
      <w:pPr>
        <w:pStyle w:val="TextBody"/>
        <w:spacing w:before="0" w:after="240"/>
        <w:jc w:val="both"/>
        <w:rPr>
          <w:rFonts w:ascii="Times New Roman" w:hAnsi="Times New Roman"/>
          <w:sz w:val="20"/>
        </w:rPr>
      </w:pPr>
      <w:r>
        <w:rPr>
          <w:rFonts w:ascii="Times New Roman;serif" w:hAnsi="Times New Roman;serif"/>
          <w:b w:val="false"/>
          <w:sz w:val="24"/>
        </w:rPr>
        <w:t xml:space="preserve">8. </w:t>
      </w:r>
      <w:r>
        <w:rPr>
          <w:rFonts w:ascii="Times New Roman;serif" w:hAnsi="Times New Roman;serif"/>
          <w:b w:val="false"/>
          <w:sz w:val="24"/>
          <w:u w:val="single"/>
        </w:rPr>
        <w:t>COMPLIANCE WITH SECTION 409A</w:t>
      </w:r>
    </w:p>
    <w:p>
      <w:pPr>
        <w:pStyle w:val="TextBody"/>
        <w:spacing w:before="0" w:after="240"/>
        <w:jc w:val="both"/>
        <w:rPr>
          <w:rFonts w:ascii="Times New Roman" w:hAnsi="Times New Roman"/>
          <w:sz w:val="20"/>
        </w:rPr>
      </w:pPr>
      <w:r>
        <w:rPr>
          <w:rFonts w:ascii="Times New Roman;serif" w:hAnsi="Times New Roman;serif"/>
          <w:b w:val="false"/>
          <w:sz w:val="24"/>
        </w:rPr>
        <w:t>(a)</w:t>
      </w:r>
      <w:r>
        <w:rPr>
          <w:rFonts w:ascii="Times New Roman" w:hAnsi="Times New Roman"/>
          <w:sz w:val="20"/>
        </w:rPr>
        <w:t xml:space="preserve"> </w:t>
      </w:r>
      <w:r>
        <w:rPr>
          <w:rFonts w:ascii="Times New Roman;serif" w:hAnsi="Times New Roman;serif"/>
          <w:b w:val="false"/>
          <w:sz w:val="24"/>
        </w:rPr>
        <w:t>General.</w:t>
      </w:r>
      <w:r>
        <w:rPr>
          <w:rFonts w:ascii="Times New Roman" w:hAnsi="Times New Roman"/>
          <w:sz w:val="20"/>
        </w:rPr>
        <w:t xml:space="preserve"> </w:t>
      </w:r>
      <w:r>
        <w:rPr>
          <w:rFonts w:ascii="Times New Roman;serif" w:hAnsi="Times New Roman;serif"/>
          <w:b w:val="false"/>
          <w:sz w:val="24"/>
        </w:rPr>
        <w:t>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(b) 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6</w:t>
      </w:r>
    </w:p>
    <w:p>
      <w:pPr>
        <w:pStyle w:val="TextBody"/>
        <w:spacing w:before="0" w:after="0"/>
        <w:jc w:val="left"/>
        <w:rPr/>
      </w:pPr>
      <w:r>
        <w:rPr/>
        <w:t> </w:t>
      </w:r>
    </w:p>
    <w:p>
      <w:pPr>
        <w:pStyle w:val="HorizontalLine"/>
        <w:rPr/>
      </w:pPr>
      <w:r>
        <w:rPr/>
      </w:r>
    </w:p>
    <w:p>
      <w:pPr>
        <w:pStyle w:val="TextBody"/>
        <w:spacing w:before="0" w:after="240"/>
        <w:jc w:val="both"/>
        <w:rPr>
          <w:rFonts w:ascii="Times New Roman" w:hAnsi="Times New Roman"/>
          <w:sz w:val="20"/>
        </w:rPr>
      </w:pPr>
      <w:r>
        <w:rPr>
          <w:rFonts w:ascii="Times New Roman;serif" w:hAnsi="Times New Roman;serif"/>
          <w:b w:val="false"/>
          <w:sz w:val="24"/>
        </w:rPr>
        <w:t>(c) 6 Month Delay for “Specified Employees”.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4"/>
        </w:rPr>
        <w:t>(i)</w:t>
      </w:r>
      <w:r>
        <w:rPr>
          <w:rFonts w:ascii="Times New Roman" w:hAnsi="Times New Roman"/>
          <w:sz w:val="20"/>
        </w:rPr>
        <w:t xml:space="preserve"> </w:t>
      </w:r>
      <w:r>
        <w:rPr>
          <w:rFonts w:ascii="Times New Roman;serif" w:hAnsi="Times New Roman;serif"/>
          <w:b w:val="false"/>
          <w:sz w:val="24"/>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(ii) For purposes of this provision, the Executive shall be considered to be a “specified employee” if, at the time of his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 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 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pStyle w:val="TextBody"/>
        <w:spacing w:before="0" w:after="240"/>
        <w:jc w:val="both"/>
        <w:rPr>
          <w:rFonts w:ascii="Times New Roman" w:hAnsi="Times New Roman"/>
          <w:sz w:val="20"/>
        </w:rPr>
      </w:pPr>
      <w:r>
        <w:rPr>
          <w:rFonts w:ascii="Times New Roman;serif" w:hAnsi="Times New Roman;serif"/>
          <w:b w:val="false"/>
          <w:sz w:val="24"/>
        </w:rPr>
        <w:t>(f) Taxable Reimbursements.</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(i)</w:t>
      </w:r>
      <w:r>
        <w:rPr>
          <w:rFonts w:ascii="Times New Roman" w:hAnsi="Times New Roman"/>
          <w:sz w:val="20"/>
        </w:rPr>
        <w:t xml:space="preserve"> </w:t>
      </w:r>
      <w:r>
        <w:rPr>
          <w:rFonts w:ascii="Times New Roman;serif" w:hAnsi="Times New Roman;serif"/>
          <w:b w:val="false"/>
          <w:sz w:val="24"/>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(ii) The amount of any Taxable Reimbursements to be provided to the Executive during any taxable year of the Executive shall not affect the expenses eligible for reimbursement to be provided in any other taxable year of the Executive.</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(iii) The right to Taxable Reimbursements shall not be subject to liquidation or exchange for another benefit.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7</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4"/>
        </w:rPr>
        <w:t xml:space="preserve">9. </w:t>
      </w:r>
      <w:r>
        <w:rPr>
          <w:rFonts w:ascii="Times New Roman;serif" w:hAnsi="Times New Roman;serif"/>
          <w:b w:val="false"/>
          <w:sz w:val="24"/>
          <w:u w:val="single"/>
        </w:rPr>
        <w:t>REPRESENTATION AND AGREEMENTS OF EXECUTIVE</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(c) Executive represents and warrants that he has never been convicted of a felony and he has not been convicted or incarcerated for a misdemeanor within the past five years, other than a first</w:t>
      </w:r>
      <w:r>
        <w:rPr>
          <w:rFonts w:ascii="Times New Roman" w:hAnsi="Times New Roman"/>
          <w:sz w:val="20"/>
        </w:rPr>
        <w:t xml:space="preserve"> </w:t>
      </w:r>
      <w:r>
        <w:rPr>
          <w:rFonts w:ascii="Times New Roman;serif" w:hAnsi="Times New Roman;serif"/>
          <w:b w:val="false"/>
          <w:sz w:val="24"/>
        </w:rPr>
        <w:t>conviction for drunkenness, simple assault, speeding, minor traffic violations, affray, or disturbance of the peace.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(d) Executive represents and warrants that he has never been a party to any judicial or administrative proceeding that resulted in a judgment, decree, or final order (i) enjoining his from future violations of, or prohibiting any violations of any federal or state securities law, or (ii) finding any violations of any federal or state securities law.</w:t>
      </w:r>
    </w:p>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 Executive represents and warrants that he has never been accused of any impropriety in connection with any employment;</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Any breach of any of the above representations and warranties is "justifiable cause" for termination under paragraph 7(d) of this Agreement.</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10. NON-COMPETITION</w:t>
      </w:r>
    </w:p>
    <w:p>
      <w:pPr>
        <w:pStyle w:val="TextBody"/>
        <w:spacing w:before="0" w:after="0"/>
        <w:jc w:val="left"/>
        <w:rPr>
          <w:rFonts w:ascii="Times New Roman" w:hAnsi="Times New Roman"/>
          <w:sz w:val="20"/>
        </w:rPr>
      </w:pPr>
      <w:r>
        <w:rPr>
          <w:rFonts w:ascii="Times New Roman;serif" w:hAnsi="Times New Roman;serif"/>
          <w:b w:val="false"/>
          <w:sz w:val="24"/>
        </w:rPr>
        <w:t>(a) In consideration for: the promotion to Chief Stores and Real Estate Officer and the corresponding $75,000.00 gross salary increase,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Executive provided services or had a material presence or influence on behalf of the Company, whether in the United States, Canada, Europe or elsewhere during the two years prior to Executive’s separation from the Company;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8</w:t>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val="false"/>
          <w:sz w:val="24"/>
        </w:rPr>
      </w:pPr>
      <w:r>
        <w:rPr>
          <w:rFonts w:ascii="Times New Roman;serif" w:hAnsi="Times New Roman;serif"/>
          <w:b w:val="false"/>
          <w:sz w:val="24"/>
        </w:rPr>
        <w:t>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(c) 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 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11. </w:t>
      </w:r>
      <w:r>
        <w:rPr>
          <w:rFonts w:ascii="Times New Roman;serif" w:hAnsi="Times New Roman;serif"/>
          <w:b w:val="false"/>
          <w:sz w:val="24"/>
          <w:u w:val="single"/>
        </w:rPr>
        <w:t>INVENTIONS AND DISCOVERIES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 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his as a consequence of his employment or the rendering of advisory and consulting services hereunder (collectively the "Subject Matter").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(b)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9</w:t>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val="false"/>
          <w:sz w:val="24"/>
        </w:rPr>
      </w:pPr>
      <w:r>
        <w:rPr>
          <w:rFonts w:ascii="Times New Roman;serif" w:hAnsi="Times New Roman;serif"/>
          <w:b w:val="false"/>
          <w:sz w:val="24"/>
        </w:rPr>
        <w:t>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12. </w:t>
      </w:r>
      <w:r>
        <w:rPr>
          <w:rFonts w:ascii="Times New Roman;serif" w:hAnsi="Times New Roman;serif"/>
          <w:b w:val="false"/>
          <w:sz w:val="24"/>
          <w:u w:val="single"/>
        </w:rPr>
        <w:t>NON-DISCLOSURE OF CONFIDENTIAL INFORMATION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 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employee compensation and benefits information,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(c) 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10</w:t>
      </w:r>
    </w:p>
    <w:p>
      <w:pPr>
        <w:pStyle w:val="TextBody"/>
        <w:spacing w:before="0" w:after="0"/>
        <w:jc w:val="left"/>
        <w:rPr/>
      </w:pPr>
      <w:r>
        <w:rPr/>
        <w:t> </w:t>
      </w:r>
    </w:p>
    <w:p>
      <w:pPr>
        <w:pStyle w:val="HorizontalLine"/>
        <w:rPr/>
      </w:pPr>
      <w:r>
        <w:rPr/>
      </w:r>
    </w:p>
    <w:p>
      <w:pPr>
        <w:pStyle w:val="TextBody"/>
        <w:spacing w:before="0" w:after="0"/>
        <w:jc w:val="left"/>
        <w:rPr>
          <w:rFonts w:ascii="Times New Roman;serif" w:hAnsi="Times New Roman;serif"/>
          <w:b w:val="false"/>
          <w:sz w:val="24"/>
        </w:rPr>
      </w:pPr>
      <w:r>
        <w:rPr>
          <w:rFonts w:ascii="Times New Roman;serif" w:hAnsi="Times New Roman;serif"/>
          <w:b w:val="false"/>
          <w:sz w:val="24"/>
        </w:rPr>
        <w:t>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pStyle w:val="TextBody"/>
        <w:spacing w:before="0" w:after="0"/>
        <w:jc w:val="left"/>
        <w:rPr>
          <w:rFonts w:ascii="Times New Roman" w:hAnsi="Times New Roman"/>
          <w:sz w:val="20"/>
        </w:rPr>
      </w:pPr>
      <w:r>
        <w:rPr>
          <w:rFonts w:ascii="Times New Roman;serif" w:hAnsi="Times New Roman;serif"/>
          <w:b w:val="false"/>
          <w:sz w:val="24"/>
        </w:rPr>
        <w:t xml:space="preserve">13. </w:t>
      </w:r>
      <w:r>
        <w:rPr>
          <w:rFonts w:ascii="Times New Roman;serif" w:hAnsi="Times New Roman;serif"/>
          <w:b w:val="false"/>
          <w:sz w:val="24"/>
          <w:u w:val="single"/>
        </w:rPr>
        <w:t>SPECIFIC PERFORMANCE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Executive agrees that if he breaches, or threatens to commit a breach of, any enforceable provision of paragraphs 10, 11 or 12 (the "Restrictive Covenants"), the Company shall have, in</w:t>
      </w:r>
      <w:r>
        <w:rPr>
          <w:rFonts w:ascii="Times New Roman" w:hAnsi="Times New Roman"/>
          <w:sz w:val="20"/>
        </w:rPr>
        <w:t xml:space="preserve"> </w:t>
      </w:r>
      <w:r>
        <w:rPr>
          <w:rFonts w:ascii="Times New Roman;serif" w:hAnsi="Times New Roman;serif"/>
          <w:b w:val="false"/>
          <w:sz w:val="24"/>
        </w:rPr>
        <w:t>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14. </w:t>
      </w:r>
      <w:r>
        <w:rPr>
          <w:rFonts w:ascii="Times New Roman;serif" w:hAnsi="Times New Roman;serif"/>
          <w:b w:val="false"/>
          <w:sz w:val="24"/>
          <w:u w:val="single"/>
        </w:rPr>
        <w:t>AMENDMENT OR ALTERATION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 amendment or alteration of the terms of this Agreement shall be valid unless made in writing and signed by both of the parties hereto.</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15. </w:t>
      </w:r>
      <w:r>
        <w:rPr>
          <w:rFonts w:ascii="Times New Roman;serif" w:hAnsi="Times New Roman;serif"/>
          <w:b w:val="false"/>
          <w:sz w:val="24"/>
          <w:u w:val="single"/>
        </w:rPr>
        <w:t>GOVERNING LAW</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This Agreement shall be governed by, and construed and enforced in accordance with the substantive laws of the Commonwealth of Massachusetts, without regard to its principles of conflicts of laws.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16. </w:t>
      </w:r>
      <w:r>
        <w:rPr>
          <w:rFonts w:ascii="Times New Roman;serif" w:hAnsi="Times New Roman;serif"/>
          <w:b w:val="false"/>
          <w:sz w:val="24"/>
          <w:u w:val="single"/>
        </w:rPr>
        <w:t>SEVERABILITY</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holding of any provision of this Agreement to be invalid or unenforceable by a court of competent jurisdiction shall not affect any other provision of this Agreement, which shall remain in full force and effect.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17. </w:t>
      </w:r>
      <w:r>
        <w:rPr>
          <w:rFonts w:ascii="Times New Roman;serif" w:hAnsi="Times New Roman;serif"/>
          <w:b w:val="false"/>
          <w:sz w:val="24"/>
          <w:u w:val="single"/>
        </w:rPr>
        <w:t>NOTICES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Any notices required or permitted to be given hereunder shall be sufficient if in</w:t>
      </w:r>
    </w:p>
    <w:p>
      <w:pPr>
        <w:pStyle w:val="TextBody"/>
        <w:spacing w:before="0" w:after="0"/>
        <w:jc w:val="left"/>
        <w:rPr>
          <w:rFonts w:ascii="Times New Roman;serif" w:hAnsi="Times New Roman;serif"/>
          <w:b w:val="false"/>
          <w:sz w:val="24"/>
        </w:rPr>
      </w:pPr>
      <w:r>
        <w:rPr>
          <w:rFonts w:ascii="Times New Roman;serif" w:hAnsi="Times New Roman;serif"/>
          <w:b w:val="false"/>
          <w:sz w:val="24"/>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18. </w:t>
      </w:r>
      <w:r>
        <w:rPr>
          <w:rFonts w:ascii="Times New Roman;serif" w:hAnsi="Times New Roman;serif"/>
          <w:b w:val="false"/>
          <w:sz w:val="24"/>
          <w:u w:val="single"/>
        </w:rPr>
        <w:t>WAIVER OF BREACH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11</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It is agreed that a waiver by either party of a breach of any provision of this Agreement shall not operate, or be construed as a waiver of any subsequent breach by that same party.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19. </w:t>
      </w:r>
      <w:r>
        <w:rPr>
          <w:rFonts w:ascii="Times New Roman;serif" w:hAnsi="Times New Roman;serif"/>
          <w:b w:val="false"/>
          <w:sz w:val="24"/>
          <w:u w:val="single"/>
        </w:rPr>
        <w:t>ENTIRE AGREEMENT AND BINDING EFFECT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20. </w:t>
      </w:r>
      <w:r>
        <w:rPr>
          <w:rFonts w:ascii="Times New Roman;serif" w:hAnsi="Times New Roman;serif"/>
          <w:b w:val="false"/>
          <w:sz w:val="24"/>
          <w:u w:val="single"/>
        </w:rPr>
        <w:t>SURVIVAL</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Except as otherwise expressly provided herein, the termination of Executive's employment hereunder or the expiration of this Agreement shall not affect the enforceability of paragraphs 7 through 26 hereof, which shall survive the termination or expiration.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21. </w:t>
      </w:r>
      <w:r>
        <w:rPr>
          <w:rFonts w:ascii="Times New Roman;serif" w:hAnsi="Times New Roman;serif"/>
          <w:b w:val="false"/>
          <w:sz w:val="24"/>
          <w:u w:val="single"/>
        </w:rPr>
        <w:t>RESOLUTION OF DISPUTES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Any and all disputes arising under or in connection with this Agreement shall be resolved in accordance with this paragraph 21 and paragraph 15.</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22. </w:t>
      </w:r>
      <w:r>
        <w:rPr>
          <w:rFonts w:ascii="Times New Roman;serif" w:hAnsi="Times New Roman;serif"/>
          <w:b w:val="false"/>
          <w:sz w:val="24"/>
          <w:u w:val="single"/>
        </w:rPr>
        <w:t>NON-DISPARAGEMENT</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pStyle w:val="TextBody"/>
        <w:spacing w:before="0" w:after="0"/>
        <w:jc w:val="left"/>
        <w:rPr>
          <w:rFonts w:ascii="Times New Roman" w:hAnsi="Times New Roman"/>
          <w:sz w:val="20"/>
        </w:rPr>
      </w:pPr>
      <w:r>
        <w:rPr>
          <w:rFonts w:ascii="Times New Roman;serif" w:hAnsi="Times New Roman;serif"/>
          <w:b w:val="false"/>
          <w:sz w:val="24"/>
        </w:rPr>
        <w:t xml:space="preserve">23. </w:t>
      </w:r>
      <w:r>
        <w:rPr>
          <w:rFonts w:ascii="Times New Roman;serif" w:hAnsi="Times New Roman;serif"/>
          <w:b w:val="false"/>
          <w:sz w:val="24"/>
          <w:u w:val="single"/>
        </w:rPr>
        <w:t>FURTHER ASSURANCES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12</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parties agree to execute and deliver all such further documents, agreements and instruments and take such other and further action as may be necessary or appropriate to carry out the purposes and intent of this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24. </w:t>
      </w:r>
      <w:r>
        <w:rPr>
          <w:rFonts w:ascii="Times New Roman;serif" w:hAnsi="Times New Roman;serif"/>
          <w:b w:val="false"/>
          <w:sz w:val="24"/>
          <w:u w:val="single"/>
        </w:rPr>
        <w:t>SUBSIDIARIES AND AFFILIATES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For purposes of this Agreement: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(a) “affiliate”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(b) “subsidiary”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25. </w:t>
      </w:r>
      <w:r>
        <w:rPr>
          <w:rFonts w:ascii="Times New Roman;serif" w:hAnsi="Times New Roman;serif"/>
          <w:b w:val="false"/>
          <w:sz w:val="24"/>
          <w:u w:val="single"/>
        </w:rPr>
        <w:t>HEADINGS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The paragraph headings appearing in this Agreement are for the purposes of easy reference and shall not be considered a part of this Agreement or in any way modify, amend or affect its provisions.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13</w:t>
      </w:r>
    </w:p>
    <w:p>
      <w:pPr>
        <w:pStyle w:val="TextBody"/>
        <w:spacing w:before="0" w:after="0"/>
        <w:jc w:val="left"/>
        <w:rPr/>
      </w:pPr>
      <w:r>
        <w:rPr/>
        <w:t> </w:t>
      </w:r>
    </w:p>
    <w:p>
      <w:pPr>
        <w:pStyle w:val="HorizontalLine"/>
        <w:rPr/>
      </w:pPr>
      <w:r>
        <w:rPr/>
      </w:r>
    </w:p>
    <w:p>
      <w:pPr>
        <w:pStyle w:val="TextBody"/>
        <w:spacing w:before="0" w:after="0"/>
        <w:jc w:val="left"/>
        <w:rPr>
          <w:rFonts w:ascii="Times New Roman" w:hAnsi="Times New Roman"/>
          <w:sz w:val="20"/>
        </w:rPr>
      </w:pPr>
      <w:r>
        <w:rPr>
          <w:rFonts w:ascii="Times New Roman;serif" w:hAnsi="Times New Roman;serif"/>
          <w:b w:val="false"/>
          <w:sz w:val="24"/>
        </w:rPr>
        <w:t xml:space="preserve">26. </w:t>
      </w:r>
      <w:r>
        <w:rPr>
          <w:rFonts w:ascii="Times New Roman;serif" w:hAnsi="Times New Roman;serif"/>
          <w:b w:val="false"/>
          <w:sz w:val="24"/>
          <w:u w:val="single"/>
        </w:rPr>
        <w:t>COUNTERPARTS</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This Agreement may be executed in one or more counterparts, each of which shall be deemed an original and all of which together shall constitute one and the same agreement.</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IN WITNESS WHEREOF, the parties hereto have executed this Agreement, under</w:t>
      </w:r>
      <w:r>
        <w:rPr>
          <w:rFonts w:ascii="Times New Roman" w:hAnsi="Times New Roman"/>
          <w:sz w:val="20"/>
        </w:rPr>
        <w:t xml:space="preserve"> </w:t>
      </w:r>
      <w:r>
        <w:rPr>
          <w:rFonts w:ascii="Times New Roman;serif" w:hAnsi="Times New Roman;serif"/>
          <w:b w:val="false"/>
          <w:sz w:val="24"/>
        </w:rPr>
        <w:t>seal, as of the date and year first above written.</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DESTINATION XL GROUP, INC.</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By: </w:t>
      </w:r>
      <w:r>
        <w:rPr>
          <w:rFonts w:ascii="Times New Roman;serif" w:hAnsi="Times New Roman;serif"/>
          <w:b w:val="false"/>
          <w:sz w:val="24"/>
          <w:u w:val="single"/>
        </w:rPr>
        <w:t>/s/ Harvey S. Kanter</w:t>
      </w:r>
      <w:r>
        <w:rPr>
          <w:rFonts w:ascii="Times New Roman" w:hAnsi="Times New Roman"/>
          <w:sz w:val="20"/>
        </w:rPr>
        <w:t xml:space="preserve"> </w:t>
      </w:r>
      <w:r>
        <w:rPr>
          <w:rFonts w:ascii="Times New Roman;serif" w:hAnsi="Times New Roman;serif"/>
          <w:b w:val="false"/>
          <w:sz w:val="24"/>
          <w:u w:val="single"/>
        </w:rPr>
        <w:t>April 11, 2023</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Name: Harvey S. Kanter</w:t>
      </w:r>
    </w:p>
    <w:p>
      <w:pPr>
        <w:pStyle w:val="TextBody"/>
        <w:spacing w:before="0" w:after="0"/>
        <w:jc w:val="left"/>
        <w:rPr>
          <w:rFonts w:ascii="Times New Roman;serif" w:hAnsi="Times New Roman;serif"/>
          <w:b w:val="false"/>
          <w:sz w:val="24"/>
        </w:rPr>
      </w:pPr>
      <w:r>
        <w:rPr>
          <w:rFonts w:ascii="Times New Roman;serif" w:hAnsi="Times New Roman;serif"/>
          <w:b w:val="false"/>
          <w:sz w:val="24"/>
        </w:rPr>
        <w:t>Its: President, Chief Executive Officer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4"/>
          <w:u w:val="single"/>
        </w:rPr>
      </w:pPr>
      <w:r>
        <w:rPr>
          <w:rFonts w:ascii="Times New Roman;serif" w:hAnsi="Times New Roman;serif"/>
          <w:b w:val="false"/>
          <w:sz w:val="24"/>
          <w:u w:val="single"/>
        </w:rPr>
        <w:t>/s/ Anthony J. Gaeta April 12,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Anthony J. Gaeta</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14</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4"/>
        </w:rPr>
      </w:pPr>
      <w:r>
        <w:rPr>
          <w:rFonts w:ascii="Times New Roman;serif" w:hAnsi="Times New Roman;serif"/>
          <w:b/>
          <w:sz w:val="24"/>
        </w:rPr>
        <w:t>EXHIBIT A</w:t>
      </w:r>
    </w:p>
    <w:p>
      <w:pPr>
        <w:pStyle w:val="TextBody"/>
        <w:spacing w:before="0" w:after="0"/>
        <w:jc w:val="center"/>
        <w:rPr>
          <w:rFonts w:ascii="Times New Roman;serif" w:hAnsi="Times New Roman;serif"/>
          <w:b/>
          <w:sz w:val="24"/>
        </w:rPr>
      </w:pPr>
      <w:r>
        <w:rPr>
          <w:rFonts w:ascii="Times New Roman;serif" w:hAnsi="Times New Roman;serif"/>
          <w:b/>
          <w:sz w:val="24"/>
        </w:rPr>
        <w:t>FORM OF RELEASE OF CLAIMS</w:t>
      </w:r>
    </w:p>
    <w:p>
      <w:pPr>
        <w:pStyle w:val="TextBody"/>
        <w:spacing w:before="0" w:after="0"/>
        <w:jc w:val="center"/>
        <w:rPr/>
      </w:pPr>
      <w:r>
        <w:rPr/>
        <w:t> </w:t>
      </w:r>
    </w:p>
    <w:p>
      <w:pPr>
        <w:pStyle w:val="TextBody"/>
        <w:spacing w:before="0" w:after="0"/>
        <w:jc w:val="center"/>
        <w:rPr>
          <w:rFonts w:ascii="Times New Roman;serif" w:hAnsi="Times New Roman;serif"/>
          <w:b/>
          <w:i/>
          <w:sz w:val="24"/>
        </w:rPr>
      </w:pPr>
      <w:r>
        <w:rPr>
          <w:rFonts w:ascii="Times New Roman;serif" w:hAnsi="Times New Roman;serif"/>
          <w:b/>
          <w:i/>
          <w:sz w:val="24"/>
        </w:rPr>
        <w:t>GENERAL RELEASE OF CLAIMS</w:t>
      </w:r>
    </w:p>
    <w:p>
      <w:pPr>
        <w:pStyle w:val="TextBody"/>
        <w:spacing w:before="0" w:after="0"/>
        <w:jc w:val="left"/>
        <w:rPr/>
      </w:pPr>
      <w:r>
        <w:rPr/>
        <w:t> </w:t>
      </w:r>
    </w:p>
    <w:p>
      <w:pPr>
        <w:pStyle w:val="TextBody"/>
        <w:spacing w:before="0" w:after="0"/>
        <w:jc w:val="left"/>
        <w:rPr/>
      </w:pPr>
      <w:bookmarkStart w:id="5" w:name="swnumberinghere"/>
      <w:bookmarkEnd w:id="5"/>
      <w:r>
        <w:rPr/>
        <w:t> </w:t>
      </w:r>
    </w:p>
    <w:p>
      <w:pPr>
        <w:pStyle w:val="TextBody"/>
        <w:spacing w:before="0" w:after="240"/>
        <w:jc w:val="left"/>
        <w:rPr>
          <w:rFonts w:ascii="Times New Roman" w:hAnsi="Times New Roman"/>
          <w:b w:val="false"/>
          <w:sz w:val="24"/>
        </w:rPr>
      </w:pPr>
      <w:r>
        <w:rPr>
          <w:rFonts w:ascii="Times New Roman" w:hAnsi="Times New Roman"/>
          <w:b w:val="false"/>
          <w:sz w:val="24"/>
        </w:rPr>
        <w:t>1.</w:t>
      </w:r>
    </w:p>
    <w:p>
      <w:pPr>
        <w:pStyle w:val="TextBody"/>
        <w:spacing w:before="0" w:after="240"/>
        <w:jc w:val="left"/>
        <w:rPr/>
      </w:pPr>
      <w:r>
        <w:rPr>
          <w:rFonts w:ascii="Times New Roman;serif" w:hAnsi="Times New Roman;serif"/>
          <w:b w:val="false"/>
          <w:sz w:val="24"/>
        </w:rPr>
        <w:t>Anthony Gaeta, (“</w:t>
      </w:r>
      <w:r>
        <w:rPr>
          <w:rFonts w:ascii="Times New Roman;serif" w:hAnsi="Times New Roman;serif"/>
          <w:b w:val="false"/>
          <w:sz w:val="24"/>
          <w:u w:val="single"/>
        </w:rPr>
        <w:t>Executive</w:t>
      </w:r>
      <w:r>
        <w:rPr/>
        <w:t>”</w:t>
      </w:r>
      <w:r>
        <w:rPr>
          <w:rFonts w:ascii="Times New Roman;serif" w:hAnsi="Times New Roman;serif"/>
          <w:b w:val="false"/>
          <w:sz w:val="24"/>
        </w:rPr>
        <w:t>), for himself and his family, heirs, executors, administrators, legal representatives and their respective successors and assigns, in exchange for good and valuable consideration to be paid after the date of Executive’s termination as set forth in the Employment Agreement, as amended, to which a form of this release is attached as Exhibit A (the “</w:t>
      </w:r>
      <w:r>
        <w:rPr>
          <w:rFonts w:ascii="Times New Roman;serif" w:hAnsi="Times New Roman;serif"/>
          <w:b w:val="false"/>
          <w:sz w:val="24"/>
          <w:u w:val="single"/>
        </w:rPr>
        <w:t>Employment Agreement</w:t>
      </w:r>
      <w:r>
        <w:rPr/>
        <w:t>”</w:t>
      </w:r>
      <w:r>
        <w:rPr>
          <w:rFonts w:ascii="Times New Roman;serif" w:hAnsi="Times New Roman;serif"/>
          <w:b w:val="false"/>
          <w:sz w:val="24"/>
        </w:rPr>
        <w:t>), does hereby release and forever discharge, to the maximum extent permitted by law, Destination XL Group, Inc. (the “</w:t>
      </w:r>
      <w:r>
        <w:rPr>
          <w:rFonts w:ascii="Times New Roman;serif" w:hAnsi="Times New Roman;serif"/>
          <w:b w:val="false"/>
          <w:sz w:val="24"/>
          <w:u w:val="single"/>
        </w:rPr>
        <w:t>Company</w:t>
      </w:r>
      <w:r>
        <w:rPr/>
        <w:t>”</w:t>
      </w:r>
      <w:r>
        <w:rPr>
          <w:rFonts w:ascii="Times New Roman;serif" w:hAnsi="Times New Roman;serif"/>
          <w:b w:val="false"/>
          <w:sz w:val="24"/>
        </w:rPr>
        <w:t>), its subsidiaries, affiliated companies, successors and assigns, and their respective current or former directors, officers, employees, shareholders or agents in such capacities (collectively with the Company, the “</w:t>
      </w:r>
      <w:r>
        <w:rPr>
          <w:rFonts w:ascii="Times New Roman;serif" w:hAnsi="Times New Roman;serif"/>
          <w:b w:val="false"/>
          <w:sz w:val="24"/>
          <w:u w:val="single"/>
        </w:rPr>
        <w:t>Released Parties</w:t>
      </w:r>
      <w:r>
        <w:rPr/>
        <w:t>”</w:t>
      </w:r>
      <w:r>
        <w:rPr>
          <w:rFonts w:ascii="Times New Roman;serif" w:hAnsi="Times New Roman;serif"/>
          <w:b w:val="false"/>
          <w:sz w:val="24"/>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Times New Roman;serif" w:hAnsi="Times New Roman;serif"/>
          <w:b w:val="false"/>
          <w:sz w:val="24"/>
          <w:u w:val="single"/>
        </w:rPr>
        <w:t>et</w:t>
      </w:r>
      <w:r>
        <w:rPr/>
        <w:t xml:space="preserve"> </w:t>
      </w:r>
      <w:r>
        <w:rPr>
          <w:rFonts w:ascii="Times New Roman;serif" w:hAnsi="Times New Roman;serif"/>
          <w:b w:val="false"/>
          <w:sz w:val="24"/>
          <w:u w:val="single"/>
        </w:rPr>
        <w:t>seq</w:t>
      </w:r>
      <w:r>
        <w:rPr>
          <w:rFonts w:ascii="Times New Roman;serif" w:hAnsi="Times New Roman;serif"/>
          <w:b w:val="false"/>
          <w:sz w:val="24"/>
        </w:rPr>
        <w:t xml:space="preserve">., the Massachusetts Wage and Hour laws, G.L. c. 151§1A et seq., the Massachusetts Paid Family and Medical Leave Act, G.L. c.175M, the Massachusetts Sexual Harassment Statute, G.L. c. 214 §1C, the Massachusetts Consumer Protection Act, G.L. c. 93A,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w:t>
      </w:r>
    </w:p>
    <w:p>
      <w:pPr>
        <w:pStyle w:val="TextBody"/>
        <w:spacing w:before="0" w:after="240"/>
        <w:jc w:val="left"/>
        <w:rPr>
          <w:rFonts w:ascii="Times New Roman" w:hAnsi="Times New Roman"/>
          <w:sz w:val="20"/>
        </w:rPr>
      </w:pPr>
      <w:r>
        <w:rPr>
          <w:rFonts w:ascii="Times New Roman;serif" w:hAnsi="Times New Roman;serif"/>
          <w:b w:val="false"/>
          <w:sz w:val="24"/>
        </w:rPr>
        <w:t>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ADEA,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15</w:t>
      </w:r>
    </w:p>
    <w:p>
      <w:pPr>
        <w:pStyle w:val="TextBody"/>
        <w:spacing w:before="0" w:after="0"/>
        <w:jc w:val="left"/>
        <w:rPr/>
      </w:pPr>
      <w:r>
        <w:rPr/>
        <w:t> </w:t>
      </w:r>
    </w:p>
    <w:p>
      <w:pPr>
        <w:pStyle w:val="HorizontalLine"/>
        <w:rPr/>
      </w:pPr>
      <w:r>
        <w:rPr/>
      </w:r>
    </w:p>
    <w:p>
      <w:pPr>
        <w:pStyle w:val="TextBody"/>
        <w:spacing w:before="0" w:after="240"/>
        <w:jc w:val="left"/>
        <w:rPr>
          <w:rFonts w:ascii="Times New Roman;serif" w:hAnsi="Times New Roman;serif"/>
          <w:b w:val="false"/>
          <w:sz w:val="24"/>
        </w:rPr>
      </w:pPr>
      <w:r>
        <w:rPr>
          <w:rFonts w:ascii="Times New Roman;serif" w:hAnsi="Times New Roman;serif"/>
          <w:b w:val="false"/>
          <w:sz w:val="24"/>
        </w:rPr>
        <w:t>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pStyle w:val="TextBody"/>
        <w:spacing w:before="0" w:after="240"/>
        <w:jc w:val="both"/>
        <w:rPr>
          <w:rFonts w:ascii="Times New Roman" w:hAnsi="Times New Roman"/>
          <w:b w:val="false"/>
          <w:sz w:val="24"/>
        </w:rPr>
      </w:pPr>
      <w:r>
        <w:rPr>
          <w:rFonts w:ascii="Times New Roman" w:hAnsi="Times New Roman"/>
          <w:b w:val="false"/>
          <w:sz w:val="24"/>
        </w:rPr>
        <w:t>2.</w:t>
      </w:r>
    </w:p>
    <w:p>
      <w:pPr>
        <w:pStyle w:val="TextBody"/>
        <w:spacing w:before="0" w:after="240"/>
        <w:jc w:val="both"/>
        <w:rPr/>
      </w:pPr>
      <w:r>
        <w:rPr>
          <w:rFonts w:ascii="Times New Roman;serif" w:hAnsi="Times New Roman;serif"/>
          <w:b w:val="false"/>
          <w:sz w:val="24"/>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Times New Roman;serif" w:hAnsi="Times New Roman;serif"/>
          <w:b w:val="false"/>
          <w:sz w:val="24"/>
          <w:u w:val="single"/>
        </w:rPr>
        <w:t>Proceeding</w:t>
      </w:r>
      <w:r>
        <w:rPr/>
        <w:t>”</w:t>
      </w:r>
      <w:r>
        <w:rPr>
          <w:rFonts w:ascii="Times New Roman;serif" w:hAnsi="Times New Roman;serif"/>
          <w:b w:val="false"/>
          <w:sz w:val="24"/>
        </w:rPr>
        <w:t xml:space="preserve">); </w:t>
      </w:r>
      <w:r>
        <w:rPr>
          <w:rFonts w:ascii="Times New Roman;serif" w:hAnsi="Times New Roman;serif"/>
          <w:b w:val="false"/>
          <w:sz w:val="24"/>
          <w:u w:val="single"/>
        </w:rPr>
        <w:t>provided</w:t>
      </w:r>
      <w:r>
        <w:rPr>
          <w:rFonts w:ascii="Times New Roman;serif" w:hAnsi="Times New Roman;serif"/>
          <w:b w:val="false"/>
          <w:sz w:val="24"/>
        </w:rPr>
        <w:t xml:space="preserve">, </w:t>
      </w:r>
      <w:r>
        <w:rPr>
          <w:rFonts w:ascii="Times New Roman;serif" w:hAnsi="Times New Roman;serif"/>
          <w:b w:val="false"/>
          <w:sz w:val="24"/>
          <w:u w:val="single"/>
        </w:rPr>
        <w:t>however</w:t>
      </w:r>
      <w:r>
        <w:rPr>
          <w:rFonts w:ascii="Times New Roman;serif" w:hAnsi="Times New Roman;serif"/>
          <w:b w:val="false"/>
          <w:sz w:val="24"/>
        </w:rPr>
        <w:t>, Executive shall not have relinquished his right to commence a Proceeding to challenge whether Executive knowingly and voluntarily waived his rights under ADEA.</w:t>
      </w:r>
    </w:p>
    <w:p>
      <w:pPr>
        <w:pStyle w:val="TextBody"/>
        <w:spacing w:before="0" w:after="0"/>
        <w:jc w:val="both"/>
        <w:rPr>
          <w:rFonts w:ascii="Times New Roman" w:hAnsi="Times New Roman"/>
          <w:sz w:val="20"/>
        </w:rPr>
      </w:pPr>
      <w:r>
        <w:rPr>
          <w:rFonts w:ascii="Times New Roman;serif" w:hAnsi="Times New Roman;serif"/>
          <w:b w:val="false"/>
          <w:sz w:val="24"/>
        </w:rPr>
        <w:t xml:space="preserve">3. </w:t>
      </w:r>
      <w:r>
        <w:rPr>
          <w:rFonts w:ascii="Times New Roman;serif" w:hAnsi="Times New Roman;serif"/>
          <w:b/>
          <w:sz w:val="24"/>
          <w:u w:val="single"/>
        </w:rPr>
        <w:t>Non-Competition</w:t>
      </w:r>
      <w:r>
        <w:rPr>
          <w:rFonts w:ascii="Times New Roman;serif" w:hAnsi="Times New Roman;serif"/>
          <w:b w:val="false"/>
          <w:sz w:val="24"/>
        </w:rPr>
        <w: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In consideration for the consideration set forth in the Employment Agreement and the payment of severance benefits set forth in Section 7 of the Employment Agreement, Executive further covenants and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Executive provided services or had a material presence or influence on behalf of the Company, whether in the United States, Canada, Europe or elsewhere during the two years prior to Executive’s separation from the Company;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(1)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(2) solicit, hire, interfere with or entice from the Company or any of its subsidiaries or affiliates any employee (or former employee who has been separated from service for less than 12 months) of the Company or any of its subsidiaries or affiliates.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16</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(b) 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 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(d) 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4. </w:t>
      </w:r>
      <w:r>
        <w:rPr>
          <w:rFonts w:ascii="Times New Roman;serif" w:hAnsi="Times New Roman;serif"/>
          <w:b/>
          <w:sz w:val="24"/>
          <w:u w:val="single"/>
        </w:rPr>
        <w:t>Inventions and Discoveries.</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(b) 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 Subject Matter; provided, however, that Executive shall be compensated in a timely manner at the rate of $250 per</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17</w:t>
      </w:r>
    </w:p>
    <w:p>
      <w:pPr>
        <w:pStyle w:val="TextBody"/>
        <w:spacing w:before="0" w:after="0"/>
        <w:jc w:val="left"/>
        <w:rPr/>
      </w:pPr>
      <w:r>
        <w:rPr/>
        <w:t> </w:t>
      </w:r>
    </w:p>
    <w:p>
      <w:pPr>
        <w:pStyle w:val="HorizontalLine"/>
        <w:rPr/>
      </w:pPr>
      <w:r>
        <w:rPr/>
      </w:r>
    </w:p>
    <w:p>
      <w:pPr>
        <w:pStyle w:val="TextBody"/>
        <w:spacing w:before="0" w:after="0"/>
        <w:jc w:val="both"/>
        <w:rPr>
          <w:rFonts w:ascii="Times New Roman;serif" w:hAnsi="Times New Roman;serif"/>
          <w:b w:val="false"/>
          <w:sz w:val="24"/>
        </w:rPr>
      </w:pPr>
      <w:r>
        <w:rPr>
          <w:rFonts w:ascii="Times New Roman;serif" w:hAnsi="Times New Roman;serif"/>
          <w:b w:val="false"/>
          <w:sz w:val="24"/>
        </w:rPr>
        <w:t>day (or portion thereof), plus out-of-pocket expenses incurred in rendering such assistance or giving or preparing to give such testimony.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4"/>
        </w:rPr>
        <w:t xml:space="preserve">5. </w:t>
      </w:r>
      <w:r>
        <w:rPr>
          <w:rFonts w:ascii="Times New Roman;serif" w:hAnsi="Times New Roman;serif"/>
          <w:b/>
          <w:sz w:val="24"/>
          <w:u w:val="single"/>
        </w:rPr>
        <w:t>Non-Disclosure of Confidential Information.</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(a) 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(b) 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pStyle w:val="TextBody"/>
        <w:spacing w:before="0" w:after="0"/>
        <w:jc w:val="left"/>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(c) In accordance with the Federal Defend Trade Secrets Act, Executive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Notwithstanding this immunity from liability, Executive may be held liable if Executive unlawfully accesses trade secrets by unauthorized means.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4"/>
        </w:rPr>
        <w:t xml:space="preserve">6. </w:t>
      </w:r>
      <w:r>
        <w:rPr>
          <w:rFonts w:ascii="Times New Roman;serif" w:hAnsi="Times New Roman;serif"/>
          <w:b/>
          <w:sz w:val="24"/>
          <w:u w:val="single"/>
        </w:rPr>
        <w:t>Specific Performance</w:t>
      </w:r>
      <w:r>
        <w:rPr>
          <w:rFonts w:ascii="Times New Roman;serif" w:hAnsi="Times New Roman;serif"/>
          <w:b w:val="false"/>
          <w:sz w:val="24"/>
        </w:rPr>
        <w:t>. Executive agrees that if he breaches, or threatens to commit a breach of, any enforceable provision of paragraphs 3, 4 or 5 (the "Restrictive Covenants"), the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18</w:t>
      </w:r>
    </w:p>
    <w:p>
      <w:pPr>
        <w:pStyle w:val="TextBody"/>
        <w:spacing w:before="0" w:after="0"/>
        <w:jc w:val="left"/>
        <w:rPr/>
      </w:pPr>
      <w:r>
        <w:rPr/>
        <w:t> </w:t>
      </w:r>
    </w:p>
    <w:p>
      <w:pPr>
        <w:pStyle w:val="HorizontalLine"/>
        <w:rPr/>
      </w:pPr>
      <w:r>
        <w:rPr/>
      </w:r>
    </w:p>
    <w:p>
      <w:pPr>
        <w:pStyle w:val="TextBody"/>
        <w:spacing w:before="0" w:after="0"/>
        <w:jc w:val="both"/>
        <w:rPr>
          <w:rFonts w:ascii="Times New Roman" w:hAnsi="Times New Roman"/>
          <w:sz w:val="20"/>
        </w:rPr>
      </w:pPr>
      <w:r>
        <w:rPr>
          <w:rFonts w:ascii="Times New Roman;serif" w:hAnsi="Times New Roman;serif"/>
          <w:b w:val="false"/>
          <w:sz w:val="24"/>
        </w:rPr>
        <w:t>Company shall have, in</w:t>
      </w:r>
      <w:r>
        <w:rPr>
          <w:rFonts w:ascii="Times New Roman" w:hAnsi="Times New Roman"/>
          <w:sz w:val="20"/>
        </w:rPr>
        <w:t xml:space="preserve"> </w:t>
      </w:r>
      <w:r>
        <w:rPr>
          <w:rFonts w:ascii="Times New Roman;serif" w:hAnsi="Times New Roman;serif"/>
          <w:b w:val="false"/>
          <w:sz w:val="24"/>
        </w:rPr>
        <w:t>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Any such damages, attorneys’ fees and costs shall be in addition to and not in lieu of any injunctive relief that may be available to the Company.</w:t>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7. 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HR Director, Associate Relations &amp; Compliance and must be delivered to the HR Director, Associate Relations &amp; Compliance within that seven (7) day revocation period, or mailed to Destination XL Group, Inc., Attn: HR Director, Associate Relations &amp; Compliance, 555 Turnpike Street, Canton, MA 02021 and postmarked within the seven (7) day revocation period.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8. Executive acknowledges that this General Release of Claims will be governed by and construed and enforced in accordance with the internal laws of the Commonwealth of Massachusetts applicable to contracts made and to be performed entirely within the Commonwealth.</w:t>
      </w:r>
    </w:p>
    <w:p>
      <w:pPr>
        <w:pStyle w:val="TextBody"/>
        <w:spacing w:before="0" w:after="240"/>
        <w:jc w:val="both"/>
        <w:rPr>
          <w:rFonts w:ascii="Times New Roman" w:hAnsi="Times New Roman"/>
          <w:sz w:val="20"/>
        </w:rPr>
      </w:pPr>
      <w:r>
        <w:rPr>
          <w:rFonts w:ascii="Times New Roman;serif" w:hAnsi="Times New Roman;serif"/>
          <w:b w:val="false"/>
          <w:sz w:val="24"/>
        </w:rPr>
        <w:t>9. 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10. This General Release of Claims shall take effect on the eighth business day following Executive’s execution of this General Release of Claims unless Executive’s written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19</w:t>
      </w:r>
    </w:p>
    <w:p>
      <w:pPr>
        <w:pStyle w:val="TextBody"/>
        <w:spacing w:before="0" w:after="0"/>
        <w:jc w:val="left"/>
        <w:rPr/>
      </w:pPr>
      <w:r>
        <w:rPr/>
        <w:t> </w:t>
      </w:r>
    </w:p>
    <w:p>
      <w:pPr>
        <w:pStyle w:val="HorizontalLine"/>
        <w:rPr/>
      </w:pPr>
      <w:r>
        <w:rPr/>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revocation is delivered to the Company within seven (7) business days after such execution.</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Anthony Gaeta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20</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10014</Words>
  <CharactersWithSpaces>63365</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