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4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w w:val="96"/>
              </w:rPr>
              <w:t>C/O RED MOUNTAIN CAPITAL MANAGEMENT</w:t>
            </w:r>
          </w:p>
        </w:tc>
        <w:tc>
          <w:tcPr>
            <w:tcW w:w="1620" w:type="dxa"/>
            <w:vAlign w:val="bottom"/>
            <w:gridSpan w:val="7"/>
          </w:tcPr>
          <w:p>
            <w:pPr>
              <w:ind w:left="160"/>
              <w:spacing w:after="0"/>
              <w:rPr>
                <w:sz w:val="20"/>
                <w:szCs w:val="20"/>
                <w:color w:val="auto"/>
              </w:rPr>
            </w:pPr>
            <w:r>
              <w:rPr>
                <w:rFonts w:ascii="Arial" w:cs="Arial" w:eastAsia="Arial" w:hAnsi="Arial"/>
                <w:sz w:val="18"/>
                <w:szCs w:val="18"/>
                <w:color w:val="0000FF"/>
              </w:rPr>
              <w:t>08/29/2016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INC.</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gridSpan w:val="7"/>
          </w:tcPr>
          <w:p>
            <w:pPr>
              <w:spacing w:after="0" w:line="198" w:lineRule="exact"/>
              <w:rPr>
                <w:sz w:val="20"/>
                <w:szCs w:val="20"/>
                <w:color w:val="auto"/>
              </w:rPr>
            </w:pPr>
            <w:r>
              <w:rPr>
                <w:rFonts w:ascii="Arial" w:cs="Arial" w:eastAsia="Arial" w:hAnsi="Arial"/>
                <w:sz w:val="18"/>
                <w:szCs w:val="18"/>
                <w:color w:val="0000FF"/>
              </w:rPr>
              <w:t>10100 SANTA MONICA BOULEVARD, SUITE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68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center"/>
              <w:ind w:right="1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jc w:val="center"/>
              <w:ind w:right="396"/>
              <w:spacing w:after="0"/>
              <w:rPr>
                <w:sz w:val="20"/>
                <w:szCs w:val="20"/>
                <w:color w:val="auto"/>
              </w:rPr>
            </w:pPr>
            <w:r>
              <w:rPr>
                <w:rFonts w:ascii="Arial" w:cs="Arial" w:eastAsia="Arial" w:hAnsi="Arial"/>
                <w:sz w:val="12"/>
                <w:szCs w:val="12"/>
                <w:b w:val="1"/>
                <w:bCs w:val="1"/>
                <w:color w:val="auto"/>
                <w:w w:val="99"/>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jc w:val="center"/>
              <w:ind w:right="396"/>
              <w:spacing w:after="0" w:line="135" w:lineRule="exact"/>
              <w:rPr>
                <w:sz w:val="20"/>
                <w:szCs w:val="20"/>
                <w:color w:val="auto"/>
              </w:rPr>
            </w:pPr>
            <w:r>
              <w:rPr>
                <w:rFonts w:ascii="Arial" w:cs="Arial" w:eastAsia="Arial" w:hAnsi="Arial"/>
                <w:sz w:val="12"/>
                <w:szCs w:val="12"/>
                <w:b w:val="1"/>
                <w:bCs w:val="1"/>
                <w:color w:val="auto"/>
                <w:w w:val="93"/>
              </w:rPr>
              <w:t>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08/29/2016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center"/>
              <w:ind w:left="130"/>
              <w:spacing w:after="0"/>
              <w:rPr>
                <w:sz w:val="20"/>
                <w:szCs w:val="20"/>
                <w:color w:val="auto"/>
              </w:rPr>
            </w:pPr>
            <w:r>
              <w:rPr>
                <w:rFonts w:ascii="Arial" w:cs="Arial" w:eastAsia="Arial" w:hAnsi="Arial"/>
                <w:sz w:val="18"/>
                <w:szCs w:val="18"/>
                <w:color w:val="0000FF"/>
                <w:w w:val="87"/>
              </w:rPr>
              <w:t>18,000</w:t>
            </w:r>
          </w:p>
        </w:tc>
        <w:tc>
          <w:tcPr>
            <w:tcW w:w="20" w:type="dxa"/>
            <w:vAlign w:val="bottom"/>
          </w:tcPr>
          <w:p>
            <w:pPr>
              <w:spacing w:after="0"/>
              <w:rPr>
                <w:sz w:val="22"/>
                <w:szCs w:val="22"/>
                <w:color w:val="auto"/>
              </w:rPr>
            </w:pP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4.78</w:t>
            </w:r>
            <w:r>
              <w:rPr>
                <w:rFonts w:ascii="Arial" w:cs="Arial" w:eastAsia="Arial" w:hAnsi="Arial"/>
                <w:sz w:val="22"/>
                <w:szCs w:val="22"/>
                <w:color w:val="008000"/>
                <w:w w:val="92"/>
                <w:vertAlign w:val="superscript"/>
              </w:rPr>
              <w:t>(1)</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7,563,125</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08/30/2016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center"/>
              <w:ind w:left="130"/>
              <w:spacing w:after="0"/>
              <w:rPr>
                <w:sz w:val="20"/>
                <w:szCs w:val="20"/>
                <w:color w:val="auto"/>
              </w:rPr>
            </w:pPr>
            <w:r>
              <w:rPr>
                <w:rFonts w:ascii="Arial" w:cs="Arial" w:eastAsia="Arial" w:hAnsi="Arial"/>
                <w:sz w:val="18"/>
                <w:szCs w:val="18"/>
                <w:color w:val="0000FF"/>
                <w:w w:val="87"/>
              </w:rPr>
              <w:t>12,600</w:t>
            </w:r>
          </w:p>
        </w:tc>
        <w:tc>
          <w:tcPr>
            <w:tcW w:w="20" w:type="dxa"/>
            <w:vAlign w:val="bottom"/>
          </w:tcPr>
          <w:p>
            <w:pPr>
              <w:spacing w:after="0"/>
              <w:rPr>
                <w:sz w:val="22"/>
                <w:szCs w:val="22"/>
                <w:color w:val="auto"/>
              </w:rPr>
            </w:pP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4.68</w:t>
            </w:r>
            <w:r>
              <w:rPr>
                <w:rFonts w:ascii="Arial" w:cs="Arial" w:eastAsia="Arial" w:hAnsi="Arial"/>
                <w:sz w:val="22"/>
                <w:szCs w:val="22"/>
                <w:color w:val="008000"/>
                <w:w w:val="92"/>
                <w:vertAlign w:val="superscript"/>
              </w:rPr>
              <w:t>(3)</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7,575,725</w:t>
            </w:r>
            <w:r>
              <w:rPr>
                <w:rFonts w:ascii="Arial" w:cs="Arial" w:eastAsia="Arial" w:hAnsi="Arial"/>
                <w:sz w:val="22"/>
                <w:szCs w:val="22"/>
                <w:color w:val="008000"/>
                <w:vertAlign w:val="superscript"/>
              </w:rPr>
              <w:t>(4)</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00" w:type="dxa"/>
            <w:vAlign w:val="bottom"/>
            <w:gridSpan w:val="6"/>
            <w:vMerge w:val="restart"/>
          </w:tcPr>
          <w:p>
            <w:pPr>
              <w:ind w:left="860"/>
              <w:spacing w:after="0"/>
              <w:rPr>
                <w:sz w:val="20"/>
                <w:szCs w:val="20"/>
                <w:color w:val="auto"/>
              </w:rPr>
            </w:pPr>
            <w:r>
              <w:rPr>
                <w:rFonts w:ascii="Arial" w:cs="Arial" w:eastAsia="Arial" w:hAnsi="Arial"/>
                <w:sz w:val="18"/>
                <w:szCs w:val="18"/>
                <w:color w:val="0000FF"/>
              </w:rPr>
              <w:t>08/31/2016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20" w:type="dxa"/>
            <w:vAlign w:val="bottom"/>
            <w:vMerge w:val="restart"/>
          </w:tcPr>
          <w:p>
            <w:pPr>
              <w:jc w:val="center"/>
              <w:ind w:left="150"/>
              <w:spacing w:after="0"/>
              <w:rPr>
                <w:sz w:val="20"/>
                <w:szCs w:val="20"/>
                <w:color w:val="auto"/>
              </w:rPr>
            </w:pPr>
            <w:r>
              <w:rPr>
                <w:rFonts w:ascii="Arial" w:cs="Arial" w:eastAsia="Arial" w:hAnsi="Arial"/>
                <w:sz w:val="18"/>
                <w:szCs w:val="18"/>
                <w:color w:val="0000FF"/>
                <w:w w:val="84"/>
              </w:rPr>
              <w:t>9,744</w:t>
            </w:r>
          </w:p>
        </w:tc>
        <w:tc>
          <w:tcPr>
            <w:tcW w:w="20" w:type="dxa"/>
            <w:vAlign w:val="bottom"/>
          </w:tcPr>
          <w:p>
            <w:pPr>
              <w:spacing w:after="0"/>
              <w:rPr>
                <w:sz w:val="22"/>
                <w:szCs w:val="22"/>
                <w:color w:val="auto"/>
              </w:rPr>
            </w:pP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4.63</w:t>
            </w:r>
            <w:r>
              <w:rPr>
                <w:rFonts w:ascii="Arial" w:cs="Arial" w:eastAsia="Arial" w:hAnsi="Arial"/>
                <w:sz w:val="22"/>
                <w:szCs w:val="22"/>
                <w:color w:val="008000"/>
                <w:w w:val="92"/>
                <w:vertAlign w:val="superscript"/>
              </w:rPr>
              <w:t>(5)</w:t>
            </w: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7,585,469</w:t>
            </w:r>
            <w:r>
              <w:rPr>
                <w:rFonts w:ascii="Arial" w:cs="Arial" w:eastAsia="Arial" w:hAnsi="Arial"/>
                <w:sz w:val="22"/>
                <w:szCs w:val="22"/>
                <w:color w:val="008000"/>
                <w:vertAlign w:val="superscript"/>
              </w:rPr>
              <w:t>(6)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0" w:type="dxa"/>
            <w:vAlign w:val="bottom"/>
            <w:gridSpan w:val="18"/>
          </w:tcPr>
          <w:p>
            <w:pPr>
              <w:jc w:val="center"/>
              <w:ind w:left="24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jc w:val="center"/>
              <w:ind w:right="476"/>
              <w:spacing w:after="0" w:line="135" w:lineRule="exact"/>
              <w:rPr>
                <w:sz w:val="20"/>
                <w:szCs w:val="20"/>
                <w:color w:val="auto"/>
              </w:rPr>
            </w:pPr>
            <w:r>
              <w:rPr>
                <w:rFonts w:ascii="Arial" w:cs="Arial" w:eastAsia="Arial" w:hAnsi="Arial"/>
                <w:sz w:val="12"/>
                <w:szCs w:val="12"/>
                <w:b w:val="1"/>
                <w:bCs w:val="1"/>
                <w:color w:val="auto"/>
                <w:w w:val="99"/>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5"/>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3"/>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C/O RED MOUNTAIN CAPITAL MANAGEMENT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10"/>
          </w:tcPr>
          <w:p>
            <w:pPr>
              <w:spacing w:after="0"/>
              <w:rPr>
                <w:sz w:val="20"/>
                <w:szCs w:val="20"/>
                <w:color w:val="auto"/>
              </w:rPr>
            </w:pPr>
            <w:r>
              <w:rPr>
                <w:rFonts w:ascii="Arial" w:cs="Arial" w:eastAsia="Arial" w:hAnsi="Arial"/>
                <w:sz w:val="18"/>
                <w:szCs w:val="18"/>
                <w:color w:val="0000FF"/>
              </w:rPr>
              <w:t>10100 SANTA MONICA BOULEVARD, SUITE 925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90067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RED MOUNTAIN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925</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s>
        <w:rPr>
          <w:sz w:val="20"/>
          <w:szCs w:val="20"/>
          <w:color w:val="auto"/>
        </w:rPr>
      </w:pPr>
      <w:r>
        <w:rPr>
          <w:rFonts w:ascii="Arial" w:cs="Arial" w:eastAsia="Arial" w:hAnsi="Arial"/>
          <w:sz w:val="18"/>
          <w:szCs w:val="18"/>
          <w:color w:val="0000FF"/>
        </w:rPr>
        <w:t>LOS ANGELES</w:t>
      </w:r>
      <w:r>
        <w:rPr>
          <w:sz w:val="20"/>
          <w:szCs w:val="20"/>
          <w:color w:val="auto"/>
        </w:rPr>
        <w:tab/>
      </w:r>
      <w:r>
        <w:rPr>
          <w:rFonts w:ascii="Arial" w:cs="Arial" w:eastAsia="Arial" w:hAnsi="Arial"/>
          <w:sz w:val="18"/>
          <w:szCs w:val="18"/>
          <w:color w:val="0000FF"/>
        </w:rPr>
        <w:t>CA</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5">
              <w:r>
                <w:rPr>
                  <w:rFonts w:ascii="Arial" w:cs="Arial" w:eastAsia="Arial" w:hAnsi="Arial"/>
                  <w:sz w:val="22"/>
                  <w:szCs w:val="22"/>
                  <w:color w:val="0000EE"/>
                  <w:w w:val="92"/>
                </w:rPr>
                <w:t>RMCP GP LLC</w:t>
              </w:r>
            </w:hyperlink>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5793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57931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line="230" w:lineRule="auto"/>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Red Mountain Capital Partners LLC ("RMCP LLC") on the open market. The price reported in Column 4 is a weighted average price per share, at prices ranging from $4.72 to $4.84, inclusive. Each of Willem Mesdag, Red Mountain Partners, L.P. ("RMP"), RMCP GP LLC ("RMCP GP"), RMCP LLC, and Red Mountain Capital Management, Inc. ("RMCM") undertakes to provide to Destination XL Group, Inc. (the "Company"), any securityholder of the Company, or the staff of the Securities and Exchange Commission, upon request, full information regarding the price at which these shares were purchased.</w:t>
      </w:r>
    </w:p>
    <w:p>
      <w:pPr>
        <w:spacing w:after="0" w:line="31" w:lineRule="exact"/>
        <w:rPr>
          <w:rFonts w:ascii="Arial" w:cs="Arial" w:eastAsia="Arial" w:hAnsi="Arial"/>
          <w:sz w:val="14"/>
          <w:szCs w:val="14"/>
          <w:color w:val="008000"/>
        </w:rPr>
      </w:pPr>
    </w:p>
    <w:p>
      <w:pPr>
        <w:ind w:left="20" w:right="10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40,771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3" w:lineRule="exact"/>
        <w:rPr>
          <w:rFonts w:ascii="Arial" w:cs="Arial" w:eastAsia="Arial" w:hAnsi="Arial"/>
          <w:sz w:val="12"/>
          <w:szCs w:val="12"/>
          <w:color w:val="008000"/>
        </w:rPr>
      </w:pPr>
    </w:p>
    <w:p>
      <w:pPr>
        <w:ind w:left="20" w:right="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RMCP LLC on the open market. The price reported in Column 4 is a weighted average price per share, at prices ranging from $4.63 to $4.76, inclusive. Each of Willem Mesdag, RMP, RMCP GP, RMCP LLC, and RMCM undertakes to provide to the Company, any securityholder of the Company, or the staff of the Securities and Exchange Commission, upon request, full information regarding the price at which these shares were purchased.</w:t>
      </w:r>
    </w:p>
    <w:p>
      <w:pPr>
        <w:spacing w:after="0" w:line="30" w:lineRule="exact"/>
        <w:rPr>
          <w:rFonts w:ascii="Arial" w:cs="Arial" w:eastAsia="Arial" w:hAnsi="Arial"/>
          <w:sz w:val="14"/>
          <w:szCs w:val="14"/>
          <w:color w:val="008000"/>
        </w:rPr>
      </w:pPr>
    </w:p>
    <w:p>
      <w:pPr>
        <w:ind w:left="20" w:right="10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53,371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3" w:lineRule="exact"/>
        <w:rPr>
          <w:rFonts w:ascii="Arial" w:cs="Arial" w:eastAsia="Arial" w:hAnsi="Arial"/>
          <w:sz w:val="12"/>
          <w:szCs w:val="12"/>
          <w:color w:val="008000"/>
        </w:rPr>
      </w:pPr>
    </w:p>
    <w:p>
      <w:pPr>
        <w:ind w:left="20" w:right="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purchased by RMCP LLC on the open market. The price reported in Column 4 is a weighted average price per share, at prices ranging from $4.59 to $4.69, inclusive. Each of Willem Mesdag, RMP, RMCP GP, RMCP LLC, and RMCM undertakes to provide to the Company, any securityholder of the Company, or the staff of the Securities and Exchange Commission, upon request, full information regarding the price at which these shares were purchased.</w:t>
      </w:r>
    </w:p>
    <w:p>
      <w:pPr>
        <w:spacing w:after="0" w:line="30" w:lineRule="exact"/>
        <w:rPr>
          <w:rFonts w:ascii="Arial" w:cs="Arial" w:eastAsia="Arial" w:hAnsi="Arial"/>
          <w:sz w:val="14"/>
          <w:szCs w:val="14"/>
          <w:color w:val="008000"/>
        </w:rPr>
      </w:pPr>
    </w:p>
    <w:p>
      <w:pPr>
        <w:ind w:left="20" w:right="100" w:firstLine="9"/>
        <w:spacing w:after="0" w:line="270"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63,115 shares are held directly by RMCP LLC. This Form 4 is jointly filed by (i) RMP, (ii) RMCP GP, (iii) RMCP LLC, (iv)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14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08/31/2016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79" w:right="339" w:bottom="1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3" TargetMode="External"/><Relationship Id="rId15"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588" TargetMode="External"/><Relationship Id="rId18"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2019-12-23T15:12:10Z</dcterms:created>
  <dcterms:modified xsi:type="dcterms:W3CDTF">2019-12-23T15:12:10Z</dcterms:modified>
</cp:coreProperties>
</file>