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10-Q/A</w:t>
      </w:r>
    </w:p>
    <w:p>
      <w:pPr>
        <w:spacing w:after="0" w:line="4"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Amendment to Quarterly Report Under Section 13 or 15(d)</w:t>
      </w:r>
    </w:p>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649" w:right="1440" w:bottom="1018"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 Ended July 29, 2000</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38" w:orient="portrait"/>
          <w:cols w:equalWidth="0" w:num="3">
            <w:col w:w="3920" w:space="720"/>
            <w:col w:w="2320" w:space="320"/>
            <w:col w:w="2939"/>
          </w:cols>
          <w:pgMar w:left="240" w:top="649" w:right="1440" w:bottom="1018"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649" w:right="1440" w:bottom="1018"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4020" w:space="720"/>
            <w:col w:w="5479"/>
          </w:cols>
          <w:pgMar w:left="240" w:top="649" w:right="1440" w:bottom="1018" w:gutter="0" w:footer="0" w:header="0"/>
          <w:type w:val="continuous"/>
        </w:sectPr>
      </w:pPr>
    </w:p>
    <w:p>
      <w:pPr>
        <w:spacing w:after="0" w:line="209" w:lineRule="exact"/>
        <w:rPr>
          <w:sz w:val="24"/>
          <w:szCs w:val="24"/>
          <w:color w:val="auto"/>
        </w:rPr>
      </w:pPr>
    </w:p>
    <w:p>
      <w:pPr>
        <w:ind w:right="1600" w:firstLine="948"/>
        <w:spacing w:after="0" w:line="290" w:lineRule="auto"/>
        <w:rPr>
          <w:sz w:val="20"/>
          <w:szCs w:val="20"/>
          <w:color w:val="auto"/>
        </w:rPr>
      </w:pPr>
      <w:r>
        <w:rPr>
          <w:rFonts w:ascii="Courier New" w:cs="Courier New" w:eastAsia="Courier New" w:hAnsi="Courier New"/>
          <w:sz w:val="16"/>
          <w:szCs w:val="16"/>
          <w:color w:val="auto"/>
        </w:rPr>
        <w:t>66 B Street, Needham, MA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820" w:space="720"/>
            <w:col w:w="3679"/>
          </w:cols>
          <w:pgMar w:left="240" w:top="649" w:right="1440" w:bottom="1018" w:gutter="0" w:footer="0" w:header="0"/>
          <w:type w:val="continuous"/>
        </w:sectPr>
      </w:pPr>
    </w:p>
    <w:p>
      <w:pPr>
        <w:spacing w:after="0" w:line="369"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444-7222</w:t>
      </w:r>
    </w:p>
    <w:p>
      <w:pPr>
        <w:ind w:left="3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w:t>
      </w:r>
    </w:p>
    <w:p>
      <w:pPr>
        <w:ind w:left="2740"/>
        <w:spacing w:after="0"/>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spacing w:after="0" w:line="206" w:lineRule="exact"/>
        <w:rPr>
          <w:sz w:val="24"/>
          <w:szCs w:val="24"/>
          <w:color w:val="auto"/>
        </w:rPr>
      </w:pPr>
    </w:p>
    <w:p>
      <w:pPr>
        <w:spacing w:after="0"/>
        <w:tabs>
          <w:tab w:leader="none" w:pos="940" w:val="left"/>
          <w:tab w:leader="none" w:pos="220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spacing w:after="0" w:line="200" w:lineRule="exact"/>
        <w:rPr>
          <w:sz w:val="24"/>
          <w:szCs w:val="24"/>
          <w:color w:val="auto"/>
        </w:rPr>
      </w:pPr>
    </w:p>
    <w:p>
      <w:pPr>
        <w:spacing w:after="0" w:line="209"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649" w:right="1440" w:bottom="1018"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as of July 29, 2000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140" w:space="720"/>
            <w:col w:w="5359"/>
          </w:cols>
          <w:pgMar w:left="240" w:top="649" w:right="1440" w:bottom="1018" w:gutter="0" w:footer="0" w:header="0"/>
          <w:type w:val="continuous"/>
        </w:sectPr>
      </w:pPr>
    </w:p>
    <w:p>
      <w:pPr>
        <w:spacing w:after="0" w:line="24"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16,336,555</w:t>
      </w:r>
    </w:p>
    <w:p>
      <w:pPr>
        <w:spacing w:after="0" w:line="200" w:lineRule="exact"/>
        <w:rPr>
          <w:sz w:val="24"/>
          <w:szCs w:val="24"/>
          <w:color w:val="auto"/>
        </w:rPr>
      </w:pPr>
    </w:p>
    <w:p>
      <w:pPr>
        <w:sectPr>
          <w:pgSz w:w="11900" w:h="16838" w:orient="portrait"/>
          <w:cols w:equalWidth="0" w:num="2">
            <w:col w:w="4880" w:space="720"/>
            <w:col w:w="4619"/>
          </w:cols>
          <w:pgMar w:left="240" w:top="649" w:right="1440" w:bottom="1018"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undersigned registrant hereby amends its Quarterly Report on Form 10-Q</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 ended July 29, 2000 by adding under Item 2 thereof the following</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which was also previously disclosed in Note 7 to the Consolidated</w:t>
      </w:r>
    </w:p>
    <w:p>
      <w:pPr>
        <w:spacing w:after="0" w:line="238" w:lineRule="auto"/>
        <w:rPr>
          <w:sz w:val="20"/>
          <w:szCs w:val="20"/>
          <w:color w:val="auto"/>
        </w:rPr>
      </w:pPr>
      <w:r>
        <w:rPr>
          <w:rFonts w:ascii="Courier New" w:cs="Courier New" w:eastAsia="Courier New" w:hAnsi="Courier New"/>
          <w:sz w:val="18"/>
          <w:szCs w:val="18"/>
          <w:color w:val="auto"/>
        </w:rPr>
        <w:t>Financial Statements included in Item 1.</w:t>
      </w:r>
    </w:p>
    <w:p>
      <w:pPr>
        <w:sectPr>
          <w:pgSz w:w="11900" w:h="16838" w:orient="portrait"/>
          <w:cols w:equalWidth="0" w:num="1">
            <w:col w:w="10219"/>
          </w:cols>
          <w:pgMar w:left="240" w:top="649" w:right="1440" w:bottom="1018" w:gutter="0" w:footer="0" w:header="0"/>
          <w:type w:val="continuous"/>
        </w:sectPr>
      </w:pP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07" w:lineRule="exact"/>
        <w:rPr>
          <w:sz w:val="24"/>
          <w:szCs w:val="24"/>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(c). As of June 26, 2000, the Company issued 150,000 shares of Common Stock to David A. Levin, its President and Chief Executive Officer, in a private transaction exempt from registration under the Securities Act of 1933 pursuant to Section 4(2) thereof. In order to finance the purchase, the Company extended a loan to Mr. Levin for the aggregate purchase price of $196,875 and Mr. Levin delivered to the Company a secured promissory note for such amount, payable, with interest, on June 26, 2003 and secured by the Common Stock so purchased.</w:t>
      </w:r>
    </w:p>
    <w:p>
      <w:pPr>
        <w:sectPr>
          <w:pgSz w:w="11900" w:h="16838" w:orient="portrait"/>
          <w:cols w:equalWidth="0" w:num="1">
            <w:col w:w="10219"/>
          </w:cols>
          <w:pgMar w:left="240" w:top="649" w:right="1440" w:bottom="1018" w:gutter="0" w:footer="0" w:header="0"/>
          <w:type w:val="continuous"/>
        </w:sectPr>
      </w:pPr>
    </w:p>
    <w:bookmarkStart w:id="1" w:name="page2"/>
    <w:bookmarkEnd w:id="1"/>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5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18,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A. LEVIN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A. Levin, President,</w:t>
      </w:r>
    </w:p>
    <w:p>
      <w:pPr>
        <w:spacing w:after="0" w:line="238" w:lineRule="auto"/>
        <w:rPr>
          <w:sz w:val="20"/>
          <w:szCs w:val="20"/>
          <w:color w:val="auto"/>
        </w:rPr>
      </w:pPr>
      <w:r>
        <w:rPr>
          <w:rFonts w:ascii="Courier New" w:cs="Courier New" w:eastAsia="Courier New" w:hAnsi="Courier New"/>
          <w:sz w:val="18"/>
          <w:szCs w:val="18"/>
          <w:color w:val="auto"/>
        </w:rPr>
        <w:t>Chief Executive Officer and</w:t>
      </w:r>
    </w:p>
    <w:p>
      <w:pPr>
        <w:spacing w:after="0"/>
        <w:rPr>
          <w:sz w:val="20"/>
          <w:szCs w:val="20"/>
          <w:color w:val="auto"/>
        </w:rPr>
      </w:pPr>
      <w:r>
        <w:rPr>
          <w:rFonts w:ascii="Courier New" w:cs="Courier New" w:eastAsia="Courier New" w:hAnsi="Courier New"/>
          <w:sz w:val="18"/>
          <w:szCs w:val="18"/>
          <w:color w:val="auto"/>
        </w:rPr>
        <w:t>Director</w:t>
      </w:r>
    </w:p>
    <w:sectPr>
      <w:pgSz w:w="11900" w:h="16838" w:orient="portrait"/>
      <w:cols w:equalWidth="0" w:num="2">
        <w:col w:w="3920" w:space="720"/>
        <w:col w:w="5579"/>
      </w:cols>
      <w:pgMar w:left="240" w:top="54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78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2019-12-19T22:00:35Z</dcterms:created>
  <dcterms:modified xsi:type="dcterms:W3CDTF">2019-12-19T22:00:35Z</dcterms:modified>
</cp:coreProperties>
</file>