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177165</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October 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173990</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DESTINATION XL GROUP,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154940</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Arial" w:cs="Arial" w:eastAsia="Arial" w:hAnsi="Arial"/>
                <w:sz w:val="22"/>
                <w:szCs w:val="22"/>
                <w:b w:val="1"/>
                <w:bCs w:val="1"/>
                <w:color w:val="auto"/>
                <w:w w:val="91"/>
              </w:rPr>
              <w:t>Delaware</w:t>
            </w:r>
          </w:p>
        </w:tc>
        <w:tc>
          <w:tcPr>
            <w:tcW w:w="3740" w:type="dxa"/>
            <w:vAlign w:val="bottom"/>
          </w:tcPr>
          <w:p>
            <w:pPr>
              <w:jc w:val="right"/>
              <w:ind w:right="1532"/>
              <w:spacing w:after="0"/>
              <w:rPr>
                <w:sz w:val="20"/>
                <w:szCs w:val="20"/>
                <w:color w:val="auto"/>
              </w:rPr>
            </w:pPr>
            <w:r>
              <w:rPr>
                <w:rFonts w:ascii="Arial" w:cs="Arial" w:eastAsia="Arial" w:hAnsi="Arial"/>
                <w:sz w:val="22"/>
                <w:szCs w:val="22"/>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40" w:type="dxa"/>
            <w:vAlign w:val="bottom"/>
          </w:tcPr>
          <w:p>
            <w:pPr>
              <w:jc w:val="center"/>
              <w:ind w:right="878"/>
              <w:spacing w:after="0"/>
              <w:rPr>
                <w:sz w:val="20"/>
                <w:szCs w:val="20"/>
                <w:color w:val="auto"/>
              </w:rPr>
            </w:pPr>
            <w:r>
              <w:rPr>
                <w:rFonts w:ascii="Arial" w:cs="Arial" w:eastAsia="Arial" w:hAnsi="Arial"/>
                <w:sz w:val="14"/>
                <w:szCs w:val="14"/>
                <w:b w:val="1"/>
                <w:bCs w:val="1"/>
                <w:color w:val="auto"/>
                <w:w w:val="89"/>
              </w:rPr>
              <w:t>of Incorporation)</w:t>
            </w:r>
          </w:p>
        </w:tc>
        <w:tc>
          <w:tcPr>
            <w:tcW w:w="374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88"/>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40" w:type="dxa"/>
            <w:vAlign w:val="bottom"/>
          </w:tcPr>
          <w:p>
            <w:pPr>
              <w:jc w:val="center"/>
              <w:ind w:right="85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8"/>
          <w:szCs w:val="18"/>
          <w:b w:val="1"/>
          <w:bCs w:val="1"/>
          <w:color w:val="auto"/>
        </w:rPr>
        <w:t>(781) 828-9300</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150495</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7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2"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17780</wp:posOffset>
            </wp:positionV>
            <wp:extent cx="8890"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411480"/>
                    </a:xfrm>
                    <a:prstGeom prst="rect">
                      <a:avLst/>
                    </a:prstGeom>
                    <a:noFill/>
                  </pic:spPr>
                </pic:pic>
              </a:graphicData>
            </a:graphic>
          </wp:anchor>
        </w:drawing>
      </w:r>
    </w:p>
    <w:p>
      <w:pPr>
        <w:spacing w:after="0" w:line="2" w:lineRule="exact"/>
        <w:rPr>
          <w:sz w:val="24"/>
          <w:szCs w:val="24"/>
          <w:color w:val="auto"/>
        </w:rPr>
      </w:pPr>
    </w:p>
    <w:tbl>
      <w:tblPr>
        <w:tblLayout w:type="fixed"/>
        <w:tblInd w:w="10" w:type="dxa"/>
        <w:tblCellMar>
          <w:top w:w="0" w:type="dxa"/>
          <w:left w:w="0" w:type="dxa"/>
          <w:bottom w:w="0" w:type="dxa"/>
          <w:right w:w="0" w:type="dxa"/>
        </w:tblCellMar>
      </w:tblPr>
      <w:tr>
        <w:trPr>
          <w:trHeight w:val="304"/>
        </w:trPr>
        <w:tc>
          <w:tcPr>
            <w:tcW w:w="3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41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w w:val="91"/>
              </w:rPr>
              <w:t>Trading symbol(s)Name of each exchange on which registered</w:t>
            </w:r>
          </w:p>
        </w:tc>
      </w:tr>
      <w:tr>
        <w:trPr>
          <w:trHeight w:val="33"/>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210" w:type="dxa"/>
            <w:vAlign w:val="bottom"/>
            <w:tcBorders>
              <w:bottom w:val="single" w:sz="8" w:color="auto"/>
            </w:tcBorders>
          </w:tcPr>
          <w:p>
            <w:pPr>
              <w:spacing w:after="0"/>
              <w:rPr>
                <w:sz w:val="2"/>
                <w:szCs w:val="2"/>
                <w:color w:val="auto"/>
              </w:rPr>
            </w:pPr>
          </w:p>
        </w:tc>
        <w:tc>
          <w:tcPr>
            <w:tcW w:w="2910" w:type="dxa"/>
            <w:vAlign w:val="bottom"/>
            <w:tcBorders>
              <w:bottom w:val="single" w:sz="8" w:color="auto"/>
              <w:right w:val="single" w:sz="8" w:color="auto"/>
            </w:tcBorders>
          </w:tcPr>
          <w:p>
            <w:pPr>
              <w:spacing w:after="0"/>
              <w:rPr>
                <w:sz w:val="2"/>
                <w:szCs w:val="2"/>
                <w:color w:val="auto"/>
              </w:rPr>
            </w:pPr>
          </w:p>
        </w:tc>
      </w:tr>
      <w:tr>
        <w:trPr>
          <w:trHeight w:val="200"/>
        </w:trPr>
        <w:tc>
          <w:tcPr>
            <w:tcW w:w="3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$0.01 par value</w:t>
            </w:r>
          </w:p>
        </w:tc>
        <w:tc>
          <w:tcPr>
            <w:tcW w:w="1210" w:type="dxa"/>
            <w:vAlign w:val="bottom"/>
          </w:tcPr>
          <w:p>
            <w:pPr>
              <w:ind w:left="380"/>
              <w:spacing w:after="0"/>
              <w:rPr>
                <w:sz w:val="20"/>
                <w:szCs w:val="20"/>
                <w:color w:val="auto"/>
              </w:rPr>
            </w:pPr>
            <w:r>
              <w:rPr>
                <w:rFonts w:ascii="Arial" w:cs="Arial" w:eastAsia="Arial" w:hAnsi="Arial"/>
                <w:sz w:val="16"/>
                <w:szCs w:val="16"/>
                <w:color w:val="auto"/>
              </w:rPr>
              <w:t>DXLG</w:t>
            </w:r>
          </w:p>
        </w:tc>
        <w:tc>
          <w:tcPr>
            <w:tcW w:w="2910" w:type="dxa"/>
            <w:vAlign w:val="bottom"/>
            <w:tcBorders>
              <w:right w:val="single" w:sz="8" w:color="auto"/>
            </w:tcBorders>
          </w:tcPr>
          <w:p>
            <w:pPr>
              <w:ind w:left="470"/>
              <w:spacing w:after="0"/>
              <w:rPr>
                <w:sz w:val="20"/>
                <w:szCs w:val="20"/>
                <w:color w:val="auto"/>
              </w:rPr>
            </w:pPr>
            <w:r>
              <w:rPr>
                <w:rFonts w:ascii="Arial" w:cs="Arial" w:eastAsia="Arial" w:hAnsi="Arial"/>
                <w:sz w:val="16"/>
                <w:szCs w:val="16"/>
                <w:color w:val="auto"/>
              </w:rPr>
              <w:t>NASDAQ Stock Market LLC</w:t>
            </w:r>
          </w:p>
        </w:tc>
      </w:tr>
      <w:tr>
        <w:trPr>
          <w:trHeight w:val="64"/>
        </w:trPr>
        <w:tc>
          <w:tcPr>
            <w:tcW w:w="3020" w:type="dxa"/>
            <w:vAlign w:val="bottom"/>
            <w:tcBorders>
              <w:left w:val="single" w:sz="8" w:color="auto"/>
              <w:bottom w:val="single" w:sz="8" w:color="auto"/>
              <w:right w:val="single" w:sz="8" w:color="auto"/>
            </w:tcBorders>
          </w:tcPr>
          <w:p>
            <w:pPr>
              <w:spacing w:after="0"/>
              <w:rPr>
                <w:sz w:val="5"/>
                <w:szCs w:val="5"/>
                <w:color w:val="auto"/>
              </w:rPr>
            </w:pPr>
          </w:p>
        </w:tc>
        <w:tc>
          <w:tcPr>
            <w:tcW w:w="1210" w:type="dxa"/>
            <w:vAlign w:val="bottom"/>
            <w:tcBorders>
              <w:bottom w:val="single" w:sz="8" w:color="auto"/>
            </w:tcBorders>
          </w:tcPr>
          <w:p>
            <w:pPr>
              <w:spacing w:after="0"/>
              <w:rPr>
                <w:sz w:val="5"/>
                <w:szCs w:val="5"/>
                <w:color w:val="auto"/>
              </w:rPr>
            </w:pPr>
          </w:p>
        </w:tc>
        <w:tc>
          <w:tcPr>
            <w:tcW w:w="2910" w:type="dxa"/>
            <w:vAlign w:val="bottom"/>
            <w:tcBorders>
              <w:bottom w:val="single" w:sz="8" w:color="auto"/>
              <w:right w:val="single" w:sz="8" w:color="auto"/>
            </w:tcBorders>
          </w:tcPr>
          <w:p>
            <w:pPr>
              <w:spacing w:after="0"/>
              <w:rPr>
                <w:sz w:val="5"/>
                <w:szCs w:val="5"/>
                <w:color w:val="auto"/>
              </w:rPr>
            </w:pPr>
          </w:p>
        </w:tc>
      </w:tr>
    </w:tbl>
    <w:p>
      <w:pPr>
        <w:spacing w:after="0" w:line="9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1" w:name="page2"/>
    <w:bookmarkEnd w:id="1"/>
    <w:p>
      <w:pPr>
        <w:ind w:right="1200"/>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69"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On October 2, 2019, Destination XL Group, Inc. (the “Company”) announced that it will eliminate the position of Chief Operating Officer, the position held by Brian S. Reaves, who was a Named Executive Officer of the Company, effective October 4, 2019. The elimination of this position is part of the Company’s continuing efforts to streamline operations and align with the Company’s current business initiatives. Mr. Reaves’s separation is without cause and he is entitled to receive severance pursuant to his Second Amended and Restated Employment Agreement with the Company dated October 8, 2018.</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68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60" w:val="left"/>
          <w:tab w:leader="none" w:pos="5880" w:val="left"/>
          <w:tab w:leader="none" w:pos="81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October 2, 2019</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7620</wp:posOffset>
            </wp:positionV>
            <wp:extent cx="30016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jc w:val="center"/>
        <w:ind w:left="6660"/>
        <w:spacing w:after="0"/>
        <w:rPr>
          <w:sz w:val="20"/>
          <w:szCs w:val="20"/>
          <w:color w:val="auto"/>
        </w:rPr>
      </w:pPr>
      <w:r>
        <w:rPr>
          <w:rFonts w:ascii="Arial" w:cs="Arial" w:eastAsia="Arial" w:hAnsi="Arial"/>
          <w:sz w:val="14"/>
          <w:szCs w:val="14"/>
          <w:b w:val="1"/>
          <w:bCs w:val="1"/>
          <w:color w:val="auto"/>
        </w:rPr>
        <w:t>Robert S. Molloy</w:t>
      </w:r>
    </w:p>
    <w:p>
      <w:pPr>
        <w:jc w:val="center"/>
        <w:ind w:left="6660"/>
        <w:spacing w:after="0"/>
        <w:rPr>
          <w:sz w:val="20"/>
          <w:szCs w:val="20"/>
          <w:color w:val="auto"/>
        </w:rPr>
      </w:pPr>
      <w:r>
        <w:rPr>
          <w:rFonts w:ascii="Arial" w:cs="Arial" w:eastAsia="Arial" w:hAnsi="Arial"/>
          <w:sz w:val="13"/>
          <w:szCs w:val="13"/>
          <w:b w:val="1"/>
          <w:bCs w:val="1"/>
          <w:color w:val="auto"/>
        </w:rPr>
        <w:t>Senior Vice President, Chief Administrative Officer, General Counsel and</w:t>
      </w:r>
    </w:p>
    <w:p>
      <w:pPr>
        <w:jc w:val="center"/>
        <w:ind w:left="6660"/>
        <w:spacing w:after="0"/>
        <w:rPr>
          <w:sz w:val="20"/>
          <w:szCs w:val="20"/>
          <w:color w:val="auto"/>
        </w:rPr>
      </w:pPr>
      <w:r>
        <w:rPr>
          <w:rFonts w:ascii="Arial" w:cs="Arial" w:eastAsia="Arial" w:hAnsi="Arial"/>
          <w:sz w:val="14"/>
          <w:szCs w:val="14"/>
          <w:b w:val="1"/>
          <w:bCs w:val="1"/>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w:t>
      </w:r>
    </w:p>
    <w:sectPr>
      <w:pgSz w:w="11900" w:h="16838" w:orient="portrait"/>
      <w:cols w:equalWidth="0" w:num="1">
        <w:col w:w="11300"/>
      </w:cols>
      <w:pgMar w:left="240" w:top="35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2019-12-04T21:24:59Z</dcterms:created>
  <dcterms:modified xsi:type="dcterms:W3CDTF">2019-12-04T21:24:59Z</dcterms:modified>
</cp:coreProperties>
</file>