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SCHEDULE 14A</w:t>
      </w:r>
    </w:p>
    <w:p>
      <w:pPr>
        <w:jc w:val="center"/>
        <w:ind w:right="3679"/>
        <w:spacing w:after="0" w:line="238" w:lineRule="auto"/>
        <w:rPr>
          <w:sz w:val="20"/>
          <w:szCs w:val="20"/>
          <w:color w:val="auto"/>
        </w:rPr>
      </w:pPr>
      <w:r>
        <w:rPr>
          <w:rFonts w:ascii="Courier New" w:cs="Courier New" w:eastAsia="Courier New" w:hAnsi="Courier New"/>
          <w:sz w:val="18"/>
          <w:szCs w:val="18"/>
          <w:color w:val="auto"/>
        </w:rPr>
        <w:t>(Rule 14a-101)</w:t>
      </w:r>
    </w:p>
    <w:p>
      <w:pPr>
        <w:ind w:left="1280"/>
        <w:spacing w:after="0"/>
        <w:rPr>
          <w:sz w:val="20"/>
          <w:szCs w:val="20"/>
          <w:color w:val="auto"/>
        </w:rPr>
      </w:pPr>
      <w:r>
        <w:rPr>
          <w:rFonts w:ascii="Courier New" w:cs="Courier New" w:eastAsia="Courier New" w:hAnsi="Courier New"/>
          <w:sz w:val="18"/>
          <w:szCs w:val="18"/>
          <w:color w:val="auto"/>
        </w:rPr>
        <w:t>INFORMATION REQUIRED IN PROXY STATEMENT</w:t>
      </w:r>
    </w:p>
    <w:p>
      <w:pPr>
        <w:ind w:left="1900"/>
        <w:spacing w:after="0" w:line="237" w:lineRule="auto"/>
        <w:rPr>
          <w:sz w:val="20"/>
          <w:szCs w:val="20"/>
          <w:color w:val="auto"/>
        </w:rPr>
      </w:pPr>
      <w:r>
        <w:rPr>
          <w:rFonts w:ascii="Courier New" w:cs="Courier New" w:eastAsia="Courier New" w:hAnsi="Courier New"/>
          <w:sz w:val="18"/>
          <w:szCs w:val="18"/>
          <w:color w:val="auto"/>
        </w:rPr>
        <w:t>SCHEDULE 14A INFORMATION</w:t>
      </w:r>
    </w:p>
    <w:p>
      <w:pPr>
        <w:ind w:left="960"/>
        <w:spacing w:after="0" w:line="238" w:lineRule="auto"/>
        <w:rPr>
          <w:sz w:val="20"/>
          <w:szCs w:val="20"/>
          <w:color w:val="auto"/>
        </w:rPr>
      </w:pPr>
      <w:r>
        <w:rPr>
          <w:rFonts w:ascii="Courier New" w:cs="Courier New" w:eastAsia="Courier New" w:hAnsi="Courier New"/>
          <w:sz w:val="18"/>
          <w:szCs w:val="18"/>
          <w:color w:val="auto"/>
        </w:rPr>
        <w:t>Proxy Statement Pursuant to Section 14(a) of the</w:t>
      </w:r>
    </w:p>
    <w:p>
      <w:pPr>
        <w:ind w:left="190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Preliminary proxy statement</w:t>
      </w:r>
    </w:p>
    <w:p>
      <w:pPr>
        <w:spacing w:after="0" w:line="207" w:lineRule="exact"/>
        <w:rPr>
          <w:sz w:val="24"/>
          <w:szCs w:val="24"/>
          <w:color w:val="auto"/>
        </w:rPr>
      </w:pPr>
    </w:p>
    <w:p>
      <w:pPr>
        <w:ind w:left="540" w:right="273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Confidential, for use of the Commission Only (as permitted by Rule 14a-6(e)(2)</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Rule 14a-11(c) or Rule 14a-12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DESIGNS, INC.</w:t>
      </w:r>
    </w:p>
    <w:p>
      <w:pPr>
        <w:ind w:left="1160"/>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JEWELCOR MANAGEMENT, INC.</w:t>
      </w:r>
    </w:p>
    <w:p>
      <w:pPr>
        <w:ind w:left="220"/>
        <w:spacing w:after="0" w:line="238" w:lineRule="auto"/>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14a-6(i)(1) and 0-11.</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right="231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In a conversation with Mr. Charles Will, a shareholder of the Company, Seymour Holtzman stated that he personally believed that, as a general matter, significant shareholders should have representation on a Company's Board of</w:t>
      </w:r>
    </w:p>
    <w:p>
      <w:pPr>
        <w:sectPr>
          <w:pgSz w:w="11900" w:h="16857" w:orient="portrait"/>
          <w:cols w:equalWidth="0" w:num="1">
            <w:col w:w="10219"/>
          </w:cols>
          <w:pgMar w:left="240" w:top="649" w:right="1440" w:bottom="0" w:gutter="0" w:footer="0" w:header="0"/>
        </w:sectPr>
      </w:pPr>
    </w:p>
    <w:bookmarkStart w:id="1" w:name="page2"/>
    <w:bookmarkEnd w:id="1"/>
    <w:p>
      <w:pPr>
        <w:ind w:right="1999"/>
        <w:spacing w:after="0" w:line="237" w:lineRule="auto"/>
        <w:rPr>
          <w:sz w:val="20"/>
          <w:szCs w:val="20"/>
          <w:color w:val="auto"/>
        </w:rPr>
      </w:pPr>
      <w:r>
        <w:rPr>
          <w:rFonts w:ascii="Courier New" w:cs="Courier New" w:eastAsia="Courier New" w:hAnsi="Courier New"/>
          <w:sz w:val="18"/>
          <w:szCs w:val="18"/>
          <w:color w:val="auto"/>
        </w:rPr>
        <w:t>Directors. Mr. Holtzman further stated that, if the JMI Nominees are elected, he would talk to the JMI Nominees about the possibility of appointing Mr. Will as a director of the Company. No arrangement or understanding has been reached in that regard.</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2020-02-22T16:44:13Z</dcterms:created>
  <dcterms:modified xsi:type="dcterms:W3CDTF">2020-02-22T16:44:13Z</dcterms:modified>
</cp:coreProperties>
</file>