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343535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On May 20, 2016, Destination XL Group, Inc. (the “Company”) issued a press release announcing the Company’s operating results for the first quarter of fiscal 2016. A copy of this press release is attached hereto as Exhibit 99.1.</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An audio webcast to discuss the Company’s operating results for the first quarter of fiscal 2016 will be held today, May 20, 2016, at 9:00 a.m. EDT. Interested parties can access the webcast and accompanying slide presentation on the Company's website at www.destinationxl.com under the Investor Relations section.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4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464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630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on May 20,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46" w:right="2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20, 2016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CONTACT: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Jeff Unger</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(561) 482-9715</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Destination XL Group, Inc. Reports First-Quarter 2016 Financial Results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+5.8% DXL Comparable Store Sales Increase, Building On +8.7% Comp Increase in First Quarter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Company Affirms Sales and Earnings Guidance for Fiscal 2016</w:t>
      </w:r>
    </w:p>
    <w:p>
      <w:pPr>
        <w:spacing w:after="0" w:line="15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 xml:space="preserve">CANTON, Mass., May 20, 2016 – </w:t>
      </w:r>
      <w:r>
        <w:rPr>
          <w:rFonts w:ascii="Arial" w:cs="Arial" w:eastAsia="Arial" w:hAnsi="Arial"/>
          <w:sz w:val="20"/>
          <w:szCs w:val="20"/>
          <w:u w:val="single" w:color="auto"/>
          <w:color w:val="auto"/>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first quarter of fiscal 2016.</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2016 Highlights</w:t>
      </w:r>
    </w:p>
    <w:p>
      <w:pPr>
        <w:spacing w:after="0" w:line="154" w:lineRule="exact"/>
        <w:rPr>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increased +2.0% versus +5.5% in prior-year quarter</w:t>
      </w:r>
    </w:p>
    <w:p>
      <w:pPr>
        <w:spacing w:after="0" w:line="15" w:lineRule="exact"/>
        <w:rPr>
          <w:rFonts w:ascii="Arial" w:cs="Arial" w:eastAsia="Arial" w:hAnsi="Arial"/>
          <w:sz w:val="20"/>
          <w:szCs w:val="20"/>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144 DXL retail stores, open at least 13 months, had a +5.8% comparable sales increase on top of +8.7% in the prior-year quarter</w:t>
      </w:r>
    </w:p>
    <w:p>
      <w:pPr>
        <w:spacing w:after="0" w:line="22"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of $0.2 million versus net loss of $(0.6) million in the prior-year quarter</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EBITDA of $8.4 million versus $6.8 million in the prior-year quarter</w:t>
      </w:r>
    </w:p>
    <w:p>
      <w:pPr>
        <w:ind w:left="880" w:right="540" w:hanging="440"/>
        <w:spacing w:after="0" w:line="244"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Sales per square foot for the DXL retail stores, on a rolling 12-month basis, were $179, compared with $168 for the prior-year quarter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“Our first-quarter results demonstrate the continued strength of the DXL concept, which drove solid growth in sales and profitability even as persistent cooler weather affected much of the retail apparel industry,” said President and CEO David Levin. “Our DXL retail stores delivered a sales comp of 5.8% on top of 8.7% in the first quarter last year. These results prove, once again, that the DXL operating model delivers stable and consistent increases in both sales and profitability.</w:t>
      </w:r>
    </w:p>
    <w:p>
      <w:pPr>
        <w:spacing w:after="0" w:line="205"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“Our marketing campaign for the spring season kicked off with the NFL draft on April 28 and will run through Father’s Day in June,” Levin added. “We continue to realize efficiencies in our marketing spend, which has allowed us to reduce advertising and promotion gradually, both in real dollars and as a percentage of sales. Our overall higher level of awareness has led to a 6.9% increase in our Casual Male customer conversion rate to DXL, while also raising the end-of-rack customer’s share of our bottoms business to 43.2%.</w:t>
      </w:r>
    </w:p>
    <w:p>
      <w:pPr>
        <w:spacing w:after="0" w:line="190"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“Despite a slow start in certain warm weather categories, we remain upbeat in our outlook for 2016. Our customer is a need-based shopper whose behavior is directly influenced by the changing seasons. We are confident in our merchandise assortments, and we expect sales growth to improve in the second quarter with the arrival of a consistent, warmer weather pattern, which will drive traffic to both our stores and website,” Levin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First-Quarter 2016 Results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first quarter of fiscal 2016, total sales rose 3.3% to $107.9 million from $104.4 million in the first quarter of fiscal 2015. The increase of $3.5 million in total sales was primarily driven by a comparable sales increase of $2.9 million, or 5.8%, from our DXL stores. On a comparable basis, total transactions in the Company’s DXL stores were up 3.4% over the prior-year first quarter.</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For the first quarter of fiscal 2016, gross margin, inclusive of occupancy costs, was 46.1%, compared with gross margin of 46.2% for the first quarter of fiscal 2015. The decrease of 10 basis points was the result of a 10-basis-point increase in occupancy costs as a percentage of total sales. Merchandise margins remained flat with last year’s first quarter.</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SG&amp;A expenses for the first quarter of fiscal 2016 were 38.3% of sales, compared with 39.7% in the first quarter of fiscal 2015. On a dollar basis, SG&amp;A expense declined $100,000 from the same quarter a year ago. Increased store payroll expenses were more than offset by declines in store opening expenses and advertising expense.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w:t>
      </w:r>
    </w:p>
    <w:p>
      <w:pPr>
        <w:spacing w:after="0" w:line="108"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Earnings before interest, taxes, depreciation and amortization (EBITDA), a non-GAAP measure, for the first quarter of fiscal 2016 were $8.4 million, compared with $6.8 million for the first quarter of fiscal 2015. The improvement was primarily driven by an increase in sales from the same quarter of the prior year.</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48"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Net income for the first quarter of fiscal 2016 was $0.2 million, or $0.00 per diluted share, compared with a net loss of $(0.6) million, or $(0.01) per diluted share, for the first quarter of fiscal 2015. On a non-GAAP basis, assuming a normalized tax rate of 40%, adjusted net income (loss) for the first quarter of fiscal 2016 and fiscal 2015 was $0.00 per diluted share and $(0.01) per diluted share,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3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Cash Flow used for operations for the first quarter of fiscal 2016 was $(5.0) million, compared with cash flow used for operations of $(8.0) million for the first quarter of fiscal 2015. Capital expenditures for the first three months of fiscal 2016 of $6.1 million consisted of $4.6 million for new DXL stores and $1.5 million for infrastructure projects. Capital expenditures for the first quarter of fiscal 2015 of $9.6 million consisted of $7.3 million for new DXL stores and $2.3 million for infrastructure projects. Free cash flow, before DXL capital expenditures, a non-GAAP measure, improved $3.7 million from the first quarter of fiscal 2015. Certain amounts in the following table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3"/>
          </w:tcPr>
          <w:p>
            <w:pPr>
              <w:ind w:left="1180"/>
              <w:spacing w:after="0"/>
              <w:rPr>
                <w:sz w:val="20"/>
                <w:szCs w:val="20"/>
                <w:color w:val="auto"/>
              </w:rPr>
            </w:pPr>
            <w:r>
              <w:rPr>
                <w:rFonts w:ascii="Arial" w:cs="Arial" w:eastAsia="Arial" w:hAnsi="Arial"/>
                <w:sz w:val="14"/>
                <w:szCs w:val="14"/>
                <w:color w:val="auto"/>
                <w:w w:val="92"/>
              </w:rPr>
              <w:t>For the three months ended</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April 30, 2016</w:t>
            </w:r>
          </w:p>
        </w:tc>
        <w:tc>
          <w:tcPr>
            <w:tcW w:w="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May 2, 2015</w:t>
            </w:r>
          </w:p>
        </w:tc>
        <w:tc>
          <w:tcPr>
            <w:tcW w:w="100" w:type="dxa"/>
            <w:vAlign w:val="bottom"/>
          </w:tcPr>
          <w:p>
            <w:pPr>
              <w:spacing w:after="0"/>
              <w:rPr>
                <w:sz w:val="14"/>
                <w:szCs w:val="14"/>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2160" w:type="dxa"/>
            <w:vAlign w:val="bottom"/>
            <w:gridSpan w:val="2"/>
          </w:tcPr>
          <w:p>
            <w:pPr>
              <w:jc w:val="right"/>
              <w:ind w:right="300"/>
              <w:spacing w:after="0"/>
              <w:rPr>
                <w:sz w:val="20"/>
                <w:szCs w:val="20"/>
                <w:color w:val="auto"/>
              </w:rPr>
            </w:pPr>
            <w:r>
              <w:rPr>
                <w:rFonts w:ascii="Arial" w:cs="Arial" w:eastAsia="Arial" w:hAnsi="Arial"/>
                <w:sz w:val="16"/>
                <w:szCs w:val="16"/>
                <w:color w:val="auto"/>
              </w:rPr>
              <w:t>(5.0)</w:t>
            </w:r>
          </w:p>
        </w:tc>
        <w:tc>
          <w:tcPr>
            <w:tcW w:w="640" w:type="dxa"/>
            <w:vAlign w:val="bottom"/>
          </w:tcPr>
          <w:p>
            <w:pPr>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36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(1.5)</w:t>
            </w:r>
          </w:p>
        </w:tc>
        <w:tc>
          <w:tcPr>
            <w:tcW w:w="6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w:t>
            </w:r>
          </w:p>
        </w:tc>
      </w:tr>
      <w:tr>
        <w:trPr>
          <w:trHeight w:val="20"/>
        </w:trPr>
        <w:tc>
          <w:tcPr>
            <w:tcW w:w="6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tcPr>
          <w:p>
            <w:pPr>
              <w:ind w:left="120"/>
              <w:spacing w:after="0"/>
              <w:rPr>
                <w:sz w:val="20"/>
                <w:szCs w:val="20"/>
                <w:color w:val="auto"/>
              </w:rPr>
            </w:pPr>
            <w:r>
              <w:rPr>
                <w:rFonts w:ascii="Arial" w:cs="Arial" w:eastAsia="Arial" w:hAnsi="Arial"/>
                <w:sz w:val="14"/>
                <w:szCs w:val="14"/>
                <w:color w:val="auto"/>
              </w:rPr>
              <w:t>Free Cash Flow, before DXL capital expenditures</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(6.5)</w:t>
            </w:r>
          </w:p>
        </w:tc>
        <w:tc>
          <w:tcPr>
            <w:tcW w:w="640" w:type="dxa"/>
            <w:vAlign w:val="bottom"/>
          </w:tcPr>
          <w:p>
            <w:pPr>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(10.2)</w:t>
            </w: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6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(4.6)</w:t>
            </w:r>
          </w:p>
        </w:tc>
        <w:tc>
          <w:tcPr>
            <w:tcW w:w="6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w:t>
            </w:r>
          </w:p>
        </w:tc>
      </w:tr>
      <w:tr>
        <w:trPr>
          <w:trHeight w:val="20"/>
        </w:trPr>
        <w:tc>
          <w:tcPr>
            <w:tcW w:w="6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2160" w:type="dxa"/>
            <w:vAlign w:val="bottom"/>
            <w:gridSpan w:val="2"/>
          </w:tcPr>
          <w:p>
            <w:pPr>
              <w:jc w:val="right"/>
              <w:ind w:right="300"/>
              <w:spacing w:after="0"/>
              <w:rPr>
                <w:sz w:val="20"/>
                <w:szCs w:val="20"/>
                <w:color w:val="auto"/>
              </w:rPr>
            </w:pPr>
            <w:r>
              <w:rPr>
                <w:rFonts w:ascii="Arial" w:cs="Arial" w:eastAsia="Arial" w:hAnsi="Arial"/>
                <w:sz w:val="16"/>
                <w:szCs w:val="16"/>
                <w:color w:val="auto"/>
              </w:rPr>
              <w:t>(11.1)</w:t>
            </w:r>
          </w:p>
        </w:tc>
        <w:tc>
          <w:tcPr>
            <w:tcW w:w="640" w:type="dxa"/>
            <w:vAlign w:val="bottom"/>
          </w:tcPr>
          <w:p>
            <w:pPr>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(17.5)</w:t>
            </w:r>
          </w:p>
        </w:tc>
      </w:tr>
      <w:tr>
        <w:trPr>
          <w:trHeight w:val="20"/>
        </w:trPr>
        <w:tc>
          <w:tcPr>
            <w:tcW w:w="6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We believe it is important to distinguish between capital expenditures for DXL stores, which is a discretionary investment, and capital expenditures for infrastructure projects. Capital expenditures on all new DXL stores are subject to demanding ROIC (“Return on Invested Capital”) hurdles, and the achievement of these hurdles has been a significant contributor to our continued improvement in EBITDA. We believe free cash flow before DXL capital expenditures is an important metric, because it demonstrates our ability to strengthen liquidity while also contributing to the funding of DXL store growth.</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3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EBITDA, adjusted net income (loss) per share, free cash flow and free cash flow before DXL capital expenditures are non-GAAP financial measures. Please see “Non-GAAP Measures” below and a reconciliation of these non-GAAP measures to the comparable GAAP measures that follows the table below.</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4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At April 30, 2016, the Company had cash and cash equivalents of $5.9 million. Total debt at April 30, 2016 was $79.9 million. Total debt consisted of $55.7 million outstanding under the Company’s credit facility, net of unamortized debt issuance costs, and approximately $24.2 million outstanding under its term loan and equipment financing notes, net of unamortized debt issuance costs. At April 30, 2016, the Company had $55.0 million of excess availability under its credit facility.</w:t>
      </w:r>
    </w:p>
    <w:p>
      <w:pPr>
        <w:spacing w:after="0" w:line="110"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Inventory was $125.8 million at April 30, 2016, compared with $125.0 million at January 30, 2016 and $123.8 million at May 2, 2015. The increase in inventory compared with both year end and last year’s first quarter is due to an increase in total store square footage and the higher mix of branded product, as a result of having more DXL stores open. Clearance inventory represented 8.7% of total inventory in the first quarter of fiscal 2016, compared with 8.2% of total inventory in the first quarter of fiscal 2015.</w:t>
      </w:r>
    </w:p>
    <w:p>
      <w:pPr>
        <w:spacing w:after="0" w:line="10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Company is reviewing its inventory management procedures and is making several changes to streamline operations at its distribution center, including tighter controls over the number of merchandise weeks of supply and improvements in inventory receipt flow. The Company believes an optimized inventory structure will improve its working capital position by at least $5.0 million in fiscal 2016 without jeopardizing sales from out-of-stock positions.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For the first quarter of fiscal 2016, the Company opened 5 new DXL stores, which included 1 outlet: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320" w:type="dxa"/>
            <w:vAlign w:val="bottom"/>
            <w:gridSpan w:val="4"/>
          </w:tcPr>
          <w:p>
            <w:pPr>
              <w:ind w:left="560"/>
              <w:spacing w:after="0"/>
              <w:rPr>
                <w:sz w:val="20"/>
                <w:szCs w:val="20"/>
                <w:color w:val="auto"/>
              </w:rPr>
            </w:pPr>
            <w:r>
              <w:rPr>
                <w:rFonts w:ascii="Arial" w:cs="Arial" w:eastAsia="Arial" w:hAnsi="Arial"/>
                <w:sz w:val="18"/>
                <w:szCs w:val="18"/>
                <w:color w:val="auto"/>
              </w:rPr>
              <w:t>Year End 2014</w:t>
            </w:r>
          </w:p>
        </w:tc>
        <w:tc>
          <w:tcPr>
            <w:tcW w:w="2320" w:type="dxa"/>
            <w:vAlign w:val="bottom"/>
            <w:gridSpan w:val="4"/>
          </w:tcPr>
          <w:p>
            <w:pPr>
              <w:ind w:left="560"/>
              <w:spacing w:after="0"/>
              <w:rPr>
                <w:sz w:val="20"/>
                <w:szCs w:val="20"/>
                <w:color w:val="auto"/>
              </w:rPr>
            </w:pPr>
            <w:r>
              <w:rPr>
                <w:rFonts w:ascii="Arial" w:cs="Arial" w:eastAsia="Arial" w:hAnsi="Arial"/>
                <w:sz w:val="18"/>
                <w:szCs w:val="18"/>
                <w:color w:val="auto"/>
              </w:rPr>
              <w:t>Year End 2015</w:t>
            </w:r>
          </w:p>
        </w:tc>
        <w:tc>
          <w:tcPr>
            <w:tcW w:w="2240" w:type="dxa"/>
            <w:vAlign w:val="bottom"/>
            <w:gridSpan w:val="4"/>
          </w:tcPr>
          <w:p>
            <w:pPr>
              <w:ind w:left="420"/>
              <w:spacing w:after="0"/>
              <w:rPr>
                <w:sz w:val="20"/>
                <w:szCs w:val="20"/>
                <w:color w:val="auto"/>
              </w:rPr>
            </w:pPr>
            <w:r>
              <w:rPr>
                <w:rFonts w:ascii="Arial" w:cs="Arial" w:eastAsia="Arial" w:hAnsi="Arial"/>
                <w:sz w:val="18"/>
                <w:szCs w:val="18"/>
                <w:color w:val="auto"/>
              </w:rPr>
              <w:t>At April 30, 2016</w:t>
            </w:r>
          </w:p>
        </w:tc>
        <w:tc>
          <w:tcPr>
            <w:tcW w:w="2240" w:type="dxa"/>
            <w:vAlign w:val="bottom"/>
            <w:gridSpan w:val="4"/>
          </w:tcPr>
          <w:p>
            <w:pPr>
              <w:ind w:left="460"/>
              <w:spacing w:after="0"/>
              <w:rPr>
                <w:sz w:val="20"/>
                <w:szCs w:val="20"/>
                <w:color w:val="auto"/>
              </w:rPr>
            </w:pPr>
            <w:r>
              <w:rPr>
                <w:rFonts w:ascii="Arial" w:cs="Arial" w:eastAsia="Arial" w:hAnsi="Arial"/>
                <w:sz w:val="18"/>
                <w:szCs w:val="18"/>
                <w:color w:val="auto"/>
              </w:rPr>
              <w:t>Year End 2016E</w:t>
            </w:r>
          </w:p>
        </w:tc>
      </w:tr>
      <w:tr>
        <w:trPr>
          <w:trHeight w:val="215"/>
        </w:trPr>
        <w:tc>
          <w:tcPr>
            <w:tcW w:w="2300" w:type="dxa"/>
            <w:vAlign w:val="bottom"/>
            <w:shd w:val="clear" w:color="auto" w:fill="CFF0FC"/>
          </w:tcPr>
          <w:p>
            <w:pPr>
              <w:spacing w:after="0"/>
              <w:rPr>
                <w:sz w:val="18"/>
                <w:szCs w:val="18"/>
                <w:color w:val="auto"/>
              </w:rPr>
            </w:pPr>
          </w:p>
        </w:tc>
        <w:tc>
          <w:tcPr>
            <w:tcW w:w="8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9"/>
              </w:rPr>
              <w:t># of</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87"/>
              </w:rPr>
              <w:t>Sq Ft.</w:t>
            </w:r>
          </w:p>
        </w:tc>
        <w:tc>
          <w:tcPr>
            <w:tcW w:w="1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 of</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Sq Ft.</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r>
      <w:tr>
        <w:trPr>
          <w:trHeight w:val="230"/>
        </w:trPr>
        <w:tc>
          <w:tcPr>
            <w:tcW w:w="2300" w:type="dxa"/>
            <w:vAlign w:val="bottom"/>
            <w:shd w:val="clear" w:color="auto" w:fill="CFF0FC"/>
          </w:tcPr>
          <w:p>
            <w:pPr>
              <w:spacing w:after="0"/>
              <w:rPr>
                <w:sz w:val="20"/>
                <w:szCs w:val="20"/>
                <w:color w:val="auto"/>
              </w:rPr>
            </w:pPr>
          </w:p>
        </w:tc>
        <w:tc>
          <w:tcPr>
            <w:tcW w:w="8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8"/>
              </w:rPr>
              <w:t>Stores</w:t>
            </w:r>
          </w:p>
        </w:tc>
        <w:tc>
          <w:tcPr>
            <w:tcW w:w="4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0"/>
              </w:rPr>
              <w:t>(000’s)</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Stores</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(000’s)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DXL retail</w:t>
            </w:r>
          </w:p>
        </w:tc>
        <w:tc>
          <w:tcPr>
            <w:tcW w:w="8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3"/>
              </w:rPr>
              <w:t>138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157</w:t>
            </w: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3"/>
              </w:rPr>
              <w:t>353</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2016 Outlook</w:t>
      </w:r>
    </w:p>
    <w:p>
      <w:pPr>
        <w:spacing w:after="0" w:line="154"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The Company's current sales and earnings guidance for fiscal 2016 is still within the original guidance previously provided. In addition, as a result of its plan to actively increase inventory turnover, the Company has raised its cash flow guidance. The Company now expects:</w:t>
      </w:r>
    </w:p>
    <w:p>
      <w:pPr>
        <w:spacing w:after="0" w:line="49" w:lineRule="exact"/>
        <w:rPr>
          <w:sz w:val="20"/>
          <w:szCs w:val="20"/>
          <w:color w:val="auto"/>
        </w:rPr>
      </w:pPr>
    </w:p>
    <w:p>
      <w:pPr>
        <w:ind w:left="880" w:hanging="440"/>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sales in the range of $465.0 to $472.0 million (unchanged).</w:t>
      </w:r>
    </w:p>
    <w:p>
      <w:pPr>
        <w:spacing w:after="0" w:line="175" w:lineRule="exact"/>
        <w:rPr>
          <w:rFonts w:ascii="Arial" w:cs="Arial" w:eastAsia="Arial" w:hAnsi="Arial"/>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A total comparable sales increase in the range of 4.8% to 5.5% (unchanged).</w:t>
      </w:r>
    </w:p>
    <w:p>
      <w:pPr>
        <w:spacing w:after="0" w:line="17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margin in the range of 46.2% to 46.5% (unchanged).</w:t>
      </w:r>
    </w:p>
    <w:p>
      <w:pPr>
        <w:spacing w:after="0" w:line="17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EBITDA in the range of $31.0 to $35.0 million (unchanged).</w:t>
      </w:r>
    </w:p>
    <w:p>
      <w:pPr>
        <w:spacing w:after="0" w:line="175" w:lineRule="exact"/>
        <w:rPr>
          <w:rFonts w:ascii="Arial" w:cs="Arial" w:eastAsia="Arial" w:hAnsi="Arial"/>
          <w:sz w:val="18"/>
          <w:szCs w:val="18"/>
          <w:color w:val="auto"/>
        </w:rPr>
      </w:pPr>
    </w:p>
    <w:p>
      <w:pPr>
        <w:ind w:left="880" w:right="80" w:hanging="440"/>
        <w:spacing w:after="0" w:line="328" w:lineRule="auto"/>
        <w:tabs>
          <w:tab w:leader="none" w:pos="880" w:val="left"/>
        </w:tabs>
        <w:numPr>
          <w:ilvl w:val="0"/>
          <w:numId w:val="3"/>
        </w:numPr>
        <w:rPr>
          <w:rFonts w:ascii="Arial" w:cs="Arial" w:eastAsia="Arial" w:hAnsi="Arial"/>
          <w:sz w:val="15"/>
          <w:szCs w:val="15"/>
          <w:color w:val="auto"/>
        </w:rPr>
      </w:pPr>
      <w:r>
        <w:rPr>
          <w:rFonts w:ascii="Arial" w:cs="Arial" w:eastAsia="Arial" w:hAnsi="Arial"/>
          <w:sz w:val="16"/>
          <w:szCs w:val="16"/>
          <w:color w:val="auto"/>
        </w:rPr>
        <w:t>A net loss of $(0.09) per diluted share to breakeven (unchanged). On a non-GAAP basis, an adjusted net loss of $(0.05) per diluted share to breakeven (unchanged). This guidance is presented on a non-GAAP basis for comparative purposes to fiscal 2015 earnings, assuming a normal tax benefit of approximately 40%. The Company expects to continue to provide a full valuation allowance against its deferred tax assets in fiscal 2016 and will not recognize any income tax benefit on its operating loss in fiscal 2016.</w:t>
      </w:r>
    </w:p>
    <w:p>
      <w:pPr>
        <w:spacing w:after="0" w:line="88" w:lineRule="exact"/>
        <w:rPr>
          <w:rFonts w:ascii="Arial" w:cs="Arial" w:eastAsia="Arial" w:hAnsi="Arial"/>
          <w:sz w:val="15"/>
          <w:szCs w:val="15"/>
          <w:color w:val="auto"/>
        </w:rPr>
      </w:pPr>
    </w:p>
    <w:p>
      <w:pPr>
        <w:ind w:left="880" w:right="560" w:hanging="440"/>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 open approximately 28 DXL retail and 3 DXL outlet stores and close approximately 26 Casual Male XL retail stores and 3 Casual Male XL outlet stores (unchanged).</w:t>
      </w:r>
    </w:p>
    <w:p>
      <w:pPr>
        <w:spacing w:after="0" w:line="136" w:lineRule="exact"/>
        <w:rPr>
          <w:rFonts w:ascii="Arial" w:cs="Arial" w:eastAsia="Arial" w:hAnsi="Arial"/>
          <w:sz w:val="18"/>
          <w:szCs w:val="18"/>
          <w:color w:val="auto"/>
        </w:rPr>
      </w:pPr>
    </w:p>
    <w:p>
      <w:pPr>
        <w:ind w:left="880" w:right="240" w:hanging="440"/>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Capital expenditures of approximately $30.0 million in fiscal 2016, with approximately $20.6 million invested in new DXL stores (unchanged).</w:t>
      </w:r>
    </w:p>
    <w:p>
      <w:pPr>
        <w:spacing w:after="0" w:line="136" w:lineRule="exact"/>
        <w:rPr>
          <w:rFonts w:ascii="Arial" w:cs="Arial" w:eastAsia="Arial" w:hAnsi="Arial"/>
          <w:sz w:val="18"/>
          <w:szCs w:val="18"/>
          <w:color w:val="auto"/>
        </w:rPr>
      </w:pPr>
    </w:p>
    <w:p>
      <w:pPr>
        <w:ind w:left="880" w:right="740" w:hanging="440"/>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Borrowings at the end of fiscal 2016 in the range of $59.0 million to $64.0 million (a decrease from the Company’s original guidance of $64.0 million to $69.0 million).</w:t>
      </w:r>
    </w:p>
    <w:p>
      <w:pPr>
        <w:spacing w:after="0" w:line="136" w:lineRule="exact"/>
        <w:rPr>
          <w:rFonts w:ascii="Arial" w:cs="Arial" w:eastAsia="Arial" w:hAnsi="Arial"/>
          <w:sz w:val="18"/>
          <w:szCs w:val="18"/>
          <w:color w:val="auto"/>
        </w:rPr>
      </w:pPr>
    </w:p>
    <w:p>
      <w:pPr>
        <w:ind w:left="880" w:right="40" w:hanging="440"/>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Free cash flow before DXL capital expenditures of approximately $25.6 million to $30.6 million (an increase from the Company’s original guidance of $20.6 million to $25.6 million), resulting in total free cash flow in the range of $5.0 million to $10.0 million (an increase from the Company’s previous guidance of breakeven to $5.0 million).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hold a conference call to review its financial results today, Friday, May 20, 2016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9:00 a.m. ET. To listen to the live webcast, visit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section of the Company's website. The live call also can be accessed</w:t>
      </w:r>
    </w:p>
    <w:p>
      <w:pPr>
        <w:spacing w:after="0" w:line="40"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by dialing: (888) 430-8694. Please reference conference ID: 1866427. An archived version of the webcast may be accessed by visiting the "</w:t>
      </w:r>
      <w:r>
        <w:rPr>
          <w:rFonts w:ascii="Arial" w:cs="Arial" w:eastAsia="Arial" w:hAnsi="Arial"/>
          <w:sz w:val="20"/>
          <w:szCs w:val="20"/>
          <w:u w:val="single" w:color="auto"/>
          <w:color w:val="auto"/>
        </w:rPr>
        <w:t>Events</w:t>
      </w:r>
      <w:r>
        <w:rPr>
          <w:rFonts w:ascii="Arial" w:cs="Arial" w:eastAsia="Arial" w:hAnsi="Arial"/>
          <w:sz w:val="20"/>
          <w:szCs w:val="20"/>
          <w:color w:val="auto"/>
        </w:rPr>
        <w:t>" section of the Company's website for up to one year.</w:t>
      </w:r>
    </w:p>
    <w:p>
      <w:pPr>
        <w:spacing w:after="0" w:line="15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refers to free cash flow, free cash flow before DXL capital expenditures, EBITDA and adjusted net income (loss) per diluted share. The presentation of these non-GAAP measures is not in accordance with GAAP, and should not be considered superior to or as a substitute for net income (loss), earnings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The Company calculates free cash flow as cash flow from operating activities less capital expenditures. The free cash flow presentation separates DXL capital expenditures from its other infrastructure projects. EBITDA is calculated as earnings before interest, taxes, depreciation and amortization. Adjusted net income (loss) per diluted share has been adjusted for a normal tax rate, assuming 40%. Reconciliations of these non-GAAP measures to their comparable GAAP measures are provided in the tables below.</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9"/>
          <w:szCs w:val="19"/>
          <w:color w:val="auto"/>
        </w:rPr>
        <w:t>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www.destinationxl.com and www.bigandtall.com.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line="270"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capital expenditures, debt levels, sales, EBITDA, and earnings for fiscal 2016, the expected impact of inventory management improvements on working capital in fiscal 2016, the Company’s ability to execute on its strategic plan and the effectiveness of the Destination XL concept.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18, 2016,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10" w:lineRule="exact"/>
        <w:rPr>
          <w:sz w:val="20"/>
          <w:szCs w:val="20"/>
          <w:color w:val="auto"/>
        </w:rPr>
      </w:pPr>
    </w:p>
    <w:p>
      <w:pPr>
        <w:jc w:val="both"/>
        <w:ind w:right="50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7"/>
        </w:trPr>
        <w:tc>
          <w:tcPr>
            <w:tcW w:w="4960" w:type="dxa"/>
            <w:vAlign w:val="bottom"/>
            <w:tcBorders>
              <w:bottom w:val="single" w:sz="8" w:color="CFF0FC"/>
            </w:tcBorders>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April 30, 2016</w:t>
            </w:r>
          </w:p>
        </w:tc>
        <w:tc>
          <w:tcPr>
            <w:tcW w:w="36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w w:val="93"/>
              </w:rPr>
              <w:t>May 2, 2015</w:t>
            </w:r>
          </w:p>
        </w:tc>
        <w:tc>
          <w:tcPr>
            <w:tcW w:w="360" w:type="dxa"/>
            <w:vAlign w:val="bottom"/>
            <w:tcBorders>
              <w:bottom w:val="single" w:sz="8" w:color="CFF0FC"/>
            </w:tcBorders>
          </w:tcPr>
          <w:p>
            <w:pPr>
              <w:spacing w:after="0"/>
              <w:rPr>
                <w:sz w:val="14"/>
                <w:szCs w:val="14"/>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2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107,891</w:t>
            </w: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104,405</w:t>
            </w:r>
          </w:p>
        </w:tc>
        <w:tc>
          <w:tcPr>
            <w:tcW w:w="360" w:type="dxa"/>
            <w:vAlign w:val="bottom"/>
            <w:shd w:val="clear" w:color="auto" w:fill="CFF0FC"/>
          </w:tcPr>
          <w:p>
            <w:pPr>
              <w:spacing w:after="0"/>
              <w:rPr>
                <w:sz w:val="18"/>
                <w:szCs w:val="18"/>
                <w:color w:val="auto"/>
              </w:rPr>
            </w:pPr>
          </w:p>
        </w:tc>
      </w:tr>
      <w:tr>
        <w:trPr>
          <w:trHeight w:val="213"/>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8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58,125</w:t>
            </w:r>
          </w:p>
        </w:tc>
        <w:tc>
          <w:tcPr>
            <w:tcW w:w="3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56,166</w:t>
            </w:r>
          </w:p>
        </w:tc>
        <w:tc>
          <w:tcPr>
            <w:tcW w:w="360" w:type="dxa"/>
            <w:vAlign w:val="bottom"/>
            <w:tcBorders>
              <w:bottom w:val="single" w:sz="8" w:color="CFF0FC"/>
            </w:tcBorders>
          </w:tcPr>
          <w:p>
            <w:pPr>
              <w:spacing w:after="0"/>
              <w:rPr>
                <w:sz w:val="18"/>
                <w:szCs w:val="18"/>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49,766</w:t>
            </w: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48,239</w:t>
            </w:r>
          </w:p>
        </w:tc>
        <w:tc>
          <w:tcPr>
            <w:tcW w:w="36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41,369</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41,469</w:t>
            </w:r>
          </w:p>
        </w:tc>
        <w:tc>
          <w:tcPr>
            <w:tcW w:w="36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8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7,342</w:t>
            </w:r>
          </w:p>
        </w:tc>
        <w:tc>
          <w:tcPr>
            <w:tcW w:w="3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6,522</w:t>
            </w:r>
          </w:p>
        </w:tc>
        <w:tc>
          <w:tcPr>
            <w:tcW w:w="360" w:type="dxa"/>
            <w:vAlign w:val="bottom"/>
            <w:shd w:val="clear" w:color="auto" w:fill="CFF0FC"/>
          </w:tcPr>
          <w:p>
            <w:pPr>
              <w:spacing w:after="0"/>
              <w:rPr>
                <w:sz w:val="19"/>
                <w:szCs w:val="19"/>
                <w:color w:val="auto"/>
              </w:rPr>
            </w:pPr>
          </w:p>
        </w:tc>
      </w:tr>
      <w:tr>
        <w:trPr>
          <w:trHeight w:val="207"/>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8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48,711</w:t>
            </w:r>
          </w:p>
        </w:tc>
        <w:tc>
          <w:tcPr>
            <w:tcW w:w="36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47,991</w:t>
            </w:r>
          </w:p>
        </w:tc>
        <w:tc>
          <w:tcPr>
            <w:tcW w:w="360" w:type="dxa"/>
            <w:vAlign w:val="bottom"/>
            <w:tcBorders>
              <w:bottom w:val="single" w:sz="8" w:color="CFF0FC"/>
            </w:tcBorders>
          </w:tcPr>
          <w:p>
            <w:pPr>
              <w:spacing w:after="0"/>
              <w:rPr>
                <w:sz w:val="17"/>
                <w:szCs w:val="17"/>
                <w:color w:val="auto"/>
              </w:rPr>
            </w:pPr>
          </w:p>
        </w:tc>
      </w:tr>
      <w:tr>
        <w:trPr>
          <w:trHeight w:val="213"/>
        </w:trPr>
        <w:tc>
          <w:tcPr>
            <w:tcW w:w="49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Operating income</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1,055</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248</w:t>
            </w:r>
          </w:p>
        </w:tc>
        <w:tc>
          <w:tcPr>
            <w:tcW w:w="360" w:type="dxa"/>
            <w:vAlign w:val="bottom"/>
          </w:tcPr>
          <w:p>
            <w:pPr>
              <w:spacing w:after="0"/>
              <w:rPr>
                <w:sz w:val="18"/>
                <w:szCs w:val="18"/>
                <w:color w:val="auto"/>
              </w:rPr>
            </w:pPr>
          </w:p>
        </w:tc>
      </w:tr>
      <w:tr>
        <w:trPr>
          <w:trHeight w:val="219"/>
        </w:trPr>
        <w:tc>
          <w:tcPr>
            <w:tcW w:w="49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Interest expense, net</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right"/>
              <w:ind w:right="300"/>
              <w:spacing w:after="0"/>
              <w:rPr>
                <w:sz w:val="20"/>
                <w:szCs w:val="20"/>
                <w:color w:val="auto"/>
              </w:rPr>
            </w:pPr>
            <w:r>
              <w:rPr>
                <w:rFonts w:ascii="Arial" w:cs="Arial" w:eastAsia="Arial" w:hAnsi="Arial"/>
                <w:sz w:val="16"/>
                <w:szCs w:val="16"/>
                <w:color w:val="auto"/>
              </w:rPr>
              <w:t>(784)</w:t>
            </w:r>
          </w:p>
        </w:tc>
        <w:tc>
          <w:tcPr>
            <w:tcW w:w="58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(761)</w:t>
            </w:r>
          </w:p>
        </w:tc>
      </w:tr>
      <w:tr>
        <w:trPr>
          <w:trHeight w:val="213"/>
        </w:trPr>
        <w:tc>
          <w:tcPr>
            <w:tcW w:w="496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271</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(513)</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8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36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60" w:type="dxa"/>
            <w:vAlign w:val="bottom"/>
            <w:shd w:val="clear" w:color="auto" w:fill="CFF0FC"/>
          </w:tcPr>
          <w:p>
            <w:pPr>
              <w:spacing w:after="0"/>
              <w:rPr>
                <w:sz w:val="18"/>
                <w:szCs w:val="18"/>
                <w:color w:val="auto"/>
              </w:rPr>
            </w:pPr>
          </w:p>
        </w:tc>
      </w:tr>
      <w:tr>
        <w:trPr>
          <w:trHeight w:val="213"/>
        </w:trPr>
        <w:tc>
          <w:tcPr>
            <w:tcW w:w="4960" w:type="dxa"/>
            <w:vAlign w:val="bottom"/>
            <w:tcBorders>
              <w:bottom w:val="single" w:sz="8" w:color="CFF0FC"/>
            </w:tcBorders>
          </w:tcPr>
          <w:p>
            <w:pPr>
              <w:spacing w:after="0"/>
              <w:rPr>
                <w:sz w:val="18"/>
                <w:szCs w:val="18"/>
                <w:color w:val="auto"/>
              </w:rPr>
            </w:pPr>
          </w:p>
        </w:tc>
        <w:tc>
          <w:tcPr>
            <w:tcW w:w="18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r>
      <w:tr>
        <w:trPr>
          <w:trHeight w:val="207"/>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2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(574)</w:t>
            </w: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00" w:type="dxa"/>
            <w:vAlign w:val="bottom"/>
          </w:tcPr>
          <w:p>
            <w:pPr>
              <w:ind w:left="80"/>
              <w:spacing w:after="0"/>
              <w:rPr>
                <w:sz w:val="20"/>
                <w:szCs w:val="20"/>
                <w:color w:val="auto"/>
              </w:rPr>
            </w:pPr>
            <w:r>
              <w:rPr>
                <w:rFonts w:ascii="Arial" w:cs="Arial" w:eastAsia="Arial" w:hAnsi="Arial"/>
                <w:sz w:val="18"/>
                <w:szCs w:val="18"/>
                <w:color w:val="auto"/>
              </w:rPr>
              <w:t>Basic</w:t>
            </w:r>
          </w:p>
        </w:tc>
        <w:tc>
          <w:tcPr>
            <w:tcW w:w="21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0.00</w:t>
            </w:r>
          </w:p>
        </w:tc>
        <w:tc>
          <w:tcPr>
            <w:tcW w:w="9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39"/>
              <w:spacing w:after="0"/>
              <w:rPr>
                <w:sz w:val="20"/>
                <w:szCs w:val="20"/>
                <w:color w:val="auto"/>
              </w:rPr>
            </w:pPr>
            <w:r>
              <w:rPr>
                <w:rFonts w:ascii="Arial" w:cs="Arial" w:eastAsia="Arial" w:hAnsi="Arial"/>
                <w:sz w:val="16"/>
                <w:szCs w:val="16"/>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80"/>
              <w:spacing w:after="0"/>
              <w:rPr>
                <w:sz w:val="20"/>
                <w:szCs w:val="20"/>
                <w:color w:val="auto"/>
              </w:rPr>
            </w:pPr>
            <w:r>
              <w:rPr>
                <w:rFonts w:ascii="Arial" w:cs="Arial" w:eastAsia="Arial" w:hAnsi="Arial"/>
                <w:sz w:val="18"/>
                <w:szCs w:val="18"/>
                <w:color w:val="auto"/>
              </w:rPr>
              <w:t>Diluted</w:t>
            </w:r>
          </w:p>
        </w:tc>
        <w:tc>
          <w:tcPr>
            <w:tcW w:w="210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0.00</w:t>
            </w:r>
          </w:p>
        </w:tc>
        <w:tc>
          <w:tcPr>
            <w:tcW w:w="94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Basic</w:t>
            </w:r>
          </w:p>
        </w:tc>
        <w:tc>
          <w:tcPr>
            <w:tcW w:w="210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49,513</w:t>
            </w:r>
          </w:p>
        </w:tc>
        <w:tc>
          <w:tcPr>
            <w:tcW w:w="940" w:type="dxa"/>
            <w:vAlign w:val="bottom"/>
          </w:tcPr>
          <w:p>
            <w:pPr>
              <w:spacing w:after="0"/>
              <w:rPr>
                <w:sz w:val="19"/>
                <w:szCs w:val="19"/>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49,019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49,880</w:t>
            </w:r>
          </w:p>
        </w:tc>
        <w:tc>
          <w:tcPr>
            <w:tcW w:w="9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49,019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0" w:name="page11"/>
    <w:bookmarkEnd w:id="10"/>
    <w:p>
      <w:pPr>
        <w:jc w:val="center"/>
        <w:ind w:right="1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April 30, 2016, January 30, 2016 and May 2, 2015</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512"/>
              <w:spacing w:after="0"/>
              <w:rPr>
                <w:sz w:val="20"/>
                <w:szCs w:val="20"/>
                <w:color w:val="auto"/>
              </w:rPr>
            </w:pPr>
            <w:r>
              <w:rPr>
                <w:rFonts w:ascii="Arial" w:cs="Arial" w:eastAsia="Arial" w:hAnsi="Arial"/>
                <w:sz w:val="14"/>
                <w:szCs w:val="14"/>
                <w:color w:val="auto"/>
              </w:rPr>
              <w:t>April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color w:val="auto"/>
              </w:rPr>
              <w:t>January 30,</w:t>
            </w:r>
          </w:p>
        </w:tc>
        <w:tc>
          <w:tcPr>
            <w:tcW w:w="36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color w:val="auto"/>
              </w:rPr>
              <w:t>May 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123,772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124,962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123,888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275,749</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277,374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92,163</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Long-term debt</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89,310</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88,404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39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GAAP TO NON-GAAP RECONCILIATION OF EBITDA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420" w:type="dxa"/>
            <w:vAlign w:val="bottom"/>
            <w:gridSpan w:val="4"/>
          </w:tcPr>
          <w:p>
            <w:pPr>
              <w:jc w:val="right"/>
              <w:ind w:right="636"/>
              <w:spacing w:after="0"/>
              <w:rPr>
                <w:sz w:val="20"/>
                <w:szCs w:val="20"/>
                <w:color w:val="auto"/>
              </w:rPr>
            </w:pPr>
            <w:r>
              <w:rPr>
                <w:rFonts w:ascii="Arial" w:cs="Arial" w:eastAsia="Arial" w:hAnsi="Arial"/>
                <w:sz w:val="14"/>
                <w:szCs w:val="14"/>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April 30, 2016</w:t>
            </w:r>
          </w:p>
        </w:tc>
        <w:tc>
          <w:tcPr>
            <w:tcW w:w="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May 2, 2015</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80" w:type="dxa"/>
            <w:vAlign w:val="bottom"/>
            <w:gridSpan w:val="2"/>
          </w:tcPr>
          <w:p>
            <w:pPr>
              <w:spacing w:after="0" w:line="169" w:lineRule="exact"/>
              <w:rPr>
                <w:sz w:val="20"/>
                <w:szCs w:val="20"/>
                <w:color w:val="auto"/>
              </w:rPr>
            </w:pPr>
            <w:r>
              <w:rPr>
                <w:rFonts w:ascii="Arial" w:cs="Arial" w:eastAsia="Arial" w:hAnsi="Arial"/>
                <w:sz w:val="16"/>
                <w:szCs w:val="16"/>
                <w:i w:val="1"/>
                <w:iCs w:val="1"/>
                <w:color w:val="auto"/>
              </w:rPr>
              <w:t>(in millions)</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50"/>
        </w:trPr>
        <w:tc>
          <w:tcPr>
            <w:tcW w:w="7480" w:type="dxa"/>
            <w:vAlign w:val="bottom"/>
            <w:gridSpan w:val="2"/>
          </w:tcPr>
          <w:p>
            <w:pPr>
              <w:spacing w:after="0"/>
              <w:rPr>
                <w:sz w:val="20"/>
                <w:szCs w:val="20"/>
                <w:color w:val="auto"/>
              </w:rPr>
            </w:pPr>
            <w:r>
              <w:rPr>
                <w:rFonts w:ascii="Arial" w:cs="Arial" w:eastAsia="Arial" w:hAnsi="Arial"/>
                <w:sz w:val="18"/>
                <w:szCs w:val="18"/>
                <w:color w:val="auto"/>
              </w:rPr>
              <w:t>Net income (loss), GAAP basis</w:t>
            </w:r>
          </w:p>
        </w:tc>
        <w:tc>
          <w:tcPr>
            <w:tcW w:w="1420" w:type="dxa"/>
            <w:vAlign w:val="bottom"/>
          </w:tcPr>
          <w:p>
            <w:pPr>
              <w:jc w:val="right"/>
              <w:ind w:right="123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1340" w:type="dxa"/>
            <w:vAlign w:val="bottom"/>
          </w:tcPr>
          <w:p>
            <w:pPr>
              <w:jc w:val="right"/>
              <w:ind w:right="115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30"/>
        </w:trPr>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30"/>
        </w:trPr>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FF0FC"/>
            </w:tcBorders>
          </w:tcPr>
          <w:p>
            <w:pPr>
              <w:spacing w:after="0"/>
              <w:rPr>
                <w:sz w:val="19"/>
                <w:szCs w:val="19"/>
                <w:color w:val="auto"/>
              </w:rPr>
            </w:pPr>
          </w:p>
        </w:tc>
      </w:tr>
      <w:tr>
        <w:trPr>
          <w:trHeight w:val="223"/>
        </w:trPr>
        <w:tc>
          <w:tcPr>
            <w:tcW w:w="7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EBITDA, non-GAAP basis</w:t>
            </w:r>
          </w:p>
        </w:tc>
        <w:tc>
          <w:tcPr>
            <w:tcW w:w="1420" w:type="dxa"/>
            <w:vAlign w:val="bottom"/>
            <w:tcBorders>
              <w:bottom w:val="single" w:sz="8" w:color="auto"/>
            </w:tcBorders>
            <w:shd w:val="clear" w:color="auto" w:fill="CFF0FC"/>
          </w:tcPr>
          <w:p>
            <w:pPr>
              <w:jc w:val="right"/>
              <w:ind w:right="12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NET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ind w:left="240"/>
              <w:spacing w:after="0"/>
              <w:rPr>
                <w:sz w:val="20"/>
                <w:szCs w:val="20"/>
                <w:color w:val="auto"/>
              </w:rPr>
            </w:pPr>
            <w:r>
              <w:rPr>
                <w:rFonts w:ascii="Arial" w:cs="Arial" w:eastAsia="Arial" w:hAnsi="Arial"/>
                <w:sz w:val="14"/>
                <w:szCs w:val="14"/>
                <w:color w:val="auto"/>
                <w:w w:val="91"/>
              </w:rPr>
              <w:t>For the three months ended</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gridSpan w:val="8"/>
          </w:tcPr>
          <w:p>
            <w:pPr>
              <w:ind w:left="180"/>
              <w:spacing w:after="0"/>
              <w:rPr>
                <w:sz w:val="20"/>
                <w:szCs w:val="20"/>
                <w:color w:val="auto"/>
              </w:rPr>
            </w:pPr>
            <w:r>
              <w:rPr>
                <w:rFonts w:ascii="Arial" w:cs="Arial" w:eastAsia="Arial" w:hAnsi="Arial"/>
                <w:sz w:val="14"/>
                <w:szCs w:val="14"/>
                <w:color w:val="auto"/>
              </w:rPr>
              <w:t>April 30, 2016</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6"/>
          </w:tcPr>
          <w:p>
            <w:pPr>
              <w:jc w:val="right"/>
              <w:ind w:right="1080"/>
              <w:spacing w:after="0"/>
              <w:rPr>
                <w:sz w:val="20"/>
                <w:szCs w:val="20"/>
                <w:color w:val="auto"/>
              </w:rPr>
            </w:pPr>
            <w:r>
              <w:rPr>
                <w:rFonts w:ascii="Arial" w:cs="Arial" w:eastAsia="Arial" w:hAnsi="Arial"/>
                <w:sz w:val="14"/>
                <w:szCs w:val="14"/>
                <w:color w:val="auto"/>
              </w:rPr>
              <w:t>May 2, 2015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20"/>
              <w:spacing w:after="0" w:line="137" w:lineRule="exact"/>
              <w:rPr>
                <w:sz w:val="20"/>
                <w:szCs w:val="20"/>
                <w:color w:val="auto"/>
              </w:rPr>
            </w:pPr>
            <w:r>
              <w:rPr>
                <w:rFonts w:ascii="Arial" w:cs="Arial" w:eastAsia="Arial" w:hAnsi="Arial"/>
                <w:sz w:val="14"/>
                <w:szCs w:val="14"/>
                <w:color w:val="auto"/>
              </w:rPr>
              <w:t>Per diluted</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23"/>
              <w:spacing w:after="0" w:line="137" w:lineRule="exact"/>
              <w:rPr>
                <w:sz w:val="20"/>
                <w:szCs w:val="20"/>
                <w:color w:val="auto"/>
              </w:rPr>
            </w:pPr>
            <w:r>
              <w:rPr>
                <w:rFonts w:ascii="Arial" w:cs="Arial" w:eastAsia="Arial" w:hAnsi="Arial"/>
                <w:sz w:val="14"/>
                <w:szCs w:val="14"/>
                <w:color w:val="auto"/>
                <w:w w:val="98"/>
              </w:rPr>
              <w:t>Per diluted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share</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47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 (loss), GAAP basis</w:t>
            </w:r>
          </w:p>
        </w:tc>
        <w:tc>
          <w:tcPr>
            <w:tcW w:w="2020" w:type="dxa"/>
            <w:vAlign w:val="bottom"/>
            <w:gridSpan w:val="3"/>
            <w:shd w:val="clear" w:color="auto" w:fill="CFF0FC"/>
          </w:tcPr>
          <w:p>
            <w:pPr>
              <w:jc w:val="center"/>
              <w:ind w:left="919"/>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(574)</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 Actual income tax provision</w:t>
            </w: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Income tax benefit, assuming normal tax rate of 40%</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(loss), non-GAAP basis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center"/>
              <w:ind w:right="379"/>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(308)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280" w:type="dxa"/>
            <w:vAlign w:val="bottom"/>
            <w:gridSpan w:val="2"/>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760" w:type="dxa"/>
            <w:vAlign w:val="bottom"/>
            <w:gridSpan w:val="5"/>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49,880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49,019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20" w:type="dxa"/>
            <w:vAlign w:val="bottom"/>
            <w:gridSpan w:val="12"/>
          </w:tcPr>
          <w:p>
            <w:pPr>
              <w:ind w:left="1240"/>
              <w:spacing w:after="0"/>
              <w:rPr>
                <w:sz w:val="20"/>
                <w:szCs w:val="20"/>
                <w:color w:val="auto"/>
              </w:rPr>
            </w:pPr>
            <w:r>
              <w:rPr>
                <w:rFonts w:ascii="Arial" w:cs="Arial" w:eastAsia="Arial" w:hAnsi="Arial"/>
                <w:sz w:val="16"/>
                <w:szCs w:val="16"/>
                <w:b w:val="1"/>
                <w:bCs w:val="1"/>
                <w:color w:val="auto"/>
              </w:rPr>
              <w:t>GAAP TO NON-GAAP FREE CASH FLOW RECONCILIATION</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gridSpan w:val="9"/>
          </w:tcPr>
          <w:p>
            <w:pPr>
              <w:ind w:left="300"/>
              <w:spacing w:after="0"/>
              <w:rPr>
                <w:sz w:val="20"/>
                <w:szCs w:val="20"/>
                <w:color w:val="auto"/>
              </w:rPr>
            </w:pPr>
            <w:r>
              <w:rPr>
                <w:rFonts w:ascii="Arial" w:cs="Arial" w:eastAsia="Arial" w:hAnsi="Arial"/>
                <w:sz w:val="14"/>
                <w:szCs w:val="14"/>
                <w:color w:val="auto"/>
              </w:rPr>
              <w:t>For the three months ended</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4"/>
                <w:szCs w:val="14"/>
                <w:color w:val="auto"/>
              </w:rPr>
              <w:t>Projected</w:t>
            </w:r>
          </w:p>
        </w:tc>
        <w:tc>
          <w:tcPr>
            <w:tcW w:w="0" w:type="dxa"/>
            <w:vAlign w:val="bottom"/>
          </w:tcPr>
          <w:p>
            <w:pPr>
              <w:spacing w:after="0"/>
              <w:rPr>
                <w:sz w:val="1"/>
                <w:szCs w:val="1"/>
                <w:color w:val="auto"/>
              </w:rPr>
            </w:pPr>
          </w:p>
        </w:tc>
      </w:tr>
      <w:tr>
        <w:trPr>
          <w:trHeight w:val="167"/>
        </w:trPr>
        <w:tc>
          <w:tcPr>
            <w:tcW w:w="476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4"/>
                <w:szCs w:val="14"/>
                <w:color w:val="auto"/>
              </w:rPr>
            </w:pPr>
          </w:p>
        </w:tc>
        <w:tc>
          <w:tcPr>
            <w:tcW w:w="1360" w:type="dxa"/>
            <w:vAlign w:val="bottom"/>
            <w:tcBorders>
              <w:bottom w:val="single" w:sz="8" w:color="auto"/>
            </w:tcBorders>
            <w:gridSpan w:val="2"/>
          </w:tcPr>
          <w:p>
            <w:pPr>
              <w:jc w:val="center"/>
              <w:ind w:left="285"/>
              <w:spacing w:after="0"/>
              <w:rPr>
                <w:sz w:val="20"/>
                <w:szCs w:val="20"/>
                <w:color w:val="auto"/>
              </w:rPr>
            </w:pPr>
            <w:r>
              <w:rPr>
                <w:rFonts w:ascii="Arial" w:cs="Arial" w:eastAsia="Arial" w:hAnsi="Arial"/>
                <w:sz w:val="14"/>
                <w:szCs w:val="14"/>
                <w:color w:val="auto"/>
                <w:w w:val="97"/>
              </w:rPr>
              <w:t>April 30, 2016</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8"/>
              </w:rPr>
              <w:t>May 2, 2015</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10"/>
        </w:trPr>
        <w:tc>
          <w:tcPr>
            <w:tcW w:w="4760" w:type="dxa"/>
            <w:vAlign w:val="bottom"/>
            <w:gridSpan w:val="3"/>
          </w:tcPr>
          <w:p>
            <w:pPr>
              <w:spacing w:after="0"/>
              <w:rPr>
                <w:sz w:val="20"/>
                <w:szCs w:val="20"/>
                <w:color w:val="auto"/>
              </w:rPr>
            </w:pPr>
            <w:r>
              <w:rPr>
                <w:rFonts w:ascii="Arial" w:cs="Arial" w:eastAsia="Arial" w:hAnsi="Arial"/>
                <w:sz w:val="14"/>
                <w:szCs w:val="14"/>
                <w:color w:val="auto"/>
              </w:rPr>
              <w:t>Cash flow from operating activities (GAAP basis)</w:t>
            </w:r>
          </w:p>
        </w:tc>
        <w:tc>
          <w:tcPr>
            <w:tcW w:w="14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$35.0-$40.0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6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(2.3)</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4"/>
                <w:szCs w:val="14"/>
                <w:color w:val="auto"/>
              </w:rPr>
              <w:t>Free Cash Flow, before DXL capital expenditures</w:t>
            </w:r>
          </w:p>
        </w:tc>
        <w:tc>
          <w:tcPr>
            <w:tcW w:w="6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$25.6-$30.6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6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(7.3)</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4"/>
                <w:szCs w:val="14"/>
                <w:color w:val="auto"/>
              </w:rPr>
              <w:t>Free Cash Flow (non-GAAP basis)</w:t>
            </w:r>
          </w:p>
        </w:tc>
        <w:tc>
          <w:tcPr>
            <w:tcW w:w="6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color w:val="auto"/>
              </w:rPr>
              <w:t>(17.5)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$5.0-$10.0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2019-12-05T20:21:48Z</dcterms:created>
  <dcterms:modified xsi:type="dcterms:W3CDTF">2019-12-05T20:21:48Z</dcterms:modified>
</cp:coreProperties>
</file>