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157480</wp:posOffset>
            </wp:positionH>
            <wp:positionV relativeFrom="page">
              <wp:posOffset>303530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158750</wp:posOffset>
            </wp:positionV>
            <wp:extent cx="5575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7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177165</wp:posOffset>
            </wp:positionV>
            <wp:extent cx="5575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53"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CURRENT REPORT</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9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Date of Report (Date of earliest event reported): October 29, 2019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173990</wp:posOffset>
            </wp:positionV>
            <wp:extent cx="5575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98"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DESTINATION XL GROUP, INC.</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154940</wp:posOffset>
            </wp:positionV>
            <wp:extent cx="5575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tbl>
      <w:tblPr>
        <w:tblLayout w:type="fixed"/>
        <w:tblInd w:w="760" w:type="dxa"/>
        <w:tblCellMar>
          <w:top w:w="0" w:type="dxa"/>
          <w:left w:w="0" w:type="dxa"/>
          <w:bottom w:w="0" w:type="dxa"/>
          <w:right w:w="0" w:type="dxa"/>
        </w:tblCellMar>
      </w:tblPr>
      <w:tr>
        <w:trPr>
          <w:trHeight w:val="258"/>
        </w:trPr>
        <w:tc>
          <w:tcPr>
            <w:tcW w:w="3240" w:type="dxa"/>
            <w:vAlign w:val="bottom"/>
          </w:tcPr>
          <w:p>
            <w:pPr>
              <w:jc w:val="center"/>
              <w:ind w:right="878"/>
              <w:spacing w:after="0"/>
              <w:rPr>
                <w:sz w:val="20"/>
                <w:szCs w:val="20"/>
                <w:color w:val="auto"/>
              </w:rPr>
            </w:pPr>
            <w:r>
              <w:rPr>
                <w:rFonts w:ascii="Arial" w:cs="Arial" w:eastAsia="Arial" w:hAnsi="Arial"/>
                <w:sz w:val="22"/>
                <w:szCs w:val="22"/>
                <w:b w:val="1"/>
                <w:bCs w:val="1"/>
                <w:color w:val="auto"/>
                <w:w w:val="91"/>
              </w:rPr>
              <w:t>Delaware</w:t>
            </w:r>
          </w:p>
        </w:tc>
        <w:tc>
          <w:tcPr>
            <w:tcW w:w="3740" w:type="dxa"/>
            <w:vAlign w:val="bottom"/>
          </w:tcPr>
          <w:p>
            <w:pPr>
              <w:jc w:val="right"/>
              <w:ind w:right="1532"/>
              <w:spacing w:after="0"/>
              <w:rPr>
                <w:sz w:val="20"/>
                <w:szCs w:val="20"/>
                <w:color w:val="auto"/>
              </w:rPr>
            </w:pPr>
            <w:r>
              <w:rPr>
                <w:rFonts w:ascii="Arial" w:cs="Arial" w:eastAsia="Arial" w:hAnsi="Arial"/>
                <w:sz w:val="22"/>
                <w:szCs w:val="22"/>
                <w:b w:val="1"/>
                <w:bCs w:val="1"/>
                <w:color w:val="auto"/>
              </w:rPr>
              <w:t>01-34219</w:t>
            </w:r>
          </w:p>
        </w:tc>
        <w:tc>
          <w:tcPr>
            <w:tcW w:w="2300" w:type="dxa"/>
            <w:vAlign w:val="bottom"/>
          </w:tcPr>
          <w:p>
            <w:pPr>
              <w:jc w:val="right"/>
              <w:spacing w:after="0"/>
              <w:rPr>
                <w:sz w:val="20"/>
                <w:szCs w:val="20"/>
                <w:color w:val="auto"/>
              </w:rPr>
            </w:pPr>
            <w:r>
              <w:rPr>
                <w:rFonts w:ascii="Arial" w:cs="Arial" w:eastAsia="Arial" w:hAnsi="Arial"/>
                <w:sz w:val="22"/>
                <w:szCs w:val="22"/>
                <w:b w:val="1"/>
                <w:bCs w:val="1"/>
                <w:color w:val="auto"/>
              </w:rPr>
              <w:t>04-2623104</w:t>
            </w:r>
          </w:p>
        </w:tc>
        <w:tc>
          <w:tcPr>
            <w:tcW w:w="0" w:type="dxa"/>
            <w:vAlign w:val="bottom"/>
          </w:tcPr>
          <w:p>
            <w:pPr>
              <w:spacing w:after="0"/>
              <w:rPr>
                <w:sz w:val="1"/>
                <w:szCs w:val="1"/>
                <w:color w:val="auto"/>
              </w:rPr>
            </w:pPr>
          </w:p>
        </w:tc>
      </w:tr>
      <w:tr>
        <w:trPr>
          <w:trHeight w:val="149"/>
        </w:trPr>
        <w:tc>
          <w:tcPr>
            <w:tcW w:w="3240" w:type="dxa"/>
            <w:vAlign w:val="bottom"/>
          </w:tcPr>
          <w:p>
            <w:pPr>
              <w:jc w:val="center"/>
              <w:ind w:right="878"/>
              <w:spacing w:after="0" w:line="149" w:lineRule="exact"/>
              <w:rPr>
                <w:sz w:val="20"/>
                <w:szCs w:val="20"/>
                <w:color w:val="auto"/>
              </w:rPr>
            </w:pPr>
            <w:r>
              <w:rPr>
                <w:rFonts w:ascii="Arial" w:cs="Arial" w:eastAsia="Arial" w:hAnsi="Arial"/>
                <w:sz w:val="14"/>
                <w:szCs w:val="14"/>
                <w:b w:val="1"/>
                <w:bCs w:val="1"/>
                <w:color w:val="auto"/>
                <w:w w:val="88"/>
              </w:rPr>
              <w:t>(State or Other Jurisdiction</w:t>
            </w:r>
          </w:p>
        </w:tc>
        <w:tc>
          <w:tcPr>
            <w:tcW w:w="3740" w:type="dxa"/>
            <w:vAlign w:val="bottom"/>
          </w:tcPr>
          <w:p>
            <w:pPr>
              <w:spacing w:after="0"/>
              <w:rPr>
                <w:sz w:val="12"/>
                <w:szCs w:val="12"/>
                <w:color w:val="auto"/>
              </w:rPr>
            </w:pPr>
          </w:p>
        </w:tc>
        <w:tc>
          <w:tcPr>
            <w:tcW w:w="2300" w:type="dxa"/>
            <w:vAlign w:val="bottom"/>
          </w:tcPr>
          <w:p>
            <w:pPr>
              <w:jc w:val="center"/>
              <w:ind w:left="1176"/>
              <w:spacing w:after="0" w:line="149" w:lineRule="exact"/>
              <w:rPr>
                <w:sz w:val="20"/>
                <w:szCs w:val="20"/>
                <w:color w:val="auto"/>
              </w:rPr>
            </w:pPr>
            <w:r>
              <w:rPr>
                <w:rFonts w:ascii="Arial" w:cs="Arial" w:eastAsia="Arial" w:hAnsi="Arial"/>
                <w:sz w:val="14"/>
                <w:szCs w:val="14"/>
                <w:b w:val="1"/>
                <w:bCs w:val="1"/>
                <w:color w:val="auto"/>
                <w:w w:val="91"/>
              </w:rPr>
              <w:t>(IRS Employer</w:t>
            </w:r>
          </w:p>
        </w:tc>
        <w:tc>
          <w:tcPr>
            <w:tcW w:w="0" w:type="dxa"/>
            <w:vAlign w:val="bottom"/>
          </w:tcPr>
          <w:p>
            <w:pPr>
              <w:spacing w:after="0"/>
              <w:rPr>
                <w:sz w:val="1"/>
                <w:szCs w:val="1"/>
                <w:color w:val="auto"/>
              </w:rPr>
            </w:pPr>
          </w:p>
        </w:tc>
      </w:tr>
      <w:tr>
        <w:trPr>
          <w:trHeight w:val="174"/>
        </w:trPr>
        <w:tc>
          <w:tcPr>
            <w:tcW w:w="3240" w:type="dxa"/>
            <w:vAlign w:val="bottom"/>
          </w:tcPr>
          <w:p>
            <w:pPr>
              <w:jc w:val="center"/>
              <w:ind w:right="878"/>
              <w:spacing w:after="0"/>
              <w:rPr>
                <w:sz w:val="20"/>
                <w:szCs w:val="20"/>
                <w:color w:val="auto"/>
              </w:rPr>
            </w:pPr>
            <w:r>
              <w:rPr>
                <w:rFonts w:ascii="Arial" w:cs="Arial" w:eastAsia="Arial" w:hAnsi="Arial"/>
                <w:sz w:val="14"/>
                <w:szCs w:val="14"/>
                <w:b w:val="1"/>
                <w:bCs w:val="1"/>
                <w:color w:val="auto"/>
                <w:w w:val="89"/>
              </w:rPr>
              <w:t>of Incorporation)</w:t>
            </w:r>
          </w:p>
        </w:tc>
        <w:tc>
          <w:tcPr>
            <w:tcW w:w="3740" w:type="dxa"/>
            <w:vAlign w:val="bottom"/>
          </w:tcPr>
          <w:p>
            <w:pPr>
              <w:jc w:val="center"/>
              <w:ind w:right="232"/>
              <w:spacing w:after="0"/>
              <w:rPr>
                <w:sz w:val="20"/>
                <w:szCs w:val="20"/>
                <w:color w:val="auto"/>
              </w:rPr>
            </w:pPr>
            <w:r>
              <w:rPr>
                <w:rFonts w:ascii="Arial" w:cs="Arial" w:eastAsia="Arial" w:hAnsi="Arial"/>
                <w:sz w:val="14"/>
                <w:szCs w:val="14"/>
                <w:b w:val="1"/>
                <w:bCs w:val="1"/>
                <w:color w:val="auto"/>
                <w:w w:val="88"/>
              </w:rPr>
              <w:t>(Commission File Number)</w:t>
            </w: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Identification No.)</w:t>
            </w:r>
          </w:p>
        </w:tc>
        <w:tc>
          <w:tcPr>
            <w:tcW w:w="0" w:type="dxa"/>
            <w:vAlign w:val="bottom"/>
          </w:tcPr>
          <w:p>
            <w:pPr>
              <w:spacing w:after="0"/>
              <w:rPr>
                <w:sz w:val="1"/>
                <w:szCs w:val="1"/>
                <w:color w:val="auto"/>
              </w:rPr>
            </w:pPr>
          </w:p>
        </w:tc>
      </w:tr>
      <w:tr>
        <w:trPr>
          <w:trHeight w:val="428"/>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91"/>
              </w:rPr>
              <w:t>555 Turnpike Street</w:t>
            </w:r>
            <w:r>
              <w:rPr>
                <w:rFonts w:ascii="Arial" w:cs="Arial" w:eastAsia="Arial" w:hAnsi="Arial"/>
                <w:sz w:val="21"/>
                <w:szCs w:val="21"/>
                <w:b w:val="1"/>
                <w:bCs w:val="1"/>
                <w:color w:val="auto"/>
                <w:w w:val="91"/>
              </w:rPr>
              <w:t>,</w:t>
            </w:r>
          </w:p>
        </w:tc>
        <w:tc>
          <w:tcPr>
            <w:tcW w:w="3740" w:type="dxa"/>
            <w:vAlign w:val="bottom"/>
          </w:tcPr>
          <w:p>
            <w:pPr>
              <w:spacing w:after="0"/>
              <w:rPr>
                <w:sz w:val="24"/>
                <w:szCs w:val="24"/>
                <w:color w:val="auto"/>
              </w:rPr>
            </w:pPr>
          </w:p>
        </w:tc>
        <w:tc>
          <w:tcPr>
            <w:tcW w:w="2300" w:type="dxa"/>
            <w:vAlign w:val="bottom"/>
            <w:vMerge w:val="restart"/>
          </w:tcPr>
          <w:p>
            <w:pPr>
              <w:jc w:val="right"/>
              <w:ind w:right="176"/>
              <w:spacing w:after="0"/>
              <w:rPr>
                <w:sz w:val="20"/>
                <w:szCs w:val="20"/>
                <w:color w:val="auto"/>
              </w:rPr>
            </w:pPr>
            <w:r>
              <w:rPr>
                <w:rFonts w:ascii="Arial" w:cs="Arial" w:eastAsia="Arial" w:hAnsi="Arial"/>
                <w:sz w:val="22"/>
                <w:szCs w:val="22"/>
                <w:b w:val="1"/>
                <w:bCs w:val="1"/>
                <w:color w:val="auto"/>
              </w:rPr>
              <w:t>02021</w:t>
            </w:r>
          </w:p>
        </w:tc>
        <w:tc>
          <w:tcPr>
            <w:tcW w:w="0" w:type="dxa"/>
            <w:vAlign w:val="bottom"/>
          </w:tcPr>
          <w:p>
            <w:pPr>
              <w:spacing w:after="0"/>
              <w:rPr>
                <w:sz w:val="1"/>
                <w:szCs w:val="1"/>
                <w:color w:val="auto"/>
              </w:rPr>
            </w:pPr>
          </w:p>
        </w:tc>
      </w:tr>
      <w:tr>
        <w:trPr>
          <w:trHeight w:val="222"/>
        </w:trPr>
        <w:tc>
          <w:tcPr>
            <w:tcW w:w="3240" w:type="dxa"/>
            <w:vAlign w:val="bottom"/>
          </w:tcPr>
          <w:p>
            <w:pPr>
              <w:jc w:val="center"/>
              <w:ind w:right="858"/>
              <w:spacing w:after="0"/>
              <w:rPr>
                <w:sz w:val="20"/>
                <w:szCs w:val="20"/>
                <w:color w:val="auto"/>
              </w:rPr>
            </w:pPr>
            <w:r>
              <w:rPr>
                <w:rFonts w:ascii="Arial" w:cs="Arial" w:eastAsia="Arial" w:hAnsi="Arial"/>
                <w:sz w:val="18"/>
                <w:szCs w:val="18"/>
                <w:b w:val="1"/>
                <w:bCs w:val="1"/>
                <w:color w:val="auto"/>
                <w:w w:val="88"/>
              </w:rPr>
              <w:t>Canton, Massachusetts</w:t>
            </w:r>
          </w:p>
        </w:tc>
        <w:tc>
          <w:tcPr>
            <w:tcW w:w="3740" w:type="dxa"/>
            <w:vAlign w:val="bottom"/>
          </w:tcPr>
          <w:p>
            <w:pPr>
              <w:spacing w:after="0"/>
              <w:rPr>
                <w:sz w:val="19"/>
                <w:szCs w:val="19"/>
                <w:color w:val="auto"/>
              </w:rPr>
            </w:pPr>
          </w:p>
        </w:tc>
        <w:tc>
          <w:tcPr>
            <w:tcW w:w="23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4"/>
        </w:trPr>
        <w:tc>
          <w:tcPr>
            <w:tcW w:w="3240" w:type="dxa"/>
            <w:vAlign w:val="bottom"/>
          </w:tcPr>
          <w:p>
            <w:pPr>
              <w:jc w:val="center"/>
              <w:ind w:right="858"/>
              <w:spacing w:after="0"/>
              <w:rPr>
                <w:sz w:val="20"/>
                <w:szCs w:val="20"/>
                <w:color w:val="auto"/>
              </w:rPr>
            </w:pPr>
            <w:r>
              <w:rPr>
                <w:rFonts w:ascii="Arial" w:cs="Arial" w:eastAsia="Arial" w:hAnsi="Arial"/>
                <w:sz w:val="14"/>
                <w:szCs w:val="14"/>
                <w:b w:val="1"/>
                <w:bCs w:val="1"/>
                <w:color w:val="auto"/>
                <w:w w:val="86"/>
              </w:rPr>
              <w:t>(Address of Principal Executive Offices)</w:t>
            </w:r>
          </w:p>
        </w:tc>
        <w:tc>
          <w:tcPr>
            <w:tcW w:w="3740" w:type="dxa"/>
            <w:vAlign w:val="bottom"/>
          </w:tcPr>
          <w:p>
            <w:pPr>
              <w:spacing w:after="0"/>
              <w:rPr>
                <w:sz w:val="15"/>
                <w:szCs w:val="15"/>
                <w:color w:val="auto"/>
              </w:rPr>
            </w:pPr>
          </w:p>
        </w:tc>
        <w:tc>
          <w:tcPr>
            <w:tcW w:w="2300" w:type="dxa"/>
            <w:vAlign w:val="bottom"/>
          </w:tcPr>
          <w:p>
            <w:pPr>
              <w:jc w:val="center"/>
              <w:ind w:left="1156"/>
              <w:spacing w:after="0"/>
              <w:rPr>
                <w:sz w:val="20"/>
                <w:szCs w:val="20"/>
                <w:color w:val="auto"/>
              </w:rPr>
            </w:pPr>
            <w:r>
              <w:rPr>
                <w:rFonts w:ascii="Arial" w:cs="Arial" w:eastAsia="Arial" w:hAnsi="Arial"/>
                <w:sz w:val="14"/>
                <w:szCs w:val="14"/>
                <w:b w:val="1"/>
                <w:bCs w:val="1"/>
                <w:color w:val="auto"/>
                <w:w w:val="89"/>
              </w:rPr>
              <w:t>(Zip Code)</w:t>
            </w:r>
          </w:p>
        </w:tc>
        <w:tc>
          <w:tcPr>
            <w:tcW w:w="0" w:type="dxa"/>
            <w:vAlign w:val="bottom"/>
          </w:tcPr>
          <w:p>
            <w:pPr>
              <w:spacing w:after="0"/>
              <w:rPr>
                <w:sz w:val="1"/>
                <w:szCs w:val="1"/>
                <w:color w:val="auto"/>
              </w:rPr>
            </w:pPr>
          </w:p>
        </w:tc>
      </w:tr>
    </w:tbl>
    <w:p>
      <w:pPr>
        <w:spacing w:after="0" w:line="68"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 xml:space="preserve">Registrant’s Telephone Number, Including Area Code: </w:t>
      </w:r>
      <w:r>
        <w:rPr>
          <w:rFonts w:ascii="Arial" w:cs="Arial" w:eastAsia="Arial" w:hAnsi="Arial"/>
          <w:sz w:val="18"/>
          <w:szCs w:val="18"/>
          <w:b w:val="1"/>
          <w:bCs w:val="1"/>
          <w:color w:val="auto"/>
        </w:rPr>
        <w:t>(781) 828-9300</w:t>
      </w:r>
    </w:p>
    <w:p>
      <w:pPr>
        <w:spacing w:after="0" w:line="112"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Not Applicable</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3349625</wp:posOffset>
            </wp:positionH>
            <wp:positionV relativeFrom="paragraph">
              <wp:posOffset>150495</wp:posOffset>
            </wp:positionV>
            <wp:extent cx="5575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7530" cy="8890"/>
                    </a:xfrm>
                    <a:prstGeom prst="rect">
                      <a:avLst/>
                    </a:prstGeom>
                    <a:noFill/>
                  </pic:spPr>
                </pic:pic>
              </a:graphicData>
            </a:graphic>
          </wp:anchor>
        </w:drawing>
      </w:r>
    </w:p>
    <w:p>
      <w:pPr>
        <w:spacing w:after="0" w:line="378" w:lineRule="exact"/>
        <w:rPr>
          <w:sz w:val="24"/>
          <w:szCs w:val="24"/>
          <w:color w:val="auto"/>
        </w:rPr>
      </w:pPr>
    </w:p>
    <w:p>
      <w:pPr>
        <w:ind w:right="10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Instructions A.2. below):</w:t>
      </w:r>
    </w:p>
    <w:p>
      <w:pPr>
        <w:spacing w:after="0" w:line="62" w:lineRule="exact"/>
        <w:rPr>
          <w:sz w:val="24"/>
          <w:szCs w:val="24"/>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17"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17"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17" w:lineRule="exact"/>
        <w:rPr>
          <w:rFonts w:ascii="MS PGothic" w:cs="MS PGothic" w:eastAsia="MS PGothic" w:hAnsi="MS PGothic"/>
          <w:sz w:val="18"/>
          <w:szCs w:val="18"/>
          <w:color w:val="auto"/>
        </w:rPr>
      </w:pPr>
    </w:p>
    <w:p>
      <w:pPr>
        <w:ind w:left="600" w:hanging="592"/>
        <w:spacing w:after="0"/>
        <w:tabs>
          <w:tab w:leader="none" w:pos="6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16"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2680970</wp:posOffset>
            </wp:positionH>
            <wp:positionV relativeFrom="paragraph">
              <wp:posOffset>17780</wp:posOffset>
            </wp:positionV>
            <wp:extent cx="8890" cy="4114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411480"/>
                    </a:xfrm>
                    <a:prstGeom prst="rect">
                      <a:avLst/>
                    </a:prstGeom>
                    <a:noFill/>
                  </pic:spPr>
                </pic:pic>
              </a:graphicData>
            </a:graphic>
          </wp:anchor>
        </w:drawing>
      </w:r>
    </w:p>
    <w:p>
      <w:pPr>
        <w:spacing w:after="0" w:line="2" w:lineRule="exact"/>
        <w:rPr>
          <w:sz w:val="24"/>
          <w:szCs w:val="24"/>
          <w:color w:val="auto"/>
        </w:rPr>
      </w:pPr>
    </w:p>
    <w:tbl>
      <w:tblPr>
        <w:tblLayout w:type="fixed"/>
        <w:tblInd w:w="10" w:type="dxa"/>
        <w:tblCellMar>
          <w:top w:w="0" w:type="dxa"/>
          <w:left w:w="0" w:type="dxa"/>
          <w:bottom w:w="0" w:type="dxa"/>
          <w:right w:w="0" w:type="dxa"/>
        </w:tblCellMar>
      </w:tblPr>
      <w:tr>
        <w:trPr>
          <w:trHeight w:val="304"/>
        </w:trPr>
        <w:tc>
          <w:tcPr>
            <w:tcW w:w="30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Title of each class</w:t>
            </w:r>
          </w:p>
        </w:tc>
        <w:tc>
          <w:tcPr>
            <w:tcW w:w="4120" w:type="dxa"/>
            <w:vAlign w:val="bottom"/>
            <w:tcBorders>
              <w:top w:val="single" w:sz="8" w:color="auto"/>
              <w:right w:val="single" w:sz="8" w:color="auto"/>
            </w:tcBorders>
            <w:gridSpan w:val="2"/>
          </w:tcPr>
          <w:p>
            <w:pPr>
              <w:spacing w:after="0"/>
              <w:rPr>
                <w:sz w:val="20"/>
                <w:szCs w:val="20"/>
                <w:color w:val="auto"/>
              </w:rPr>
            </w:pPr>
            <w:r>
              <w:rPr>
                <w:rFonts w:ascii="Arial" w:cs="Arial" w:eastAsia="Arial" w:hAnsi="Arial"/>
                <w:sz w:val="16"/>
                <w:szCs w:val="16"/>
                <w:color w:val="auto"/>
                <w:w w:val="91"/>
              </w:rPr>
              <w:t>Trading symbol(s)Name of each exchange on which registered</w:t>
            </w:r>
          </w:p>
        </w:tc>
      </w:tr>
      <w:tr>
        <w:trPr>
          <w:trHeight w:val="33"/>
        </w:trPr>
        <w:tc>
          <w:tcPr>
            <w:tcW w:w="3020" w:type="dxa"/>
            <w:vAlign w:val="bottom"/>
            <w:tcBorders>
              <w:left w:val="single" w:sz="8" w:color="auto"/>
              <w:bottom w:val="single" w:sz="8" w:color="auto"/>
              <w:right w:val="single" w:sz="8" w:color="auto"/>
            </w:tcBorders>
          </w:tcPr>
          <w:p>
            <w:pPr>
              <w:spacing w:after="0"/>
              <w:rPr>
                <w:sz w:val="2"/>
                <w:szCs w:val="2"/>
                <w:color w:val="auto"/>
              </w:rPr>
            </w:pPr>
          </w:p>
        </w:tc>
        <w:tc>
          <w:tcPr>
            <w:tcW w:w="1210" w:type="dxa"/>
            <w:vAlign w:val="bottom"/>
            <w:tcBorders>
              <w:bottom w:val="single" w:sz="8" w:color="auto"/>
            </w:tcBorders>
          </w:tcPr>
          <w:p>
            <w:pPr>
              <w:spacing w:after="0"/>
              <w:rPr>
                <w:sz w:val="2"/>
                <w:szCs w:val="2"/>
                <w:color w:val="auto"/>
              </w:rPr>
            </w:pPr>
          </w:p>
        </w:tc>
        <w:tc>
          <w:tcPr>
            <w:tcW w:w="2910" w:type="dxa"/>
            <w:vAlign w:val="bottom"/>
            <w:tcBorders>
              <w:bottom w:val="single" w:sz="8" w:color="auto"/>
              <w:right w:val="single" w:sz="8" w:color="auto"/>
            </w:tcBorders>
          </w:tcPr>
          <w:p>
            <w:pPr>
              <w:spacing w:after="0"/>
              <w:rPr>
                <w:sz w:val="2"/>
                <w:szCs w:val="2"/>
                <w:color w:val="auto"/>
              </w:rPr>
            </w:pPr>
          </w:p>
        </w:tc>
      </w:tr>
      <w:tr>
        <w:trPr>
          <w:trHeight w:val="200"/>
        </w:trPr>
        <w:tc>
          <w:tcPr>
            <w:tcW w:w="30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1"/>
              </w:rPr>
              <w:t>Common Stock, $0.01 par value</w:t>
            </w:r>
          </w:p>
        </w:tc>
        <w:tc>
          <w:tcPr>
            <w:tcW w:w="1210" w:type="dxa"/>
            <w:vAlign w:val="bottom"/>
          </w:tcPr>
          <w:p>
            <w:pPr>
              <w:ind w:left="380"/>
              <w:spacing w:after="0"/>
              <w:rPr>
                <w:sz w:val="20"/>
                <w:szCs w:val="20"/>
                <w:color w:val="auto"/>
              </w:rPr>
            </w:pPr>
            <w:r>
              <w:rPr>
                <w:rFonts w:ascii="Arial" w:cs="Arial" w:eastAsia="Arial" w:hAnsi="Arial"/>
                <w:sz w:val="16"/>
                <w:szCs w:val="16"/>
                <w:color w:val="auto"/>
              </w:rPr>
              <w:t>DXLG</w:t>
            </w:r>
          </w:p>
        </w:tc>
        <w:tc>
          <w:tcPr>
            <w:tcW w:w="2910" w:type="dxa"/>
            <w:vAlign w:val="bottom"/>
            <w:tcBorders>
              <w:right w:val="single" w:sz="8" w:color="auto"/>
            </w:tcBorders>
          </w:tcPr>
          <w:p>
            <w:pPr>
              <w:ind w:left="470"/>
              <w:spacing w:after="0"/>
              <w:rPr>
                <w:sz w:val="20"/>
                <w:szCs w:val="20"/>
                <w:color w:val="auto"/>
              </w:rPr>
            </w:pPr>
            <w:r>
              <w:rPr>
                <w:rFonts w:ascii="Arial" w:cs="Arial" w:eastAsia="Arial" w:hAnsi="Arial"/>
                <w:sz w:val="16"/>
                <w:szCs w:val="16"/>
                <w:color w:val="auto"/>
              </w:rPr>
              <w:t>NASDAQ Stock Market LLC</w:t>
            </w:r>
          </w:p>
        </w:tc>
      </w:tr>
      <w:tr>
        <w:trPr>
          <w:trHeight w:val="64"/>
        </w:trPr>
        <w:tc>
          <w:tcPr>
            <w:tcW w:w="3020" w:type="dxa"/>
            <w:vAlign w:val="bottom"/>
            <w:tcBorders>
              <w:left w:val="single" w:sz="8" w:color="auto"/>
              <w:bottom w:val="single" w:sz="8" w:color="auto"/>
              <w:right w:val="single" w:sz="8" w:color="auto"/>
            </w:tcBorders>
          </w:tcPr>
          <w:p>
            <w:pPr>
              <w:spacing w:after="0"/>
              <w:rPr>
                <w:sz w:val="5"/>
                <w:szCs w:val="5"/>
                <w:color w:val="auto"/>
              </w:rPr>
            </w:pPr>
          </w:p>
        </w:tc>
        <w:tc>
          <w:tcPr>
            <w:tcW w:w="1210" w:type="dxa"/>
            <w:vAlign w:val="bottom"/>
            <w:tcBorders>
              <w:bottom w:val="single" w:sz="8" w:color="auto"/>
            </w:tcBorders>
          </w:tcPr>
          <w:p>
            <w:pPr>
              <w:spacing w:after="0"/>
              <w:rPr>
                <w:sz w:val="5"/>
                <w:szCs w:val="5"/>
                <w:color w:val="auto"/>
              </w:rPr>
            </w:pPr>
          </w:p>
        </w:tc>
        <w:tc>
          <w:tcPr>
            <w:tcW w:w="2910" w:type="dxa"/>
            <w:vAlign w:val="bottom"/>
            <w:tcBorders>
              <w:bottom w:val="single" w:sz="8" w:color="auto"/>
              <w:right w:val="single" w:sz="8" w:color="auto"/>
            </w:tcBorders>
          </w:tcPr>
          <w:p>
            <w:pPr>
              <w:spacing w:after="0"/>
              <w:rPr>
                <w:sz w:val="5"/>
                <w:szCs w:val="5"/>
                <w:color w:val="auto"/>
              </w:rPr>
            </w:pPr>
          </w:p>
        </w:tc>
      </w:tr>
    </w:tbl>
    <w:p>
      <w:pPr>
        <w:spacing w:after="0" w:line="94"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3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50" w:lineRule="exact"/>
        <w:rPr>
          <w:sz w:val="24"/>
          <w:szCs w:val="24"/>
          <w:color w:val="auto"/>
        </w:rPr>
      </w:pPr>
    </w:p>
    <w:p>
      <w:pPr>
        <w:ind w:right="12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43815</wp:posOffset>
            </wp:positionV>
            <wp:extent cx="728916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42545"/>
                    </a:xfrm>
                    <a:prstGeom prst="rect">
                      <a:avLst/>
                    </a:prstGeom>
                    <a:noFill/>
                  </pic:spPr>
                </pic:pic>
              </a:graphicData>
            </a:graphic>
          </wp:anchor>
        </w:drawing>
      </w:r>
    </w:p>
    <w:p>
      <w:pPr>
        <w:sectPr>
          <w:pgSz w:w="11900" w:h="16838" w:orient="portrait"/>
          <w:cols w:equalWidth="0" w:num="1">
            <w:col w:w="11400"/>
          </w:cols>
          <w:pgMar w:left="240" w:top="607" w:right="259" w:bottom="1440" w:gutter="0" w:footer="0" w:header="0"/>
        </w:sectPr>
      </w:pPr>
    </w:p>
    <w:bookmarkStart w:id="1" w:name="page2"/>
    <w:bookmarkEnd w:id="1"/>
    <w:p>
      <w:pPr>
        <w:spacing w:after="0"/>
        <w:rPr>
          <w:sz w:val="20"/>
          <w:szCs w:val="20"/>
          <w:color w:val="auto"/>
        </w:rPr>
      </w:pPr>
      <w:r>
        <w:rPr>
          <w:rFonts w:ascii="Arial" w:cs="Arial" w:eastAsia="Arial" w:hAnsi="Arial"/>
          <w:sz w:val="22"/>
          <w:szCs w:val="22"/>
          <w:b w:val="1"/>
          <w:bCs w:val="1"/>
          <w:color w:val="auto"/>
        </w:rPr>
        <w:t>Item 7.01 Regulation FD Disclosure.</w:t>
      </w:r>
    </w:p>
    <w:p>
      <w:pPr>
        <w:spacing w:after="0" w:line="212" w:lineRule="exact"/>
        <w:rPr>
          <w:sz w:val="20"/>
          <w:szCs w:val="20"/>
          <w:color w:val="auto"/>
        </w:rPr>
      </w:pPr>
    </w:p>
    <w:p>
      <w:pPr>
        <w:ind w:right="120"/>
        <w:spacing w:after="0" w:line="328" w:lineRule="auto"/>
        <w:rPr>
          <w:sz w:val="20"/>
          <w:szCs w:val="20"/>
          <w:color w:val="auto"/>
        </w:rPr>
      </w:pPr>
      <w:r>
        <w:rPr>
          <w:rFonts w:ascii="Arial" w:cs="Arial" w:eastAsia="Arial" w:hAnsi="Arial"/>
          <w:sz w:val="19"/>
          <w:szCs w:val="19"/>
          <w:color w:val="auto"/>
        </w:rPr>
        <w:t>On October 29, 2019, Destination XL Group, Inc. (the “Company”) issued a press release announcing that Erica W. Thompson has joined the Company as Chief Marketing Officer. A copy of the press release is furnished herewith as Exhibit 99.1.</w:t>
      </w:r>
    </w:p>
    <w:p>
      <w:pPr>
        <w:spacing w:after="0" w:line="9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Item 9.01 Financial Statements and Exhibits.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840" w:type="dxa"/>
            <w:vAlign w:val="bottom"/>
            <w:gridSpan w:val="2"/>
          </w:tcPr>
          <w:p>
            <w:pPr>
              <w:spacing w:after="0"/>
              <w:rPr>
                <w:sz w:val="20"/>
                <w:szCs w:val="20"/>
                <w:color w:val="auto"/>
              </w:rPr>
            </w:pPr>
            <w:r>
              <w:rPr>
                <w:rFonts w:ascii="Arial" w:cs="Arial" w:eastAsia="Arial" w:hAnsi="Arial"/>
                <w:sz w:val="22"/>
                <w:szCs w:val="22"/>
                <w:color w:val="auto"/>
              </w:rPr>
              <w:t>(d) Exhibits</w:t>
            </w:r>
          </w:p>
        </w:tc>
        <w:tc>
          <w:tcPr>
            <w:tcW w:w="1080" w:type="dxa"/>
            <w:vAlign w:val="bottom"/>
          </w:tcPr>
          <w:p>
            <w:pPr>
              <w:spacing w:after="0"/>
              <w:rPr>
                <w:sz w:val="23"/>
                <w:szCs w:val="23"/>
                <w:color w:val="auto"/>
              </w:rPr>
            </w:pPr>
          </w:p>
        </w:tc>
        <w:tc>
          <w:tcPr>
            <w:tcW w:w="5800" w:type="dxa"/>
            <w:vAlign w:val="bottom"/>
          </w:tcPr>
          <w:p>
            <w:pPr>
              <w:spacing w:after="0"/>
              <w:rPr>
                <w:sz w:val="23"/>
                <w:szCs w:val="23"/>
                <w:color w:val="auto"/>
              </w:rPr>
            </w:pPr>
          </w:p>
        </w:tc>
        <w:tc>
          <w:tcPr>
            <w:tcW w:w="2720" w:type="dxa"/>
            <w:vAlign w:val="bottom"/>
          </w:tcPr>
          <w:p>
            <w:pPr>
              <w:spacing w:after="0"/>
              <w:rPr>
                <w:sz w:val="23"/>
                <w:szCs w:val="23"/>
                <w:color w:val="auto"/>
              </w:rPr>
            </w:pPr>
          </w:p>
        </w:tc>
      </w:tr>
      <w:tr>
        <w:trPr>
          <w:trHeight w:val="409"/>
        </w:trPr>
        <w:tc>
          <w:tcPr>
            <w:tcW w:w="1840" w:type="dxa"/>
            <w:vAlign w:val="bottom"/>
            <w:gridSpan w:val="2"/>
          </w:tcPr>
          <w:p>
            <w:pPr>
              <w:spacing w:after="0"/>
              <w:rPr>
                <w:sz w:val="20"/>
                <w:szCs w:val="20"/>
                <w:color w:val="auto"/>
              </w:rPr>
            </w:pPr>
            <w:r>
              <w:rPr>
                <w:rFonts w:ascii="Arial" w:cs="Arial" w:eastAsia="Arial" w:hAnsi="Arial"/>
                <w:sz w:val="22"/>
                <w:szCs w:val="22"/>
                <w:b w:val="1"/>
                <w:bCs w:val="1"/>
                <w:color w:val="auto"/>
              </w:rPr>
              <w:t>Exhibit No.</w:t>
            </w:r>
          </w:p>
        </w:tc>
        <w:tc>
          <w:tcPr>
            <w:tcW w:w="9600" w:type="dxa"/>
            <w:vAlign w:val="bottom"/>
            <w:gridSpan w:val="3"/>
          </w:tcPr>
          <w:p>
            <w:pPr>
              <w:spacing w:after="0"/>
              <w:rPr>
                <w:sz w:val="20"/>
                <w:szCs w:val="20"/>
                <w:color w:val="auto"/>
              </w:rPr>
            </w:pPr>
            <w:r>
              <w:rPr>
                <w:rFonts w:ascii="Arial" w:cs="Arial" w:eastAsia="Arial" w:hAnsi="Arial"/>
                <w:sz w:val="22"/>
                <w:szCs w:val="22"/>
                <w:b w:val="1"/>
                <w:bCs w:val="1"/>
                <w:color w:val="auto"/>
              </w:rPr>
              <w:t>Description</w:t>
            </w:r>
          </w:p>
        </w:tc>
      </w:tr>
      <w:tr>
        <w:trPr>
          <w:trHeight w:val="20"/>
        </w:trPr>
        <w:tc>
          <w:tcPr>
            <w:tcW w:w="10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r>
      <w:tr>
        <w:trPr>
          <w:trHeight w:val="223"/>
        </w:trPr>
        <w:tc>
          <w:tcPr>
            <w:tcW w:w="1020" w:type="dxa"/>
            <w:vAlign w:val="bottom"/>
          </w:tcPr>
          <w:p>
            <w:pPr>
              <w:spacing w:after="0" w:line="223" w:lineRule="exact"/>
              <w:rPr>
                <w:sz w:val="20"/>
                <w:szCs w:val="20"/>
                <w:color w:val="auto"/>
              </w:rPr>
            </w:pPr>
            <w:r>
              <w:rPr>
                <w:rFonts w:ascii="Arial" w:cs="Arial" w:eastAsia="Arial" w:hAnsi="Arial"/>
                <w:sz w:val="22"/>
                <w:szCs w:val="22"/>
                <w:color w:val="auto"/>
              </w:rPr>
              <w:t>99.1</w:t>
            </w:r>
          </w:p>
        </w:tc>
        <w:tc>
          <w:tcPr>
            <w:tcW w:w="820" w:type="dxa"/>
            <w:vAlign w:val="bottom"/>
          </w:tcPr>
          <w:p>
            <w:pPr>
              <w:spacing w:after="0"/>
              <w:rPr>
                <w:sz w:val="19"/>
                <w:szCs w:val="19"/>
                <w:color w:val="auto"/>
              </w:rPr>
            </w:pPr>
          </w:p>
        </w:tc>
        <w:tc>
          <w:tcPr>
            <w:tcW w:w="9600" w:type="dxa"/>
            <w:vAlign w:val="bottom"/>
            <w:gridSpan w:val="3"/>
          </w:tcPr>
          <w:p>
            <w:pPr>
              <w:spacing w:after="0" w:line="223" w:lineRule="exact"/>
              <w:rPr>
                <w:rFonts w:ascii="Arial" w:cs="Arial" w:eastAsia="Arial" w:hAnsi="Arial"/>
                <w:sz w:val="22"/>
                <w:szCs w:val="22"/>
                <w:color w:val="0000EE"/>
              </w:rPr>
            </w:pPr>
            <w:hyperlink w:anchor="page4">
              <w:r>
                <w:rPr>
                  <w:rFonts w:ascii="Arial" w:cs="Arial" w:eastAsia="Arial" w:hAnsi="Arial"/>
                  <w:sz w:val="22"/>
                  <w:szCs w:val="22"/>
                  <w:color w:val="0000EE"/>
                </w:rPr>
                <w:t>Press release dated October 29, 2019 announcing new Chief Marketing Officer.</w:t>
              </w:r>
            </w:hyperlink>
          </w:p>
        </w:tc>
      </w:tr>
      <w:tr>
        <w:trPr>
          <w:trHeight w:val="733"/>
        </w:trPr>
        <w:tc>
          <w:tcPr>
            <w:tcW w:w="10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880" w:type="dxa"/>
            <w:vAlign w:val="bottom"/>
            <w:tcBorders>
              <w:top w:val="single" w:sz="8" w:color="0000EE"/>
            </w:tcBorders>
            <w:gridSpan w:val="2"/>
          </w:tcPr>
          <w:p>
            <w:pPr>
              <w:jc w:val="right"/>
              <w:ind w:right="2960"/>
              <w:spacing w:after="0"/>
              <w:rPr>
                <w:sz w:val="20"/>
                <w:szCs w:val="20"/>
                <w:color w:val="auto"/>
              </w:rPr>
            </w:pPr>
            <w:r>
              <w:rPr>
                <w:rFonts w:ascii="Arial" w:cs="Arial" w:eastAsia="Arial" w:hAnsi="Arial"/>
                <w:sz w:val="22"/>
                <w:szCs w:val="22"/>
                <w:color w:val="auto"/>
              </w:rPr>
              <w:t>2</w:t>
            </w:r>
          </w:p>
        </w:tc>
        <w:tc>
          <w:tcPr>
            <w:tcW w:w="2720" w:type="dxa"/>
            <w:vAlign w:val="bottom"/>
          </w:tcPr>
          <w:p>
            <w:pPr>
              <w:spacing w:after="0"/>
              <w:rPr>
                <w:sz w:val="24"/>
                <w:szCs w:val="24"/>
                <w:color w:val="auto"/>
              </w:rPr>
            </w:pPr>
          </w:p>
        </w:tc>
      </w:tr>
      <w:tr>
        <w:trPr>
          <w:trHeight w:val="105"/>
        </w:trPr>
        <w:tc>
          <w:tcPr>
            <w:tcW w:w="1020" w:type="dxa"/>
            <w:vAlign w:val="bottom"/>
            <w:tcBorders>
              <w:bottom w:val="single" w:sz="8" w:color="9A9A9A"/>
            </w:tcBorders>
          </w:tcPr>
          <w:p>
            <w:pPr>
              <w:spacing w:after="0"/>
              <w:rPr>
                <w:sz w:val="9"/>
                <w:szCs w:val="9"/>
                <w:color w:val="auto"/>
              </w:rPr>
            </w:pPr>
          </w:p>
        </w:tc>
        <w:tc>
          <w:tcPr>
            <w:tcW w:w="820" w:type="dxa"/>
            <w:vAlign w:val="bottom"/>
            <w:tcBorders>
              <w:bottom w:val="single" w:sz="8" w:color="9A9A9A"/>
            </w:tcBorders>
          </w:tcPr>
          <w:p>
            <w:pPr>
              <w:spacing w:after="0"/>
              <w:rPr>
                <w:sz w:val="9"/>
                <w:szCs w:val="9"/>
                <w:color w:val="auto"/>
              </w:rPr>
            </w:pPr>
          </w:p>
        </w:tc>
        <w:tc>
          <w:tcPr>
            <w:tcW w:w="1080" w:type="dxa"/>
            <w:vAlign w:val="bottom"/>
            <w:tcBorders>
              <w:bottom w:val="single" w:sz="8" w:color="9A9A9A"/>
            </w:tcBorders>
          </w:tcPr>
          <w:p>
            <w:pPr>
              <w:spacing w:after="0"/>
              <w:rPr>
                <w:sz w:val="9"/>
                <w:szCs w:val="9"/>
                <w:color w:val="auto"/>
              </w:rPr>
            </w:pPr>
          </w:p>
        </w:tc>
        <w:tc>
          <w:tcPr>
            <w:tcW w:w="5800" w:type="dxa"/>
            <w:vAlign w:val="bottom"/>
            <w:tcBorders>
              <w:bottom w:val="single" w:sz="8" w:color="9A9A9A"/>
            </w:tcBorders>
          </w:tcPr>
          <w:p>
            <w:pPr>
              <w:spacing w:after="0"/>
              <w:rPr>
                <w:sz w:val="9"/>
                <w:szCs w:val="9"/>
                <w:color w:val="auto"/>
              </w:rPr>
            </w:pPr>
          </w:p>
        </w:tc>
        <w:tc>
          <w:tcPr>
            <w:tcW w:w="27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7247255</wp:posOffset>
            </wp:positionH>
            <wp:positionV relativeFrom="paragraph">
              <wp:posOffset>-29210</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40"/>
          </w:cols>
          <w:pgMar w:left="240" w:top="328" w:right="219" w:bottom="1440" w:gutter="0" w:footer="0" w:header="0"/>
        </w:sectPr>
      </w:pPr>
    </w:p>
    <w:bookmarkStart w:id="2" w:name="page3"/>
    <w:bookmarkEnd w:id="2"/>
    <w:p>
      <w:pPr>
        <w:jc w:val="center"/>
        <w:ind w:right="-139"/>
        <w:spacing w:after="0"/>
        <w:rPr>
          <w:sz w:val="20"/>
          <w:szCs w:val="20"/>
          <w:color w:val="auto"/>
        </w:rPr>
      </w:pPr>
      <w:r>
        <w:rPr>
          <w:rFonts w:ascii="Arial" w:cs="Arial" w:eastAsia="Arial" w:hAnsi="Arial"/>
          <w:sz w:val="22"/>
          <w:szCs w:val="22"/>
          <w:b w:val="1"/>
          <w:bCs w:val="1"/>
          <w:color w:val="auto"/>
        </w:rPr>
        <w:t>SIGNATURES</w:t>
      </w:r>
    </w:p>
    <w:p>
      <w:pPr>
        <w:spacing w:after="0" w:line="239" w:lineRule="exact"/>
        <w:rPr>
          <w:sz w:val="20"/>
          <w:szCs w:val="20"/>
          <w:color w:val="auto"/>
        </w:rPr>
      </w:pPr>
    </w:p>
    <w:p>
      <w:pPr>
        <w:ind w:right="140"/>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ind w:left="6680"/>
        <w:spacing w:after="0"/>
        <w:rPr>
          <w:sz w:val="20"/>
          <w:szCs w:val="20"/>
          <w:color w:val="auto"/>
        </w:rPr>
      </w:pPr>
      <w:r>
        <w:rPr>
          <w:rFonts w:ascii="Arial" w:cs="Arial" w:eastAsia="Arial" w:hAnsi="Arial"/>
          <w:sz w:val="22"/>
          <w:szCs w:val="22"/>
          <w:color w:val="auto"/>
        </w:rPr>
        <w:t>DESTINATION XL GROUP, INC.</w:t>
      </w:r>
    </w:p>
    <w:p>
      <w:pPr>
        <w:spacing w:after="0" w:line="179" w:lineRule="exact"/>
        <w:rPr>
          <w:sz w:val="20"/>
          <w:szCs w:val="20"/>
          <w:color w:val="auto"/>
        </w:rPr>
      </w:pPr>
    </w:p>
    <w:p>
      <w:pPr>
        <w:ind w:left="20"/>
        <w:spacing w:after="0"/>
        <w:tabs>
          <w:tab w:leader="none" w:pos="860" w:val="left"/>
          <w:tab w:leader="none" w:pos="5880" w:val="left"/>
          <w:tab w:leader="none" w:pos="8140" w:val="left"/>
        </w:tabs>
        <w:rPr>
          <w:sz w:val="20"/>
          <w:szCs w:val="20"/>
          <w:color w:val="auto"/>
        </w:rPr>
      </w:pPr>
      <w:r>
        <w:rPr>
          <w:rFonts w:ascii="Arial" w:cs="Arial" w:eastAsia="Arial" w:hAnsi="Arial"/>
          <w:sz w:val="22"/>
          <w:szCs w:val="22"/>
          <w:color w:val="auto"/>
        </w:rPr>
        <w:t>Date:</w:t>
      </w:r>
      <w:r>
        <w:rPr>
          <w:sz w:val="20"/>
          <w:szCs w:val="20"/>
          <w:color w:val="auto"/>
        </w:rPr>
        <w:tab/>
      </w:r>
      <w:r>
        <w:rPr>
          <w:rFonts w:ascii="Arial" w:cs="Arial" w:eastAsia="Arial" w:hAnsi="Arial"/>
          <w:sz w:val="22"/>
          <w:szCs w:val="22"/>
          <w:color w:val="auto"/>
        </w:rPr>
        <w:t>October 29, 2019</w:t>
      </w:r>
      <w:r>
        <w:rPr>
          <w:sz w:val="20"/>
          <w:szCs w:val="20"/>
          <w:color w:val="auto"/>
        </w:rPr>
        <w:tab/>
      </w:r>
      <w:r>
        <w:rPr>
          <w:rFonts w:ascii="Arial" w:cs="Arial" w:eastAsia="Arial" w:hAnsi="Arial"/>
          <w:sz w:val="22"/>
          <w:szCs w:val="22"/>
          <w:color w:val="auto"/>
        </w:rPr>
        <w:t>By:</w:t>
      </w:r>
      <w:r>
        <w:rPr>
          <w:sz w:val="20"/>
          <w:szCs w:val="20"/>
          <w:color w:val="auto"/>
        </w:rPr>
        <w:tab/>
      </w:r>
      <w:r>
        <w:rPr>
          <w:rFonts w:ascii="Arial" w:cs="Arial" w:eastAsia="Arial" w:hAnsi="Arial"/>
          <w:sz w:val="19"/>
          <w:szCs w:val="19"/>
          <w:color w:val="auto"/>
        </w:rPr>
        <w:t>/s/ Robert S. Molloy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4241800</wp:posOffset>
            </wp:positionH>
            <wp:positionV relativeFrom="paragraph">
              <wp:posOffset>7620</wp:posOffset>
            </wp:positionV>
            <wp:extent cx="30016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001645" cy="8890"/>
                    </a:xfrm>
                    <a:prstGeom prst="rect">
                      <a:avLst/>
                    </a:prstGeom>
                    <a:noFill/>
                  </pic:spPr>
                </pic:pic>
              </a:graphicData>
            </a:graphic>
          </wp:anchor>
        </w:drawing>
      </w:r>
    </w:p>
    <w:p>
      <w:pPr>
        <w:jc w:val="center"/>
        <w:ind w:left="6660"/>
        <w:spacing w:after="0"/>
        <w:rPr>
          <w:sz w:val="20"/>
          <w:szCs w:val="20"/>
          <w:color w:val="auto"/>
        </w:rPr>
      </w:pPr>
      <w:r>
        <w:rPr>
          <w:rFonts w:ascii="Arial" w:cs="Arial" w:eastAsia="Arial" w:hAnsi="Arial"/>
          <w:sz w:val="14"/>
          <w:szCs w:val="14"/>
          <w:b w:val="1"/>
          <w:bCs w:val="1"/>
          <w:color w:val="auto"/>
        </w:rPr>
        <w:t>Robert S. Molloy</w:t>
      </w:r>
    </w:p>
    <w:p>
      <w:pPr>
        <w:jc w:val="center"/>
        <w:ind w:left="6660"/>
        <w:spacing w:after="0"/>
        <w:rPr>
          <w:sz w:val="20"/>
          <w:szCs w:val="20"/>
          <w:color w:val="auto"/>
        </w:rPr>
      </w:pPr>
      <w:r>
        <w:rPr>
          <w:rFonts w:ascii="Arial" w:cs="Arial" w:eastAsia="Arial" w:hAnsi="Arial"/>
          <w:sz w:val="13"/>
          <w:szCs w:val="13"/>
          <w:b w:val="1"/>
          <w:bCs w:val="1"/>
          <w:color w:val="auto"/>
        </w:rPr>
        <w:t>Senior Vice President, Chief Administrative Officer, General Counsel and</w:t>
      </w:r>
    </w:p>
    <w:p>
      <w:pPr>
        <w:jc w:val="center"/>
        <w:ind w:left="6660"/>
        <w:spacing w:after="0"/>
        <w:rPr>
          <w:sz w:val="20"/>
          <w:szCs w:val="20"/>
          <w:color w:val="auto"/>
        </w:rPr>
      </w:pPr>
      <w:r>
        <w:rPr>
          <w:rFonts w:ascii="Arial" w:cs="Arial" w:eastAsia="Arial" w:hAnsi="Arial"/>
          <w:sz w:val="14"/>
          <w:szCs w:val="14"/>
          <w:b w:val="1"/>
          <w:bCs w:val="1"/>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39"/>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300"/>
          </w:cols>
          <w:pgMar w:left="240" w:top="355" w:right="35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668655" cy="3860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68655" cy="3860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Destination XL Group, Inc. Names Erica W. Thompson Chief Marketing Officer</w:t>
      </w:r>
    </w:p>
    <w:p>
      <w:pPr>
        <w:spacing w:after="0" w:line="216" w:lineRule="exact"/>
        <w:rPr>
          <w:sz w:val="20"/>
          <w:szCs w:val="20"/>
          <w:color w:val="auto"/>
        </w:rPr>
      </w:pPr>
    </w:p>
    <w:p>
      <w:pPr>
        <w:jc w:val="center"/>
        <w:spacing w:after="0" w:line="267" w:lineRule="auto"/>
        <w:rPr>
          <w:sz w:val="20"/>
          <w:szCs w:val="20"/>
          <w:color w:val="auto"/>
        </w:rPr>
      </w:pPr>
      <w:r>
        <w:rPr>
          <w:rFonts w:ascii="Arial" w:cs="Arial" w:eastAsia="Arial" w:hAnsi="Arial"/>
          <w:sz w:val="18"/>
          <w:szCs w:val="18"/>
          <w:i w:val="1"/>
          <w:iCs w:val="1"/>
          <w:color w:val="auto"/>
        </w:rPr>
        <w:t>CMO’s placement bolsters DXL’s commitment to strengthened capabilities in digital and customer relationship marketing, as well as e-commerce</w:t>
      </w:r>
    </w:p>
    <w:p>
      <w:pPr>
        <w:spacing w:after="0" w:line="233" w:lineRule="exact"/>
        <w:rPr>
          <w:sz w:val="20"/>
          <w:szCs w:val="20"/>
          <w:color w:val="auto"/>
        </w:rPr>
      </w:pPr>
    </w:p>
    <w:p>
      <w:pPr>
        <w:jc w:val="both"/>
        <w:ind w:right="180"/>
        <w:spacing w:after="0" w:line="234" w:lineRule="auto"/>
        <w:rPr>
          <w:sz w:val="20"/>
          <w:szCs w:val="20"/>
          <w:color w:val="auto"/>
        </w:rPr>
      </w:pPr>
      <w:r>
        <w:rPr>
          <w:rFonts w:ascii="Arial" w:cs="Arial" w:eastAsia="Arial" w:hAnsi="Arial"/>
          <w:sz w:val="18"/>
          <w:szCs w:val="18"/>
          <w:color w:val="auto"/>
        </w:rPr>
        <w:t>CANTON, MA (October 29, 2019) -- Destination XL Group, Inc. (NASDAQ: DXLG), the leading omni-channel specialty retailer of men’s Big + Tall clothing and shoes, announced today that Erica W. Thompson has joined its team as Chief Marketing Officer. Ms. Thompson brings over 20 years of marketing leadership experience with a particular focus on customer relationship marketing, digital marketing, and e-commerce.</w:t>
      </w:r>
    </w:p>
    <w:p>
      <w:pPr>
        <w:spacing w:after="0" w:line="2" w:lineRule="exact"/>
        <w:rPr>
          <w:sz w:val="20"/>
          <w:szCs w:val="20"/>
          <w:color w:val="auto"/>
        </w:rPr>
      </w:pPr>
    </w:p>
    <w:p>
      <w:pPr>
        <w:ind w:right="640"/>
        <w:spacing w:after="0" w:line="246" w:lineRule="auto"/>
        <w:rPr>
          <w:sz w:val="20"/>
          <w:szCs w:val="20"/>
          <w:color w:val="auto"/>
        </w:rPr>
      </w:pPr>
      <w:r>
        <w:rPr>
          <w:rFonts w:ascii="Arial" w:cs="Arial" w:eastAsia="Arial" w:hAnsi="Arial"/>
          <w:sz w:val="18"/>
          <w:szCs w:val="18"/>
          <w:color w:val="auto"/>
        </w:rPr>
        <w:t>Prior to joining DXL, Ms. Thompson held senior marketing positions with HSN, New York &amp; Company and PetSmart. At DXL she will be responsible for the marketing organization, including the overall marketing strategy, brand, creative, media, CRM and e-commerce.</w:t>
      </w:r>
    </w:p>
    <w:p>
      <w:pPr>
        <w:spacing w:after="0" w:line="305" w:lineRule="exact"/>
        <w:rPr>
          <w:sz w:val="20"/>
          <w:szCs w:val="20"/>
          <w:color w:val="auto"/>
        </w:rPr>
      </w:pPr>
    </w:p>
    <w:p>
      <w:pPr>
        <w:ind w:right="40"/>
        <w:spacing w:after="0" w:line="239" w:lineRule="auto"/>
        <w:rPr>
          <w:sz w:val="20"/>
          <w:szCs w:val="20"/>
          <w:color w:val="auto"/>
        </w:rPr>
      </w:pPr>
      <w:r>
        <w:rPr>
          <w:rFonts w:ascii="Arial" w:cs="Arial" w:eastAsia="Arial" w:hAnsi="Arial"/>
          <w:sz w:val="18"/>
          <w:szCs w:val="18"/>
          <w:color w:val="auto"/>
        </w:rPr>
        <w:t>“We are extremely pleased that Erica has joined DXL Big + Tall, as our new Chief Marketing Officer,” said Harvey Kanter, President and CEO. “Erica’s appointment underscores our ongoing commitment to building out a digitally-driven marketing organization</w:t>
      </w:r>
      <w:r>
        <w:rPr>
          <w:rFonts w:ascii="Arial" w:cs="Arial" w:eastAsia="Arial" w:hAnsi="Arial"/>
          <w:sz w:val="18"/>
          <w:szCs w:val="18"/>
          <w:b w:val="1"/>
          <w:bCs w:val="1"/>
          <w:color w:val="auto"/>
        </w:rPr>
        <w:t>.</w:t>
      </w:r>
      <w:r>
        <w:rPr>
          <w:rFonts w:ascii="Arial" w:cs="Arial" w:eastAsia="Arial" w:hAnsi="Arial"/>
          <w:sz w:val="18"/>
          <w:szCs w:val="18"/>
          <w:color w:val="auto"/>
        </w:rPr>
        <w:t xml:space="preserve"> Our organizational pursuits support the heightened strategic focus on customer engagement through data-driven personalization, loyalty and digital marketing; our #1 priority area for DXL for 2020,” continued Mr. Kanter.</w:t>
      </w:r>
    </w:p>
    <w:p>
      <w:pPr>
        <w:spacing w:after="0" w:line="296" w:lineRule="exact"/>
        <w:rPr>
          <w:sz w:val="20"/>
          <w:szCs w:val="20"/>
          <w:color w:val="auto"/>
        </w:rPr>
      </w:pPr>
    </w:p>
    <w:p>
      <w:pPr>
        <w:ind w:right="100"/>
        <w:spacing w:after="0" w:line="246" w:lineRule="auto"/>
        <w:rPr>
          <w:sz w:val="20"/>
          <w:szCs w:val="20"/>
          <w:color w:val="auto"/>
        </w:rPr>
      </w:pPr>
      <w:r>
        <w:rPr>
          <w:rFonts w:ascii="Arial" w:cs="Arial" w:eastAsia="Arial" w:hAnsi="Arial"/>
          <w:sz w:val="18"/>
          <w:szCs w:val="18"/>
          <w:color w:val="auto"/>
        </w:rPr>
        <w:t>“I’m thrilled to join DXL and to engage our customers in new and exciting ways as we look to grow the business across all channels, and firmly establish DXL Big + Tall as the one-stop-shop for men’s big and tall apparel and footwear,” said Erica Thompson.</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Destination XL Group</w:t>
      </w:r>
    </w:p>
    <w:p>
      <w:pPr>
        <w:spacing w:after="0" w:line="50"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 xml:space="preserve">Destination XL Group, Inc. is the largest retailer of men’s clothing in sizes XL and up, with operations throughout the United States as well as in Ontario, Canada. In addition to DXL Men’s Apparel retail and outlet stores, subsidiaries of Destination XL Group, Inc. also operate Rochester Clothing stores, Casual Male XL retail and outlet stores, and the e-commerce site, DXL.com. </w:t>
      </w:r>
      <w:r>
        <w:rPr>
          <w:rFonts w:ascii="Arial" w:cs="Arial" w:eastAsia="Arial" w:hAnsi="Arial"/>
          <w:sz w:val="18"/>
          <w:szCs w:val="18"/>
          <w:u w:val="single" w:color="auto"/>
          <w:color w:val="auto"/>
        </w:rPr>
        <w:t>DXL.com</w:t>
      </w:r>
      <w:r>
        <w:rPr>
          <w:rFonts w:ascii="Arial" w:cs="Arial" w:eastAsia="Arial" w:hAnsi="Arial"/>
          <w:sz w:val="18"/>
          <w:szCs w:val="18"/>
          <w:color w:val="auto"/>
        </w:rPr>
        <w:t xml:space="preserve"> offers a multi-channel solution similar to the DXL store experience with the most extensive selection of online products available anywhere for the XL guy. The Company is headquartered in Canton, Massachusetts, and its common stock is listed on the NASDAQ Global Market under the symbol "DXLG." Sizes start at 38” waist and XL including tall sizes, plus shoe sizes 10-16, in widths to 4E. Follow @destinationXL on </w:t>
      </w:r>
      <w:r>
        <w:rPr>
          <w:rFonts w:ascii="Arial" w:cs="Arial" w:eastAsia="Arial" w:hAnsi="Arial"/>
          <w:sz w:val="18"/>
          <w:szCs w:val="18"/>
          <w:u w:val="single" w:color="auto"/>
          <w:color w:val="auto"/>
        </w:rPr>
        <w:t>Facebook</w:t>
      </w:r>
      <w:r>
        <w:rPr>
          <w:rFonts w:ascii="Arial" w:cs="Arial" w:eastAsia="Arial" w:hAnsi="Arial"/>
          <w:sz w:val="18"/>
          <w:szCs w:val="18"/>
          <w:color w:val="auto"/>
        </w:rPr>
        <w:t xml:space="preserve">, </w:t>
      </w:r>
      <w:r>
        <w:rPr>
          <w:rFonts w:ascii="Arial" w:cs="Arial" w:eastAsia="Arial" w:hAnsi="Arial"/>
          <w:sz w:val="18"/>
          <w:szCs w:val="18"/>
          <w:u w:val="single" w:color="auto"/>
          <w:color w:val="auto"/>
        </w:rPr>
        <w:t>Instagram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Twitter</w:t>
      </w:r>
      <w:r>
        <w:rPr>
          <w:rFonts w:ascii="Arial" w:cs="Arial" w:eastAsia="Arial" w:hAnsi="Arial"/>
          <w:sz w:val="18"/>
          <w:szCs w:val="18"/>
          <w:color w:val="auto"/>
        </w:rPr>
        <w:t>.</w:t>
      </w:r>
    </w:p>
    <w:sectPr>
      <w:pgSz w:w="11900" w:h="16838" w:orient="portrait"/>
      <w:cols w:equalWidth="0" w:num="1">
        <w:col w:w="11420"/>
      </w:cols>
      <w:pgMar w:left="240" w:top="11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2019-12-28T04:31:48Z</dcterms:created>
  <dcterms:modified xsi:type="dcterms:W3CDTF">2019-12-28T04:31:48Z</dcterms:modified>
</cp:coreProperties>
</file>