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30, 2009</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By EDGAR</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Damon Colbert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Casual Male Retail Group, Inc.</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333-160379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Colbert:</w:t>
      </w:r>
    </w:p>
    <w:p>
      <w:pPr>
        <w:spacing w:after="0" w:line="90" w:lineRule="exact"/>
        <w:rPr>
          <w:sz w:val="24"/>
          <w:szCs w:val="24"/>
          <w:color w:val="auto"/>
        </w:rPr>
      </w:pPr>
    </w:p>
    <w:p>
      <w:pPr>
        <w:ind w:right="160" w:firstLine="456"/>
        <w:spacing w:after="0" w:line="256" w:lineRule="auto"/>
        <w:rPr>
          <w:sz w:val="20"/>
          <w:szCs w:val="20"/>
          <w:color w:val="auto"/>
        </w:rPr>
      </w:pPr>
      <w:r>
        <w:rPr>
          <w:rFonts w:ascii="Arial" w:cs="Arial" w:eastAsia="Arial" w:hAnsi="Arial"/>
          <w:sz w:val="18"/>
          <w:szCs w:val="18"/>
          <w:color w:val="auto"/>
        </w:rPr>
        <w:t>Pursuant to Rule 461 under the Securities Act of 1933, the undersigned registrant (the “Registrant”) hereby respectfully request that the above-referenced Registration Statement on Form S-3 be declared effective at 4:30 p.m. (Washington, D.C. time) on Monday, August 3, 2009, or as soon as practicable thereafter. An oral request for acceleration of effectiveness may be made in the future. The Registrant is aware of its obligations under the Securities Act of 1933, as amended, and the Securities Exchange Act of 1934, as amended.</w:t>
      </w:r>
    </w:p>
    <w:p>
      <w:pPr>
        <w:spacing w:after="0" w:line="143" w:lineRule="exact"/>
        <w:rPr>
          <w:sz w:val="24"/>
          <w:szCs w:val="24"/>
          <w:color w:val="auto"/>
        </w:rPr>
      </w:pPr>
    </w:p>
    <w:p>
      <w:pPr>
        <w:ind w:right="300" w:firstLine="456"/>
        <w:spacing w:after="0" w:line="268" w:lineRule="auto"/>
        <w:rPr>
          <w:sz w:val="20"/>
          <w:szCs w:val="20"/>
          <w:color w:val="auto"/>
        </w:rPr>
      </w:pPr>
      <w:r>
        <w:rPr>
          <w:rFonts w:ascii="Arial" w:cs="Arial" w:eastAsia="Arial" w:hAnsi="Arial"/>
          <w:sz w:val="18"/>
          <w:szCs w:val="18"/>
          <w:color w:val="auto"/>
        </w:rPr>
        <w:t>In connection with the Registrant’s request for acceleration of effectiveness of the above-referenced Registration Statement on Form S-3, the Registrant acknowledges that:</w:t>
      </w:r>
    </w:p>
    <w:p>
      <w:pPr>
        <w:spacing w:after="0" w:line="51" w:lineRule="exact"/>
        <w:rPr>
          <w:sz w:val="24"/>
          <w:szCs w:val="24"/>
          <w:color w:val="auto"/>
        </w:rPr>
      </w:pPr>
    </w:p>
    <w:p>
      <w:pPr>
        <w:ind w:left="1480" w:right="10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“SEC”) or the staff, acting pursuant to delegated authority, declare the filing effective, it does not foreclose the SEC from taking any action with respect to the filing;</w:t>
      </w:r>
    </w:p>
    <w:p>
      <w:pPr>
        <w:spacing w:after="0" w:line="50" w:lineRule="exact"/>
        <w:rPr>
          <w:rFonts w:ascii="Arial" w:cs="Arial" w:eastAsia="Arial" w:hAnsi="Arial"/>
          <w:sz w:val="18"/>
          <w:szCs w:val="18"/>
          <w:color w:val="auto"/>
        </w:rPr>
      </w:pPr>
    </w:p>
    <w:p>
      <w:pPr>
        <w:ind w:left="1480" w:right="4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SEC or the staff, acting pursuant to delegated authority, in declaring the filing effective, does not relieve the Registrant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the declaration of effectiveness as a defense in any proceeding initiated by the SEC or any person under the federal securities laws of the United States.</w:t>
      </w:r>
    </w:p>
    <w:p>
      <w:pPr>
        <w:spacing w:after="0" w:line="132" w:lineRule="exact"/>
        <w:rPr>
          <w:sz w:val="24"/>
          <w:szCs w:val="24"/>
          <w:color w:val="auto"/>
        </w:rPr>
      </w:pPr>
    </w:p>
    <w:p>
      <w:pPr>
        <w:ind w:right="580" w:firstLine="456"/>
        <w:spacing w:after="0" w:line="268" w:lineRule="auto"/>
        <w:rPr>
          <w:sz w:val="20"/>
          <w:szCs w:val="20"/>
          <w:color w:val="auto"/>
        </w:rPr>
      </w:pPr>
      <w:r>
        <w:rPr>
          <w:rFonts w:ascii="Arial" w:cs="Arial" w:eastAsia="Arial" w:hAnsi="Arial"/>
          <w:sz w:val="18"/>
          <w:szCs w:val="18"/>
          <w:color w:val="auto"/>
        </w:rPr>
        <w:t>If you have any questions regarding this request, please contact the undersigned at (781) 828-9300, ext. 2029, or Bradley A. Jacobson of Greenberg Traurig, LLP at (617) 310-6205.</w:t>
      </w:r>
    </w:p>
    <w:p>
      <w:pPr>
        <w:spacing w:after="0" w:line="254"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90"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39" w:lineRule="exact"/>
        <w:rPr>
          <w:sz w:val="24"/>
          <w:szCs w:val="24"/>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S. Molloy</w:t>
            </w: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Robert S. Molloy</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and General Counsel</w:t>
            </w:r>
          </w:p>
        </w:tc>
      </w:tr>
    </w:tbl>
    <w:p>
      <w:pPr>
        <w:spacing w:after="0" w:line="1" w:lineRule="exact"/>
        <w:rPr>
          <w:sz w:val="24"/>
          <w:szCs w:val="24"/>
          <w:color w:val="auto"/>
        </w:rPr>
      </w:pP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2019-12-10T06:46:52Z</dcterms:created>
  <dcterms:modified xsi:type="dcterms:W3CDTF">2019-12-10T06:46:52Z</dcterms:modified>
</cp:coreProperties>
</file>