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440690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509270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3263900</wp:posOffset>
            </wp:positionH>
            <wp:positionV relativeFrom="paragraph">
              <wp:posOffset>158750</wp:posOffset>
            </wp:positionV>
            <wp:extent cx="7289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6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3263900</wp:posOffset>
            </wp:positionH>
            <wp:positionV relativeFrom="paragraph">
              <wp:posOffset>178435</wp:posOffset>
            </wp:positionV>
            <wp:extent cx="7289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5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May 30,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3263900</wp:posOffset>
            </wp:positionH>
            <wp:positionV relativeFrom="paragraph">
              <wp:posOffset>173990</wp:posOffset>
            </wp:positionV>
            <wp:extent cx="7289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91"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DESTINATION XL GROUP, INC.</w:t>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3263900</wp:posOffset>
            </wp:positionH>
            <wp:positionV relativeFrom="paragraph">
              <wp:posOffset>154940</wp:posOffset>
            </wp:positionV>
            <wp:extent cx="7289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tbl>
      <w:tblPr>
        <w:tblLayout w:type="fixed"/>
        <w:tblInd w:w="760" w:type="dxa"/>
        <w:tblCellMar>
          <w:top w:w="0" w:type="dxa"/>
          <w:left w:w="0" w:type="dxa"/>
          <w:bottom w:w="0" w:type="dxa"/>
          <w:right w:w="0" w:type="dxa"/>
        </w:tblCellMar>
      </w:tblPr>
      <w:tr>
        <w:trPr>
          <w:trHeight w:val="258"/>
        </w:trPr>
        <w:tc>
          <w:tcPr>
            <w:tcW w:w="3240" w:type="dxa"/>
            <w:vAlign w:val="bottom"/>
          </w:tcPr>
          <w:p>
            <w:pPr>
              <w:jc w:val="center"/>
              <w:ind w:right="878"/>
              <w:spacing w:after="0"/>
              <w:rPr>
                <w:sz w:val="20"/>
                <w:szCs w:val="20"/>
                <w:color w:val="auto"/>
              </w:rPr>
            </w:pPr>
            <w:r>
              <w:rPr>
                <w:rFonts w:ascii="Arial" w:cs="Arial" w:eastAsia="Arial" w:hAnsi="Arial"/>
                <w:sz w:val="22"/>
                <w:szCs w:val="22"/>
                <w:b w:val="1"/>
                <w:bCs w:val="1"/>
                <w:color w:val="auto"/>
                <w:w w:val="91"/>
              </w:rPr>
              <w:t>Delaware</w:t>
            </w:r>
          </w:p>
        </w:tc>
        <w:tc>
          <w:tcPr>
            <w:tcW w:w="3740" w:type="dxa"/>
            <w:vAlign w:val="bottom"/>
          </w:tcPr>
          <w:p>
            <w:pPr>
              <w:jc w:val="right"/>
              <w:ind w:right="1532"/>
              <w:spacing w:after="0"/>
              <w:rPr>
                <w:sz w:val="20"/>
                <w:szCs w:val="20"/>
                <w:color w:val="auto"/>
              </w:rPr>
            </w:pPr>
            <w:r>
              <w:rPr>
                <w:rFonts w:ascii="Arial" w:cs="Arial" w:eastAsia="Arial" w:hAnsi="Arial"/>
                <w:sz w:val="22"/>
                <w:szCs w:val="22"/>
                <w:b w:val="1"/>
                <w:bCs w:val="1"/>
                <w:color w:val="auto"/>
              </w:rPr>
              <w:t>01-34219</w:t>
            </w:r>
          </w:p>
        </w:tc>
        <w:tc>
          <w:tcPr>
            <w:tcW w:w="2300" w:type="dxa"/>
            <w:vAlign w:val="bottom"/>
          </w:tcPr>
          <w:p>
            <w:pPr>
              <w:jc w:val="right"/>
              <w:spacing w:after="0"/>
              <w:rPr>
                <w:sz w:val="20"/>
                <w:szCs w:val="20"/>
                <w:color w:val="auto"/>
              </w:rPr>
            </w:pPr>
            <w:r>
              <w:rPr>
                <w:rFonts w:ascii="Arial" w:cs="Arial" w:eastAsia="Arial" w:hAnsi="Arial"/>
                <w:sz w:val="22"/>
                <w:szCs w:val="22"/>
                <w:b w:val="1"/>
                <w:bCs w:val="1"/>
                <w:color w:val="auto"/>
              </w:rPr>
              <w:t>04-2623104</w:t>
            </w:r>
          </w:p>
        </w:tc>
        <w:tc>
          <w:tcPr>
            <w:tcW w:w="0" w:type="dxa"/>
            <w:vAlign w:val="bottom"/>
          </w:tcPr>
          <w:p>
            <w:pPr>
              <w:spacing w:after="0"/>
              <w:rPr>
                <w:sz w:val="1"/>
                <w:szCs w:val="1"/>
                <w:color w:val="auto"/>
              </w:rPr>
            </w:pPr>
          </w:p>
        </w:tc>
      </w:tr>
      <w:tr>
        <w:trPr>
          <w:trHeight w:val="149"/>
        </w:trPr>
        <w:tc>
          <w:tcPr>
            <w:tcW w:w="3240" w:type="dxa"/>
            <w:vAlign w:val="bottom"/>
          </w:tcPr>
          <w:p>
            <w:pPr>
              <w:jc w:val="center"/>
              <w:ind w:right="878"/>
              <w:spacing w:after="0" w:line="149" w:lineRule="exact"/>
              <w:rPr>
                <w:sz w:val="20"/>
                <w:szCs w:val="20"/>
                <w:color w:val="auto"/>
              </w:rPr>
            </w:pPr>
            <w:r>
              <w:rPr>
                <w:rFonts w:ascii="Arial" w:cs="Arial" w:eastAsia="Arial" w:hAnsi="Arial"/>
                <w:sz w:val="14"/>
                <w:szCs w:val="14"/>
                <w:b w:val="1"/>
                <w:bCs w:val="1"/>
                <w:color w:val="auto"/>
                <w:w w:val="88"/>
              </w:rPr>
              <w:t>(State or Other Jurisdiction</w:t>
            </w:r>
          </w:p>
        </w:tc>
        <w:tc>
          <w:tcPr>
            <w:tcW w:w="3740" w:type="dxa"/>
            <w:vAlign w:val="bottom"/>
          </w:tcPr>
          <w:p>
            <w:pPr>
              <w:spacing w:after="0"/>
              <w:rPr>
                <w:sz w:val="12"/>
                <w:szCs w:val="12"/>
                <w:color w:val="auto"/>
              </w:rPr>
            </w:pPr>
          </w:p>
        </w:tc>
        <w:tc>
          <w:tcPr>
            <w:tcW w:w="2300" w:type="dxa"/>
            <w:vAlign w:val="bottom"/>
          </w:tcPr>
          <w:p>
            <w:pPr>
              <w:jc w:val="center"/>
              <w:ind w:left="1176"/>
              <w:spacing w:after="0" w:line="149" w:lineRule="exact"/>
              <w:rPr>
                <w:sz w:val="20"/>
                <w:szCs w:val="20"/>
                <w:color w:val="auto"/>
              </w:rPr>
            </w:pPr>
            <w:r>
              <w:rPr>
                <w:rFonts w:ascii="Arial" w:cs="Arial" w:eastAsia="Arial" w:hAnsi="Arial"/>
                <w:sz w:val="14"/>
                <w:szCs w:val="14"/>
                <w:b w:val="1"/>
                <w:bCs w:val="1"/>
                <w:color w:val="auto"/>
                <w:w w:val="91"/>
              </w:rPr>
              <w:t>(IRS Employer</w:t>
            </w:r>
          </w:p>
        </w:tc>
        <w:tc>
          <w:tcPr>
            <w:tcW w:w="0" w:type="dxa"/>
            <w:vAlign w:val="bottom"/>
          </w:tcPr>
          <w:p>
            <w:pPr>
              <w:spacing w:after="0"/>
              <w:rPr>
                <w:sz w:val="1"/>
                <w:szCs w:val="1"/>
                <w:color w:val="auto"/>
              </w:rPr>
            </w:pPr>
          </w:p>
        </w:tc>
      </w:tr>
      <w:tr>
        <w:trPr>
          <w:trHeight w:val="174"/>
        </w:trPr>
        <w:tc>
          <w:tcPr>
            <w:tcW w:w="3240" w:type="dxa"/>
            <w:vAlign w:val="bottom"/>
          </w:tcPr>
          <w:p>
            <w:pPr>
              <w:jc w:val="center"/>
              <w:ind w:right="878"/>
              <w:spacing w:after="0"/>
              <w:rPr>
                <w:sz w:val="20"/>
                <w:szCs w:val="20"/>
                <w:color w:val="auto"/>
              </w:rPr>
            </w:pPr>
            <w:r>
              <w:rPr>
                <w:rFonts w:ascii="Arial" w:cs="Arial" w:eastAsia="Arial" w:hAnsi="Arial"/>
                <w:sz w:val="14"/>
                <w:szCs w:val="14"/>
                <w:b w:val="1"/>
                <w:bCs w:val="1"/>
                <w:color w:val="auto"/>
                <w:w w:val="89"/>
              </w:rPr>
              <w:t>of Incorporation)</w:t>
            </w:r>
          </w:p>
        </w:tc>
        <w:tc>
          <w:tcPr>
            <w:tcW w:w="3740" w:type="dxa"/>
            <w:vAlign w:val="bottom"/>
          </w:tcPr>
          <w:p>
            <w:pPr>
              <w:jc w:val="center"/>
              <w:ind w:right="232"/>
              <w:spacing w:after="0"/>
              <w:rPr>
                <w:sz w:val="20"/>
                <w:szCs w:val="20"/>
                <w:color w:val="auto"/>
              </w:rPr>
            </w:pPr>
            <w:r>
              <w:rPr>
                <w:rFonts w:ascii="Arial" w:cs="Arial" w:eastAsia="Arial" w:hAnsi="Arial"/>
                <w:sz w:val="14"/>
                <w:szCs w:val="14"/>
                <w:b w:val="1"/>
                <w:bCs w:val="1"/>
                <w:color w:val="auto"/>
                <w:w w:val="88"/>
              </w:rPr>
              <w:t>(Commission File Number)</w:t>
            </w:r>
          </w:p>
        </w:tc>
        <w:tc>
          <w:tcPr>
            <w:tcW w:w="2300" w:type="dxa"/>
            <w:vAlign w:val="bottom"/>
          </w:tcPr>
          <w:p>
            <w:pPr>
              <w:jc w:val="center"/>
              <w:ind w:left="1156"/>
              <w:spacing w:after="0"/>
              <w:rPr>
                <w:sz w:val="20"/>
                <w:szCs w:val="20"/>
                <w:color w:val="auto"/>
              </w:rPr>
            </w:pPr>
            <w:r>
              <w:rPr>
                <w:rFonts w:ascii="Arial" w:cs="Arial" w:eastAsia="Arial" w:hAnsi="Arial"/>
                <w:sz w:val="14"/>
                <w:szCs w:val="14"/>
                <w:b w:val="1"/>
                <w:bCs w:val="1"/>
                <w:color w:val="auto"/>
                <w:w w:val="89"/>
              </w:rPr>
              <w:t>Identification No.)</w:t>
            </w:r>
          </w:p>
        </w:tc>
        <w:tc>
          <w:tcPr>
            <w:tcW w:w="0" w:type="dxa"/>
            <w:vAlign w:val="bottom"/>
          </w:tcPr>
          <w:p>
            <w:pPr>
              <w:spacing w:after="0"/>
              <w:rPr>
                <w:sz w:val="1"/>
                <w:szCs w:val="1"/>
                <w:color w:val="auto"/>
              </w:rPr>
            </w:pPr>
          </w:p>
        </w:tc>
      </w:tr>
      <w:tr>
        <w:trPr>
          <w:trHeight w:val="428"/>
        </w:trPr>
        <w:tc>
          <w:tcPr>
            <w:tcW w:w="3240" w:type="dxa"/>
            <w:vAlign w:val="bottom"/>
          </w:tcPr>
          <w:p>
            <w:pPr>
              <w:jc w:val="center"/>
              <w:ind w:right="858"/>
              <w:spacing w:after="0"/>
              <w:rPr>
                <w:sz w:val="20"/>
                <w:szCs w:val="20"/>
                <w:color w:val="auto"/>
              </w:rPr>
            </w:pPr>
            <w:r>
              <w:rPr>
                <w:rFonts w:ascii="Arial" w:cs="Arial" w:eastAsia="Arial" w:hAnsi="Arial"/>
                <w:sz w:val="18"/>
                <w:szCs w:val="18"/>
                <w:b w:val="1"/>
                <w:bCs w:val="1"/>
                <w:color w:val="auto"/>
                <w:w w:val="91"/>
              </w:rPr>
              <w:t>555 Turnpike Street</w:t>
            </w:r>
            <w:r>
              <w:rPr>
                <w:rFonts w:ascii="Arial" w:cs="Arial" w:eastAsia="Arial" w:hAnsi="Arial"/>
                <w:sz w:val="21"/>
                <w:szCs w:val="21"/>
                <w:b w:val="1"/>
                <w:bCs w:val="1"/>
                <w:color w:val="auto"/>
                <w:w w:val="91"/>
              </w:rPr>
              <w:t>,</w:t>
            </w:r>
          </w:p>
        </w:tc>
        <w:tc>
          <w:tcPr>
            <w:tcW w:w="3740" w:type="dxa"/>
            <w:vAlign w:val="bottom"/>
          </w:tcPr>
          <w:p>
            <w:pPr>
              <w:spacing w:after="0"/>
              <w:rPr>
                <w:sz w:val="24"/>
                <w:szCs w:val="24"/>
                <w:color w:val="auto"/>
              </w:rPr>
            </w:pPr>
          </w:p>
        </w:tc>
        <w:tc>
          <w:tcPr>
            <w:tcW w:w="2300" w:type="dxa"/>
            <w:vAlign w:val="bottom"/>
            <w:vMerge w:val="restart"/>
          </w:tcPr>
          <w:p>
            <w:pPr>
              <w:jc w:val="right"/>
              <w:ind w:right="176"/>
              <w:spacing w:after="0"/>
              <w:rPr>
                <w:sz w:val="20"/>
                <w:szCs w:val="20"/>
                <w:color w:val="auto"/>
              </w:rPr>
            </w:pPr>
            <w:r>
              <w:rPr>
                <w:rFonts w:ascii="Arial" w:cs="Arial" w:eastAsia="Arial" w:hAnsi="Arial"/>
                <w:sz w:val="22"/>
                <w:szCs w:val="22"/>
                <w:b w:val="1"/>
                <w:bCs w:val="1"/>
                <w:color w:val="auto"/>
              </w:rPr>
              <w:t>02021</w:t>
            </w:r>
          </w:p>
        </w:tc>
        <w:tc>
          <w:tcPr>
            <w:tcW w:w="0" w:type="dxa"/>
            <w:vAlign w:val="bottom"/>
          </w:tcPr>
          <w:p>
            <w:pPr>
              <w:spacing w:after="0"/>
              <w:rPr>
                <w:sz w:val="1"/>
                <w:szCs w:val="1"/>
                <w:color w:val="auto"/>
              </w:rPr>
            </w:pPr>
          </w:p>
        </w:tc>
      </w:tr>
      <w:tr>
        <w:trPr>
          <w:trHeight w:val="222"/>
        </w:trPr>
        <w:tc>
          <w:tcPr>
            <w:tcW w:w="3240" w:type="dxa"/>
            <w:vAlign w:val="bottom"/>
          </w:tcPr>
          <w:p>
            <w:pPr>
              <w:jc w:val="center"/>
              <w:ind w:right="858"/>
              <w:spacing w:after="0"/>
              <w:rPr>
                <w:sz w:val="20"/>
                <w:szCs w:val="20"/>
                <w:color w:val="auto"/>
              </w:rPr>
            </w:pPr>
            <w:r>
              <w:rPr>
                <w:rFonts w:ascii="Arial" w:cs="Arial" w:eastAsia="Arial" w:hAnsi="Arial"/>
                <w:sz w:val="18"/>
                <w:szCs w:val="18"/>
                <w:b w:val="1"/>
                <w:bCs w:val="1"/>
                <w:color w:val="auto"/>
                <w:w w:val="88"/>
              </w:rPr>
              <w:t>Canton, Massachusetts</w:t>
            </w:r>
          </w:p>
        </w:tc>
        <w:tc>
          <w:tcPr>
            <w:tcW w:w="3740" w:type="dxa"/>
            <w:vAlign w:val="bottom"/>
          </w:tcPr>
          <w:p>
            <w:pPr>
              <w:spacing w:after="0"/>
              <w:rPr>
                <w:sz w:val="19"/>
                <w:szCs w:val="19"/>
                <w:color w:val="auto"/>
              </w:rPr>
            </w:pPr>
          </w:p>
        </w:tc>
        <w:tc>
          <w:tcPr>
            <w:tcW w:w="23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3240" w:type="dxa"/>
            <w:vAlign w:val="bottom"/>
          </w:tcPr>
          <w:p>
            <w:pPr>
              <w:jc w:val="center"/>
              <w:ind w:right="858"/>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3740" w:type="dxa"/>
            <w:vAlign w:val="bottom"/>
          </w:tcPr>
          <w:p>
            <w:pPr>
              <w:spacing w:after="0"/>
              <w:rPr>
                <w:sz w:val="15"/>
                <w:szCs w:val="15"/>
                <w:color w:val="auto"/>
              </w:rPr>
            </w:pPr>
          </w:p>
        </w:tc>
        <w:tc>
          <w:tcPr>
            <w:tcW w:w="2300" w:type="dxa"/>
            <w:vAlign w:val="bottom"/>
          </w:tcPr>
          <w:p>
            <w:pPr>
              <w:jc w:val="center"/>
              <w:ind w:left="1156"/>
              <w:spacing w:after="0"/>
              <w:rPr>
                <w:sz w:val="20"/>
                <w:szCs w:val="20"/>
                <w:color w:val="auto"/>
              </w:rPr>
            </w:pPr>
            <w:r>
              <w:rPr>
                <w:rFonts w:ascii="Arial" w:cs="Arial" w:eastAsia="Arial" w:hAnsi="Arial"/>
                <w:sz w:val="14"/>
                <w:szCs w:val="14"/>
                <w:b w:val="1"/>
                <w:bCs w:val="1"/>
                <w:color w:val="auto"/>
                <w:w w:val="89"/>
              </w:rPr>
              <w:t>(Zip Code)</w:t>
            </w:r>
          </w:p>
        </w:tc>
        <w:tc>
          <w:tcPr>
            <w:tcW w:w="0" w:type="dxa"/>
            <w:vAlign w:val="bottom"/>
          </w:tcPr>
          <w:p>
            <w:pPr>
              <w:spacing w:after="0"/>
              <w:rPr>
                <w:sz w:val="1"/>
                <w:szCs w:val="1"/>
                <w:color w:val="auto"/>
              </w:rPr>
            </w:pPr>
          </w:p>
        </w:tc>
      </w:tr>
    </w:tbl>
    <w:p>
      <w:pPr>
        <w:spacing w:after="0" w:line="12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 xml:space="preserve">Registrant’s Telephone Number, Including Area Code: </w:t>
      </w:r>
      <w:r>
        <w:rPr>
          <w:rFonts w:ascii="Arial" w:cs="Arial" w:eastAsia="Arial" w:hAnsi="Arial"/>
          <w:sz w:val="18"/>
          <w:szCs w:val="18"/>
          <w:b w:val="1"/>
          <w:bCs w:val="1"/>
          <w:color w:val="auto"/>
        </w:rPr>
        <w:t>(781) 828-9300</w:t>
      </w:r>
    </w:p>
    <w:p>
      <w:pPr>
        <w:spacing w:after="0" w:line="16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Not Applicable</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3263900</wp:posOffset>
            </wp:positionH>
            <wp:positionV relativeFrom="paragraph">
              <wp:posOffset>150495</wp:posOffset>
            </wp:positionV>
            <wp:extent cx="7289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78"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16"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7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04" w:lineRule="exact"/>
        <w:rPr>
          <w:sz w:val="24"/>
          <w:szCs w:val="24"/>
          <w:color w:val="auto"/>
        </w:rPr>
      </w:pPr>
    </w:p>
    <w:p>
      <w:pPr>
        <w:ind w:right="1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609600</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922" w:right="259"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212" w:lineRule="exact"/>
        <w:rPr>
          <w:sz w:val="20"/>
          <w:szCs w:val="20"/>
          <w:color w:val="auto"/>
        </w:rPr>
      </w:pPr>
    </w:p>
    <w:p>
      <w:pPr>
        <w:ind w:right="60"/>
        <w:spacing w:after="0" w:line="328" w:lineRule="auto"/>
        <w:rPr>
          <w:sz w:val="20"/>
          <w:szCs w:val="20"/>
          <w:color w:val="auto"/>
        </w:rPr>
      </w:pPr>
      <w:r>
        <w:rPr>
          <w:rFonts w:ascii="Arial" w:cs="Arial" w:eastAsia="Arial" w:hAnsi="Arial"/>
          <w:sz w:val="19"/>
          <w:szCs w:val="19"/>
          <w:color w:val="auto"/>
        </w:rPr>
        <w:t>On May 30, 2018, Destination XL Group, Inc. (the “Company”) issued a press release announcing the Company’s operating results for the first quarter of fiscal 2018 and updated 2018 guidance. A copy of this press release is attached hereto as Exhibit 99.1.</w:t>
      </w:r>
    </w:p>
    <w:p>
      <w:pPr>
        <w:spacing w:after="0" w:line="105" w:lineRule="exact"/>
        <w:rPr>
          <w:sz w:val="20"/>
          <w:szCs w:val="20"/>
          <w:color w:val="auto"/>
        </w:rPr>
      </w:pPr>
    </w:p>
    <w:p>
      <w:pPr>
        <w:ind w:right="380"/>
        <w:spacing w:after="0"/>
        <w:rPr>
          <w:sz w:val="20"/>
          <w:szCs w:val="20"/>
          <w:color w:val="auto"/>
        </w:rPr>
      </w:pPr>
      <w:r>
        <w:rPr>
          <w:rFonts w:ascii="Arial" w:cs="Arial" w:eastAsia="Arial" w:hAnsi="Arial"/>
          <w:sz w:val="22"/>
          <w:szCs w:val="22"/>
          <w:color w:val="auto"/>
        </w:rPr>
        <w:t>An audio webcast to discuss the Company’s operating results for the first quarter of fiscal 2018 and updated fiscal 2018 outlook will be held today, May 30, 2018 at 9:00 a.m. ET. Interested parties can access the webcast on the Company's website at www.destinationxl.com under the Investor Relations section.</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39" w:lineRule="exact"/>
        <w:rPr>
          <w:sz w:val="20"/>
          <w:szCs w:val="20"/>
          <w:color w:val="auto"/>
        </w:rPr>
      </w:pPr>
    </w:p>
    <w:p>
      <w:pPr>
        <w:ind w:left="860"/>
        <w:spacing w:after="0"/>
        <w:rPr>
          <w:sz w:val="20"/>
          <w:szCs w:val="20"/>
          <w:color w:val="auto"/>
        </w:rPr>
      </w:pPr>
      <w:r>
        <w:rPr>
          <w:rFonts w:ascii="Arial" w:cs="Arial" w:eastAsia="Arial" w:hAnsi="Arial"/>
          <w:sz w:val="22"/>
          <w:szCs w:val="22"/>
          <w:color w:val="auto"/>
        </w:rPr>
        <w:t>(d) Exhibits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2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93"/>
              </w:rPr>
              <w:t>Exhibit No.</w:t>
            </w:r>
          </w:p>
        </w:tc>
        <w:tc>
          <w:tcPr>
            <w:tcW w:w="6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89"/>
              </w:rPr>
              <w:t>Description</w:t>
            </w:r>
          </w:p>
        </w:tc>
        <w:tc>
          <w:tcPr>
            <w:tcW w:w="7560" w:type="dxa"/>
            <w:vAlign w:val="bottom"/>
            <w:gridSpan w:val="2"/>
          </w:tcPr>
          <w:p>
            <w:pPr>
              <w:spacing w:after="0"/>
              <w:rPr>
                <w:sz w:val="21"/>
                <w:szCs w:val="21"/>
                <w:color w:val="auto"/>
              </w:rPr>
            </w:pPr>
          </w:p>
        </w:tc>
      </w:tr>
      <w:tr>
        <w:trPr>
          <w:trHeight w:val="466"/>
        </w:trPr>
        <w:tc>
          <w:tcPr>
            <w:tcW w:w="1020" w:type="dxa"/>
            <w:vAlign w:val="bottom"/>
          </w:tcPr>
          <w:p>
            <w:pPr>
              <w:spacing w:after="0"/>
              <w:rPr>
                <w:sz w:val="20"/>
                <w:szCs w:val="20"/>
                <w:color w:val="auto"/>
              </w:rPr>
            </w:pPr>
            <w:r>
              <w:rPr>
                <w:rFonts w:ascii="Arial" w:cs="Arial" w:eastAsia="Arial" w:hAnsi="Arial"/>
                <w:sz w:val="22"/>
                <w:szCs w:val="22"/>
                <w:color w:val="auto"/>
              </w:rPr>
              <w:t>99.1</w:t>
            </w:r>
          </w:p>
        </w:tc>
        <w:tc>
          <w:tcPr>
            <w:tcW w:w="680" w:type="dxa"/>
            <w:vAlign w:val="bottom"/>
          </w:tcPr>
          <w:p>
            <w:pPr>
              <w:spacing w:after="0"/>
              <w:rPr>
                <w:sz w:val="24"/>
                <w:szCs w:val="24"/>
                <w:color w:val="auto"/>
              </w:rPr>
            </w:pPr>
          </w:p>
        </w:tc>
        <w:tc>
          <w:tcPr>
            <w:tcW w:w="9740" w:type="dxa"/>
            <w:vAlign w:val="bottom"/>
            <w:gridSpan w:val="4"/>
          </w:tcPr>
          <w:p>
            <w:pPr>
              <w:spacing w:after="0"/>
              <w:rPr>
                <w:rFonts w:ascii="Arial" w:cs="Arial" w:eastAsia="Arial" w:hAnsi="Arial"/>
                <w:sz w:val="22"/>
                <w:szCs w:val="22"/>
                <w:color w:val="0000EE"/>
              </w:rPr>
            </w:pPr>
            <w:hyperlink w:anchor="page4">
              <w:r>
                <w:rPr>
                  <w:rFonts w:ascii="Arial" w:cs="Arial" w:eastAsia="Arial" w:hAnsi="Arial"/>
                  <w:sz w:val="22"/>
                  <w:szCs w:val="22"/>
                  <w:color w:val="0000EE"/>
                </w:rPr>
                <w:t>Press release issued by Destination XL Group, Inc. dated May 30, 2018</w:t>
              </w:r>
            </w:hyperlink>
          </w:p>
        </w:tc>
      </w:tr>
      <w:tr>
        <w:trPr>
          <w:trHeight w:val="1486"/>
        </w:trPr>
        <w:tc>
          <w:tcPr>
            <w:tcW w:w="10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180" w:type="dxa"/>
            <w:vAlign w:val="bottom"/>
            <w:tcBorders>
              <w:top w:val="single" w:sz="8" w:color="0000EE"/>
              <w:bottom w:val="single" w:sz="8" w:color="9A9A9A"/>
            </w:tcBorders>
          </w:tcPr>
          <w:p>
            <w:pPr>
              <w:spacing w:after="0"/>
              <w:rPr>
                <w:sz w:val="24"/>
                <w:szCs w:val="24"/>
                <w:color w:val="auto"/>
              </w:rPr>
            </w:pPr>
          </w:p>
        </w:tc>
        <w:tc>
          <w:tcPr>
            <w:tcW w:w="1000" w:type="dxa"/>
            <w:vAlign w:val="bottom"/>
            <w:tcBorders>
              <w:top w:val="single" w:sz="8" w:color="0000EE"/>
              <w:bottom w:val="single" w:sz="8" w:color="9A9A9A"/>
            </w:tcBorders>
          </w:tcPr>
          <w:p>
            <w:pPr>
              <w:spacing w:after="0"/>
              <w:rPr>
                <w:sz w:val="24"/>
                <w:szCs w:val="24"/>
                <w:color w:val="auto"/>
              </w:rPr>
            </w:pPr>
          </w:p>
        </w:tc>
        <w:tc>
          <w:tcPr>
            <w:tcW w:w="4020" w:type="dxa"/>
            <w:vAlign w:val="bottom"/>
            <w:tcBorders>
              <w:top w:val="single" w:sz="8" w:color="0000EE"/>
              <w:bottom w:val="single" w:sz="8" w:color="9A9A9A"/>
            </w:tcBorders>
          </w:tcPr>
          <w:p>
            <w:pPr>
              <w:spacing w:after="0"/>
              <w:rPr>
                <w:sz w:val="24"/>
                <w:szCs w:val="24"/>
                <w:color w:val="auto"/>
              </w:rPr>
            </w:pPr>
          </w:p>
        </w:tc>
        <w:tc>
          <w:tcPr>
            <w:tcW w:w="3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44" w:right="219" w:bottom="1440" w:gutter="0" w:footer="0" w:header="0"/>
        </w:sectPr>
      </w:pPr>
    </w:p>
    <w:bookmarkStart w:id="2" w:name="page3"/>
    <w:bookmarkEnd w:id="2"/>
    <w:p>
      <w:pPr>
        <w:jc w:val="center"/>
        <w:ind w:right="-139"/>
        <w:spacing w:after="0"/>
        <w:rPr>
          <w:sz w:val="20"/>
          <w:szCs w:val="20"/>
          <w:color w:val="auto"/>
        </w:rPr>
      </w:pPr>
      <w:r>
        <w:rPr>
          <w:rFonts w:ascii="Arial" w:cs="Arial" w:eastAsia="Arial" w:hAnsi="Arial"/>
          <w:sz w:val="22"/>
          <w:szCs w:val="22"/>
          <w:color w:val="auto"/>
        </w:rPr>
        <w:t>SIGNATURES</w:t>
      </w:r>
    </w:p>
    <w:p>
      <w:pPr>
        <w:spacing w:after="0" w:line="233" w:lineRule="exact"/>
        <w:rPr>
          <w:sz w:val="20"/>
          <w:szCs w:val="20"/>
          <w:color w:val="auto"/>
        </w:rPr>
      </w:pPr>
    </w:p>
    <w:p>
      <w:pPr>
        <w:ind w:right="120"/>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3" w:lineRule="exact"/>
        <w:rPr>
          <w:sz w:val="20"/>
          <w:szCs w:val="20"/>
          <w:color w:val="auto"/>
        </w:rPr>
      </w:pPr>
    </w:p>
    <w:p>
      <w:pPr>
        <w:ind w:left="6660"/>
        <w:spacing w:after="0"/>
        <w:rPr>
          <w:sz w:val="20"/>
          <w:szCs w:val="20"/>
          <w:color w:val="auto"/>
        </w:rPr>
      </w:pPr>
      <w:r>
        <w:rPr>
          <w:rFonts w:ascii="Arial" w:cs="Arial" w:eastAsia="Arial" w:hAnsi="Arial"/>
          <w:sz w:val="22"/>
          <w:szCs w:val="22"/>
          <w:color w:val="auto"/>
        </w:rPr>
        <w:t>DESTINATION XL GROUP, INC.</w:t>
      </w:r>
    </w:p>
    <w:p>
      <w:pPr>
        <w:spacing w:after="0" w:line="179" w:lineRule="exact"/>
        <w:rPr>
          <w:sz w:val="20"/>
          <w:szCs w:val="20"/>
          <w:color w:val="auto"/>
        </w:rPr>
      </w:pPr>
    </w:p>
    <w:p>
      <w:pPr>
        <w:ind w:left="20"/>
        <w:spacing w:after="0"/>
        <w:tabs>
          <w:tab w:leader="none" w:pos="840" w:val="left"/>
          <w:tab w:leader="none" w:pos="5860" w:val="left"/>
          <w:tab w:leader="none" w:pos="812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22"/>
          <w:szCs w:val="22"/>
          <w:color w:val="auto"/>
        </w:rPr>
        <w:t>May 30, 2018</w:t>
      </w:r>
      <w:r>
        <w:rPr>
          <w:sz w:val="20"/>
          <w:szCs w:val="20"/>
          <w:color w:val="auto"/>
        </w:rPr>
        <w:tab/>
      </w: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Robert S. Molloy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4232910</wp:posOffset>
            </wp:positionH>
            <wp:positionV relativeFrom="paragraph">
              <wp:posOffset>7620</wp:posOffset>
            </wp:positionV>
            <wp:extent cx="30099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009900" cy="8890"/>
                    </a:xfrm>
                    <a:prstGeom prst="rect">
                      <a:avLst/>
                    </a:prstGeom>
                    <a:noFill/>
                  </pic:spPr>
                </pic:pic>
              </a:graphicData>
            </a:graphic>
          </wp:anchor>
        </w:drawing>
      </w:r>
    </w:p>
    <w:p>
      <w:pPr>
        <w:jc w:val="center"/>
        <w:ind w:left="6620"/>
        <w:spacing w:after="0"/>
        <w:rPr>
          <w:sz w:val="20"/>
          <w:szCs w:val="20"/>
          <w:color w:val="auto"/>
        </w:rPr>
      </w:pPr>
      <w:r>
        <w:rPr>
          <w:rFonts w:ascii="Arial" w:cs="Arial" w:eastAsia="Arial" w:hAnsi="Arial"/>
          <w:sz w:val="14"/>
          <w:szCs w:val="14"/>
          <w:b w:val="1"/>
          <w:bCs w:val="1"/>
          <w:color w:val="auto"/>
        </w:rPr>
        <w:t>Robert S. Molloy</w:t>
      </w:r>
    </w:p>
    <w:p>
      <w:pPr>
        <w:jc w:val="center"/>
        <w:ind w:left="6620"/>
        <w:spacing w:after="0"/>
        <w:rPr>
          <w:sz w:val="20"/>
          <w:szCs w:val="20"/>
          <w:color w:val="auto"/>
        </w:rPr>
      </w:pPr>
      <w:r>
        <w:rPr>
          <w:rFonts w:ascii="Arial" w:cs="Arial" w:eastAsia="Arial" w:hAnsi="Arial"/>
          <w:sz w:val="13"/>
          <w:szCs w:val="13"/>
          <w:b w:val="1"/>
          <w:bCs w:val="1"/>
          <w:color w:val="auto"/>
        </w:rPr>
        <w:t>Senior Vice President, Chief Administrative Officer, General Counsel and</w:t>
      </w:r>
    </w:p>
    <w:p>
      <w:pPr>
        <w:jc w:val="center"/>
        <w:ind w:left="6620"/>
        <w:spacing w:after="0"/>
        <w:rPr>
          <w:sz w:val="20"/>
          <w:szCs w:val="20"/>
          <w:color w:val="auto"/>
        </w:rPr>
      </w:pPr>
      <w:r>
        <w:rPr>
          <w:rFonts w:ascii="Arial" w:cs="Arial" w:eastAsia="Arial" w:hAnsi="Arial"/>
          <w:sz w:val="14"/>
          <w:szCs w:val="14"/>
          <w:b w:val="1"/>
          <w:bCs w:val="1"/>
          <w:color w:val="auto"/>
        </w:rPr>
        <w:t>Secretary</w:t>
      </w:r>
    </w:p>
    <w:p>
      <w:pPr>
        <w:sectPr>
          <w:pgSz w:w="11900" w:h="16838" w:orient="portrait"/>
          <w:cols w:equalWidth="0" w:num="1">
            <w:col w:w="11280"/>
          </w:cols>
          <w:pgMar w:left="240" w:top="334" w:right="37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620520" cy="2660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620520" cy="266065"/>
                    </a:xfrm>
                    <a:prstGeom prst="rect">
                      <a:avLst/>
                    </a:prstGeom>
                    <a:noFill/>
                  </pic:spPr>
                </pic:pic>
              </a:graphicData>
            </a:graphic>
          </wp:anchor>
        </w:drawing>
        <w:t>Destination XL Group, Inc. Reports First Quarter Financial Results</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Initiates Corporate Restructuring Plan</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Announces New Credit Facility with Improved Terms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Updates Fiscal 2018 Guidance</w:t>
      </w:r>
    </w:p>
    <w:p>
      <w:pPr>
        <w:spacing w:after="0" w:line="200" w:lineRule="exact"/>
        <w:rPr>
          <w:sz w:val="20"/>
          <w:szCs w:val="20"/>
          <w:color w:val="auto"/>
        </w:rPr>
      </w:pPr>
    </w:p>
    <w:p>
      <w:pPr>
        <w:spacing w:after="0" w:line="238" w:lineRule="exact"/>
        <w:rPr>
          <w:sz w:val="20"/>
          <w:szCs w:val="20"/>
          <w:color w:val="auto"/>
        </w:rPr>
      </w:pPr>
    </w:p>
    <w:p>
      <w:pPr>
        <w:ind w:right="200"/>
        <w:spacing w:after="0" w:line="260" w:lineRule="auto"/>
        <w:rPr>
          <w:sz w:val="20"/>
          <w:szCs w:val="20"/>
          <w:color w:val="auto"/>
        </w:rPr>
      </w:pPr>
      <w:r>
        <w:rPr>
          <w:rFonts w:ascii="Arial" w:cs="Arial" w:eastAsia="Arial" w:hAnsi="Arial"/>
          <w:sz w:val="20"/>
          <w:szCs w:val="20"/>
          <w:color w:val="auto"/>
        </w:rPr>
        <w:t xml:space="preserve">CANTON, Mass., May 30, 2018 – </w:t>
      </w:r>
      <w:r>
        <w:rPr>
          <w:rFonts w:ascii="Arial" w:cs="Arial" w:eastAsia="Arial" w:hAnsi="Arial"/>
          <w:sz w:val="20"/>
          <w:szCs w:val="20"/>
          <w:u w:val="single" w:color="auto"/>
          <w:color w:val="0000FF"/>
        </w:rPr>
        <w:t>Destination XL Group, Inc.</w:t>
      </w:r>
      <w:r>
        <w:rPr>
          <w:rFonts w:ascii="Arial" w:cs="Arial" w:eastAsia="Arial" w:hAnsi="Arial"/>
          <w:sz w:val="20"/>
          <w:szCs w:val="20"/>
          <w:color w:val="auto"/>
        </w:rPr>
        <w:t xml:space="preserve"> (NASDAQ: DXLG), the largest omni-channel specialty retailer of big and tall men's apparel, today reported operating results for the first quarter of fiscal 2018.</w:t>
      </w:r>
    </w:p>
    <w:p>
      <w:pPr>
        <w:spacing w:after="0" w:line="9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Highlights</w:t>
      </w:r>
    </w:p>
    <w:p>
      <w:pPr>
        <w:spacing w:after="0" w:line="154" w:lineRule="exact"/>
        <w:rPr>
          <w:sz w:val="20"/>
          <w:szCs w:val="20"/>
          <w:color w:val="auto"/>
        </w:rPr>
      </w:pPr>
    </w:p>
    <w:p>
      <w:pPr>
        <w:ind w:left="880" w:hanging="440"/>
        <w:spacing w:after="0"/>
        <w:tabs>
          <w:tab w:leader="none" w:pos="880" w:val="left"/>
        </w:tabs>
        <w:numPr>
          <w:ilvl w:val="0"/>
          <w:numId w:val="2"/>
        </w:numPr>
        <w:rPr>
          <w:rFonts w:ascii="Arial" w:cs="Arial" w:eastAsia="Arial" w:hAnsi="Arial"/>
          <w:sz w:val="19"/>
          <w:szCs w:val="19"/>
          <w:color w:val="auto"/>
        </w:rPr>
      </w:pPr>
      <w:r>
        <w:rPr>
          <w:rFonts w:ascii="Arial" w:cs="Arial" w:eastAsia="Arial" w:hAnsi="Arial"/>
          <w:sz w:val="19"/>
          <w:szCs w:val="19"/>
          <w:color w:val="auto"/>
        </w:rPr>
        <w:t>Total sales for the first quarter of $113.3 million, up $5.7 million or 5.3% from $107.6 million in the prior-year first quarter.</w:t>
      </w:r>
    </w:p>
    <w:p>
      <w:pPr>
        <w:spacing w:after="0" w:line="27" w:lineRule="exact"/>
        <w:rPr>
          <w:rFonts w:ascii="Arial" w:cs="Arial" w:eastAsia="Arial" w:hAnsi="Arial"/>
          <w:sz w:val="19"/>
          <w:szCs w:val="19"/>
          <w:color w:val="auto"/>
        </w:rPr>
      </w:pPr>
    </w:p>
    <w:p>
      <w:pPr>
        <w:ind w:left="880" w:hanging="440"/>
        <w:spacing w:after="0"/>
        <w:tabs>
          <w:tab w:leader="none" w:pos="880" w:val="left"/>
        </w:tabs>
        <w:numPr>
          <w:ilvl w:val="0"/>
          <w:numId w:val="2"/>
        </w:numPr>
        <w:rPr>
          <w:rFonts w:ascii="Arial" w:cs="Arial" w:eastAsia="Arial" w:hAnsi="Arial"/>
          <w:sz w:val="20"/>
          <w:szCs w:val="20"/>
          <w:color w:val="auto"/>
        </w:rPr>
      </w:pPr>
      <w:r>
        <w:rPr>
          <w:rFonts w:ascii="Arial" w:cs="Arial" w:eastAsia="Arial" w:hAnsi="Arial"/>
          <w:sz w:val="20"/>
          <w:szCs w:val="20"/>
          <w:color w:val="auto"/>
        </w:rPr>
        <w:t>Total comparable sales increased 2.2% for the quarter.</w:t>
      </w:r>
    </w:p>
    <w:p>
      <w:pPr>
        <w:ind w:left="880" w:hanging="440"/>
        <w:spacing w:after="0"/>
        <w:tabs>
          <w:tab w:leader="none" w:pos="880" w:val="left"/>
        </w:tabs>
        <w:numPr>
          <w:ilvl w:val="0"/>
          <w:numId w:val="2"/>
        </w:numPr>
        <w:rPr>
          <w:rFonts w:ascii="Arial" w:cs="Arial" w:eastAsia="Arial" w:hAnsi="Arial"/>
          <w:sz w:val="20"/>
          <w:szCs w:val="20"/>
          <w:color w:val="auto"/>
        </w:rPr>
      </w:pPr>
      <w:r>
        <w:rPr>
          <w:rFonts w:ascii="Arial" w:cs="Arial" w:eastAsia="Arial" w:hAnsi="Arial"/>
          <w:sz w:val="20"/>
          <w:szCs w:val="20"/>
          <w:color w:val="auto"/>
        </w:rPr>
        <w:t>Net loss for the quarter was $(3.1) million as compared to prior-year quarter’s net loss of $(6.1) million.</w:t>
      </w:r>
    </w:p>
    <w:p>
      <w:pPr>
        <w:ind w:left="880" w:hanging="440"/>
        <w:spacing w:after="0"/>
        <w:tabs>
          <w:tab w:leader="none" w:pos="880" w:val="left"/>
        </w:tabs>
        <w:numPr>
          <w:ilvl w:val="0"/>
          <w:numId w:val="2"/>
        </w:numPr>
        <w:rPr>
          <w:rFonts w:ascii="Arial" w:cs="Arial" w:eastAsia="Arial" w:hAnsi="Arial"/>
          <w:sz w:val="20"/>
          <w:szCs w:val="20"/>
          <w:color w:val="auto"/>
        </w:rPr>
      </w:pPr>
      <w:r>
        <w:rPr>
          <w:rFonts w:ascii="Arial" w:cs="Arial" w:eastAsia="Arial" w:hAnsi="Arial"/>
          <w:sz w:val="20"/>
          <w:szCs w:val="20"/>
          <w:color w:val="auto"/>
        </w:rPr>
        <w:t>On a non-GAAP basis, EBITDA for the quarter was $5.1 million compared to $2.5 million in the prior-year quarter.</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Management Comments</w:t>
      </w:r>
    </w:p>
    <w:p>
      <w:pPr>
        <w:spacing w:after="0" w:line="154" w:lineRule="exact"/>
        <w:rPr>
          <w:sz w:val="20"/>
          <w:szCs w:val="20"/>
          <w:color w:val="auto"/>
        </w:rPr>
      </w:pPr>
    </w:p>
    <w:p>
      <w:pPr>
        <w:ind w:right="200"/>
        <w:spacing w:after="0" w:line="250" w:lineRule="auto"/>
        <w:rPr>
          <w:sz w:val="20"/>
          <w:szCs w:val="20"/>
          <w:color w:val="auto"/>
        </w:rPr>
      </w:pPr>
      <w:r>
        <w:rPr>
          <w:rFonts w:ascii="Arial" w:cs="Arial" w:eastAsia="Arial" w:hAnsi="Arial"/>
          <w:sz w:val="20"/>
          <w:szCs w:val="20"/>
          <w:color w:val="auto"/>
        </w:rPr>
        <w:t>“We are pleased to report that the positive sales momentum we experienced at the end of fiscal 2017 has continued into fiscal 2018. Our first quarter comparable sales increased 2.2% and we are seeing increases in both transactions and dollars-per-transaction,” said David Levin, President and Chief Executive Officer.</w:t>
      </w:r>
    </w:p>
    <w:p>
      <w:pPr>
        <w:spacing w:after="0" w:line="105"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Levin continued, “On May 16</w:t>
      </w:r>
      <w:r>
        <w:rPr>
          <w:rFonts w:ascii="Arial" w:cs="Arial" w:eastAsia="Arial" w:hAnsi="Arial"/>
          <w:sz w:val="16"/>
          <w:szCs w:val="16"/>
          <w:color w:val="auto"/>
        </w:rPr>
        <w:t>th</w:t>
      </w:r>
      <w:r>
        <w:rPr>
          <w:rFonts w:ascii="Arial" w:cs="Arial" w:eastAsia="Arial" w:hAnsi="Arial"/>
          <w:sz w:val="20"/>
          <w:szCs w:val="20"/>
          <w:color w:val="auto"/>
        </w:rPr>
        <w:t>, we took an important step towards achieving acceptable EBITDA margins by reorganizing and rightsizing our corporate workforce. Together with previously targeted expense reductions, we expect this corporate restructuring to deliver annualized savings of approximately $10 million. In addition, our leadership team is now better aligned to deliver a seamless experience for our customers across all of our distribution channels.”</w:t>
      </w:r>
    </w:p>
    <w:p>
      <w:pPr>
        <w:spacing w:after="0" w:line="124" w:lineRule="exact"/>
        <w:rPr>
          <w:sz w:val="20"/>
          <w:szCs w:val="20"/>
          <w:color w:val="auto"/>
        </w:rPr>
      </w:pPr>
    </w:p>
    <w:p>
      <w:pPr>
        <w:ind w:right="320"/>
        <w:spacing w:after="0" w:line="246" w:lineRule="auto"/>
        <w:rPr>
          <w:sz w:val="20"/>
          <w:szCs w:val="20"/>
          <w:color w:val="auto"/>
        </w:rPr>
      </w:pPr>
      <w:r>
        <w:rPr>
          <w:rFonts w:ascii="Arial" w:cs="Arial" w:eastAsia="Arial" w:hAnsi="Arial"/>
          <w:sz w:val="20"/>
          <w:szCs w:val="20"/>
          <w:color w:val="auto"/>
        </w:rPr>
        <w:t>“We are also announcing today that the Company has entered into a new $140 million 5-year, senior secured credit facility with Bank of America, N.A. The new facility not only enhances our access to capital on improved terms, but it also demonstrates the confidence that our bank group has in our vision. We expect to reduce our interest expense by approximately $700,000 on an annualized basis due to the improvement in terms,” Levin concluded.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290830</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26" w:right="25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u w:val="single" w:color="auto"/>
          <w:color w:val="auto"/>
        </w:rPr>
        <w:t>First Quarter Results</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Sales</w:t>
      </w:r>
    </w:p>
    <w:p>
      <w:pPr>
        <w:spacing w:after="0" w:line="135" w:lineRule="exact"/>
        <w:rPr>
          <w:sz w:val="20"/>
          <w:szCs w:val="20"/>
          <w:color w:val="auto"/>
        </w:rPr>
      </w:pPr>
    </w:p>
    <w:p>
      <w:pPr>
        <w:ind w:right="20"/>
        <w:spacing w:after="0" w:line="250" w:lineRule="auto"/>
        <w:rPr>
          <w:sz w:val="20"/>
          <w:szCs w:val="20"/>
          <w:color w:val="auto"/>
        </w:rPr>
      </w:pPr>
      <w:r>
        <w:rPr>
          <w:rFonts w:ascii="Arial" w:cs="Arial" w:eastAsia="Arial" w:hAnsi="Arial"/>
          <w:sz w:val="20"/>
          <w:szCs w:val="20"/>
          <w:color w:val="auto"/>
        </w:rPr>
        <w:t>Total sales for the first quarter of fiscal 2018 increased 5.3% to $113.3 million from $107.6 million in the first quarter of fiscal 2017. The increase of $5.7 million in total sales was primarily due to a comparable sales increase of 2.2% and an increase in non-comparable sales of $3.2 million.</w:t>
      </w:r>
    </w:p>
    <w:p>
      <w:pPr>
        <w:spacing w:after="0" w:line="11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Gross Margin</w:t>
      </w:r>
    </w:p>
    <w:p>
      <w:pPr>
        <w:spacing w:after="0" w:line="148" w:lineRule="exact"/>
        <w:rPr>
          <w:sz w:val="20"/>
          <w:szCs w:val="20"/>
          <w:color w:val="auto"/>
        </w:rPr>
      </w:pPr>
    </w:p>
    <w:p>
      <w:pPr>
        <w:spacing w:after="0" w:line="278" w:lineRule="auto"/>
        <w:rPr>
          <w:sz w:val="20"/>
          <w:szCs w:val="20"/>
          <w:color w:val="auto"/>
        </w:rPr>
      </w:pPr>
      <w:r>
        <w:rPr>
          <w:rFonts w:ascii="Arial" w:cs="Arial" w:eastAsia="Arial" w:hAnsi="Arial"/>
          <w:sz w:val="18"/>
          <w:szCs w:val="18"/>
          <w:color w:val="auto"/>
        </w:rPr>
        <w:t>For the first quarter of fiscal 2018, our gross margin rate, inclusive of occupancy costs, was 44.7% as compared to a gross margin rate of 45.2% for the first quarter of fiscal 2017. The decrease of 50 basis points was due to a decrease in merchandise margins of 120 basis points partially offset by a 70 basis point improvement in occupancy costs as a percent of sales. The decrease in merchandise margin was related to an increase in promotional markdowns and related shipping costs, primarily in our direct business. Occupancy costs, as a percentage of sales, improved as a result of the leveraging of the sales base. On a dollar basis, occupancy costs increased $0.2 million.</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Selling, General &amp; Administrative</w:t>
      </w:r>
    </w:p>
    <w:p>
      <w:pPr>
        <w:spacing w:after="0" w:line="135" w:lineRule="exact"/>
        <w:rPr>
          <w:sz w:val="20"/>
          <w:szCs w:val="20"/>
          <w:color w:val="auto"/>
        </w:rPr>
      </w:pPr>
    </w:p>
    <w:p>
      <w:pPr>
        <w:jc w:val="both"/>
        <w:ind w:right="140"/>
        <w:spacing w:after="0" w:line="244" w:lineRule="auto"/>
        <w:rPr>
          <w:sz w:val="20"/>
          <w:szCs w:val="20"/>
          <w:color w:val="auto"/>
        </w:rPr>
      </w:pPr>
      <w:r>
        <w:rPr>
          <w:rFonts w:ascii="Arial" w:cs="Arial" w:eastAsia="Arial" w:hAnsi="Arial"/>
          <w:sz w:val="20"/>
          <w:szCs w:val="20"/>
          <w:color w:val="auto"/>
        </w:rPr>
        <w:t>As a percentage of sales, SG&amp;A (selling, general and administrative) expenses for the first quarter of fiscal 2018 were 40.2% as compared to 42.9% for the first quarter of fiscal 2017. On a dollar basis, SG&amp;A decreased by $0.6 million for the first quarter of fiscal 2018. The decrease was due to a decrease of $1.6 million in marketing costs during the first quarter as a result of a reduction in the number of weeks in the Spring campaign as compared to fiscal 2017. This reduction was partially offset by an increase in store payroll and other supporting costs associated with our stores and e-commerce initiatives.</w:t>
      </w:r>
    </w:p>
    <w:p>
      <w:pPr>
        <w:spacing w:after="0" w:line="127" w:lineRule="exact"/>
        <w:rPr>
          <w:sz w:val="20"/>
          <w:szCs w:val="20"/>
          <w:color w:val="auto"/>
        </w:rPr>
      </w:pPr>
    </w:p>
    <w:p>
      <w:pPr>
        <w:ind w:right="260"/>
        <w:spacing w:after="0" w:line="258" w:lineRule="auto"/>
        <w:rPr>
          <w:sz w:val="20"/>
          <w:szCs w:val="20"/>
          <w:color w:val="auto"/>
        </w:rPr>
      </w:pPr>
      <w:r>
        <w:rPr>
          <w:rFonts w:ascii="Arial" w:cs="Arial" w:eastAsia="Arial" w:hAnsi="Arial"/>
          <w:sz w:val="19"/>
          <w:szCs w:val="19"/>
          <w:color w:val="auto"/>
        </w:rPr>
        <w:t>Management views SG&amp;A expenses through two primary cost centers: Customer Facing Costs and Corporate Supporting Costs. Customer Facing Costs, which include store payroll, marketing, and other store operating costs, represented 22.9% of sales in the first quarter of fiscal 2018 as compared to 24.6% of sales in the first quarter of last year. On an annual basis, management targets marketing expenses at approximately 5% of sales. Corporate Supporting Costs, which include the distribution center, support, and other corporate overhead costs, represented 17.3% of sales in the first quarter of fiscal 2018 compared to 18.3% of sales in the first quarter of last year. The Company continues to examine and rationalize its entire SG&amp;A cost structure to improve its EBITDA margins and overall profitability. See discussion below on Subsequent Event - Corporate Restructuring.</w:t>
      </w:r>
    </w:p>
    <w:p>
      <w:pPr>
        <w:spacing w:after="0" w:line="7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Net Loss</w:t>
      </w:r>
    </w:p>
    <w:p>
      <w:pPr>
        <w:spacing w:after="0" w:line="108" w:lineRule="exact"/>
        <w:rPr>
          <w:sz w:val="20"/>
          <w:szCs w:val="20"/>
          <w:color w:val="auto"/>
        </w:rPr>
      </w:pPr>
    </w:p>
    <w:p>
      <w:pPr>
        <w:ind w:right="160"/>
        <w:spacing w:after="0" w:line="260" w:lineRule="auto"/>
        <w:rPr>
          <w:sz w:val="20"/>
          <w:szCs w:val="20"/>
          <w:color w:val="auto"/>
        </w:rPr>
      </w:pPr>
      <w:r>
        <w:rPr>
          <w:rFonts w:ascii="Arial" w:cs="Arial" w:eastAsia="Arial" w:hAnsi="Arial"/>
          <w:sz w:val="20"/>
          <w:szCs w:val="20"/>
          <w:color w:val="auto"/>
        </w:rPr>
        <w:t>For the first quarter of fiscal 2018, we had a net loss of $(3.1) million, or $(0.06) per diluted share, compared with a net loss of $(6.1) million, or $(0.12) per diluted share, for the first quarter of fiscal 2017.</w:t>
      </w:r>
    </w:p>
    <w:p>
      <w:pPr>
        <w:spacing w:after="0" w:line="69" w:lineRule="exact"/>
        <w:rPr>
          <w:sz w:val="20"/>
          <w:szCs w:val="20"/>
          <w:color w:val="auto"/>
        </w:rPr>
      </w:pPr>
    </w:p>
    <w:p>
      <w:pPr>
        <w:ind w:right="240"/>
        <w:spacing w:after="0" w:line="287" w:lineRule="auto"/>
        <w:rPr>
          <w:sz w:val="20"/>
          <w:szCs w:val="20"/>
          <w:color w:val="auto"/>
        </w:rPr>
      </w:pPr>
      <w:r>
        <w:rPr>
          <w:rFonts w:ascii="Arial" w:cs="Arial" w:eastAsia="Arial" w:hAnsi="Arial"/>
          <w:sz w:val="19"/>
          <w:szCs w:val="19"/>
          <w:color w:val="auto"/>
        </w:rPr>
        <w:t>On a non-GAAP basis, assuming a normalized tax rate of 26% for both periods, adjusted net loss per share for the first quarter of fiscal 2018 was $(0.05) per diluted share, as compared to adjusted net loss of $(0.09) per diluted share for the first quarter 2017.</w:t>
      </w:r>
    </w:p>
    <w:p>
      <w:pPr>
        <w:spacing w:after="0" w:line="153"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16" w:right="259" w:bottom="1440" w:gutter="0" w:footer="0" w:header="0"/>
        </w:sectPr>
      </w:pPr>
    </w:p>
    <w:bookmarkStart w:id="5" w:name="page6"/>
    <w:bookmarkEnd w:id="5"/>
    <w:p>
      <w:pPr>
        <w:spacing w:after="0"/>
        <w:rPr>
          <w:sz w:val="20"/>
          <w:szCs w:val="20"/>
          <w:color w:val="auto"/>
        </w:rPr>
      </w:pPr>
      <w:r>
        <w:rPr>
          <w:rFonts w:ascii="Arial" w:cs="Arial" w:eastAsia="Arial" w:hAnsi="Arial"/>
          <w:sz w:val="20"/>
          <w:szCs w:val="20"/>
          <w:i w:val="1"/>
          <w:iCs w:val="1"/>
          <w:color w:val="auto"/>
        </w:rPr>
        <w:t>EBITDA</w:t>
      </w:r>
    </w:p>
    <w:p>
      <w:pPr>
        <w:spacing w:after="0" w:line="108"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Earnings before interest, taxes, depreciation and amortization (EBITDA), a non-GAAP measure, for the first quarter of fiscal 2018 were $5.1 million, compared to $2.5 million for the first quarter of fiscal 2017, driven by sales growth as well as reduced SG&amp;A expenses related to lower marketing costs.</w:t>
      </w:r>
    </w:p>
    <w:p>
      <w:pPr>
        <w:spacing w:after="0" w:line="11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Cash Flow</w:t>
      </w:r>
    </w:p>
    <w:p>
      <w:pPr>
        <w:spacing w:after="0" w:line="135" w:lineRule="exact"/>
        <w:rPr>
          <w:sz w:val="20"/>
          <w:szCs w:val="20"/>
          <w:color w:val="auto"/>
        </w:rPr>
      </w:pPr>
    </w:p>
    <w:p>
      <w:pPr>
        <w:ind w:right="140"/>
        <w:spacing w:after="0" w:line="243" w:lineRule="auto"/>
        <w:rPr>
          <w:sz w:val="20"/>
          <w:szCs w:val="20"/>
          <w:color w:val="auto"/>
        </w:rPr>
      </w:pPr>
      <w:r>
        <w:rPr>
          <w:rFonts w:ascii="Arial" w:cs="Arial" w:eastAsia="Arial" w:hAnsi="Arial"/>
          <w:sz w:val="20"/>
          <w:szCs w:val="20"/>
          <w:color w:val="auto"/>
        </w:rPr>
        <w:t>Cash Flow from operations for the first quarter of fiscal 2018 was $(5.8) million, compared to $(4.6) million for the first quarter of fiscal 2017. Capital expenditures for the first quarter of fiscal 2018 were $3.3 million as compared to $6.9 million for the first quarter of fiscal 2017. Free cash flow, a non-GAAP measure, improved $2.4 million, from $(11.5) million in the first quarter of fiscal 2017 to $(9.1) in the first quarter of fiscal 2018. For the first quarter of fiscal 2018, the Company expected to generate negative cash flow from operations due to the seasonal timing of working capital. This includes a seasonal build-up of inventory, prepaid advertising costs for our Spring Campaign, and fluctuations in accounts payable balances.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760" w:type="dxa"/>
            <w:vAlign w:val="bottom"/>
            <w:gridSpan w:val="4"/>
          </w:tcPr>
          <w:p>
            <w:pPr>
              <w:ind w:left="1160"/>
              <w:spacing w:after="0"/>
              <w:rPr>
                <w:sz w:val="20"/>
                <w:szCs w:val="20"/>
                <w:color w:val="auto"/>
              </w:rPr>
            </w:pPr>
            <w:r>
              <w:rPr>
                <w:rFonts w:ascii="Arial" w:cs="Arial" w:eastAsia="Arial" w:hAnsi="Arial"/>
                <w:sz w:val="14"/>
                <w:szCs w:val="14"/>
                <w:color w:val="auto"/>
                <w:w w:val="91"/>
              </w:rPr>
              <w:t>For the three months ended</w:t>
            </w: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7"/>
        </w:trPr>
        <w:tc>
          <w:tcPr>
            <w:tcW w:w="664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380" w:type="dxa"/>
            <w:vAlign w:val="bottom"/>
          </w:tcPr>
          <w:p>
            <w:pPr>
              <w:spacing w:after="0"/>
              <w:rPr>
                <w:sz w:val="14"/>
                <w:szCs w:val="14"/>
                <w:color w:val="auto"/>
              </w:rPr>
            </w:pPr>
          </w:p>
        </w:tc>
        <w:tc>
          <w:tcPr>
            <w:tcW w:w="2140" w:type="dxa"/>
            <w:vAlign w:val="bottom"/>
            <w:gridSpan w:val="2"/>
          </w:tcPr>
          <w:p>
            <w:pPr>
              <w:ind w:left="320"/>
              <w:spacing w:after="0"/>
              <w:rPr>
                <w:sz w:val="20"/>
                <w:szCs w:val="20"/>
                <w:color w:val="auto"/>
              </w:rPr>
            </w:pPr>
            <w:r>
              <w:rPr>
                <w:rFonts w:ascii="Arial" w:cs="Arial" w:eastAsia="Arial" w:hAnsi="Arial"/>
                <w:sz w:val="14"/>
                <w:szCs w:val="14"/>
                <w:color w:val="auto"/>
              </w:rPr>
              <w:t>May 5, 2018</w:t>
            </w: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40" w:type="dxa"/>
            <w:vAlign w:val="bottom"/>
            <w:gridSpan w:val="2"/>
          </w:tcPr>
          <w:p>
            <w:pPr>
              <w:jc w:val="right"/>
              <w:ind w:right="780"/>
              <w:spacing w:after="0"/>
              <w:rPr>
                <w:sz w:val="20"/>
                <w:szCs w:val="20"/>
                <w:color w:val="auto"/>
              </w:rPr>
            </w:pPr>
            <w:r>
              <w:rPr>
                <w:rFonts w:ascii="Arial" w:cs="Arial" w:eastAsia="Arial" w:hAnsi="Arial"/>
                <w:sz w:val="14"/>
                <w:szCs w:val="14"/>
                <w:color w:val="auto"/>
                <w:w w:val="97"/>
              </w:rPr>
              <w:t>April 29, 2017</w:t>
            </w:r>
          </w:p>
        </w:tc>
      </w:tr>
      <w:tr>
        <w:trPr>
          <w:trHeight w:val="156"/>
        </w:trPr>
        <w:tc>
          <w:tcPr>
            <w:tcW w:w="664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Cash flow from operating activities (GAAP basis)</w:t>
            </w:r>
          </w:p>
        </w:tc>
        <w:tc>
          <w:tcPr>
            <w:tcW w:w="380" w:type="dxa"/>
            <w:vAlign w:val="bottom"/>
            <w:tcBorders>
              <w:top w:val="single" w:sz="8" w:color="auto"/>
            </w:tcBorders>
            <w:shd w:val="clear" w:color="auto" w:fill="CFF0FC"/>
          </w:tcPr>
          <w:p>
            <w:pPr>
              <w:jc w:val="right"/>
              <w:ind w:right="228"/>
              <w:spacing w:after="0" w:line="155" w:lineRule="exact"/>
              <w:rPr>
                <w:sz w:val="20"/>
                <w:szCs w:val="20"/>
                <w:color w:val="auto"/>
              </w:rPr>
            </w:pPr>
            <w:r>
              <w:rPr>
                <w:rFonts w:ascii="Arial" w:cs="Arial" w:eastAsia="Arial" w:hAnsi="Arial"/>
                <w:sz w:val="14"/>
                <w:szCs w:val="14"/>
                <w:color w:val="auto"/>
                <w:w w:val="76"/>
              </w:rPr>
              <w:t>$</w:t>
            </w:r>
          </w:p>
        </w:tc>
        <w:tc>
          <w:tcPr>
            <w:tcW w:w="1780" w:type="dxa"/>
            <w:vAlign w:val="bottom"/>
            <w:tcBorders>
              <w:top w:val="single" w:sz="8" w:color="auto"/>
            </w:tcBorders>
            <w:shd w:val="clear" w:color="auto" w:fill="CFF0FC"/>
          </w:tcPr>
          <w:p>
            <w:pPr>
              <w:ind w:left="1540"/>
              <w:spacing w:after="0" w:line="155" w:lineRule="exact"/>
              <w:rPr>
                <w:sz w:val="20"/>
                <w:szCs w:val="20"/>
                <w:color w:val="auto"/>
              </w:rPr>
            </w:pPr>
            <w:r>
              <w:rPr>
                <w:rFonts w:ascii="Arial" w:cs="Arial" w:eastAsia="Arial" w:hAnsi="Arial"/>
                <w:sz w:val="14"/>
                <w:szCs w:val="14"/>
                <w:color w:val="auto"/>
                <w:w w:val="76"/>
              </w:rPr>
              <w:t>(5.8)</w:t>
            </w:r>
          </w:p>
        </w:tc>
        <w:tc>
          <w:tcPr>
            <w:tcW w:w="36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600" w:type="dxa"/>
            <w:vAlign w:val="bottom"/>
            <w:tcBorders>
              <w:top w:val="single" w:sz="8" w:color="auto"/>
            </w:tcBorders>
            <w:shd w:val="clear" w:color="auto" w:fill="CFF0FC"/>
          </w:tcPr>
          <w:p>
            <w:pPr>
              <w:jc w:val="right"/>
              <w:ind w:right="534"/>
              <w:spacing w:after="0"/>
              <w:rPr>
                <w:sz w:val="20"/>
                <w:szCs w:val="20"/>
                <w:color w:val="auto"/>
              </w:rPr>
            </w:pPr>
            <w:r>
              <w:rPr>
                <w:rFonts w:ascii="Arial" w:cs="Arial" w:eastAsia="Arial" w:hAnsi="Arial"/>
                <w:sz w:val="5"/>
                <w:szCs w:val="5"/>
                <w:color w:val="auto"/>
                <w:w w:val="70"/>
              </w:rPr>
              <w:t>$</w:t>
            </w:r>
          </w:p>
        </w:tc>
        <w:tc>
          <w:tcPr>
            <w:tcW w:w="15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(4.6)</w:t>
            </w:r>
          </w:p>
        </w:tc>
        <w:tc>
          <w:tcPr>
            <w:tcW w:w="100" w:type="dxa"/>
            <w:vAlign w:val="bottom"/>
            <w:tcBorders>
              <w:top w:val="single" w:sz="8" w:color="CFF0FC"/>
            </w:tcBorders>
            <w:shd w:val="clear" w:color="auto" w:fill="CFF0FC"/>
          </w:tcPr>
          <w:p>
            <w:pPr>
              <w:spacing w:after="0"/>
              <w:rPr>
                <w:sz w:val="13"/>
                <w:szCs w:val="13"/>
                <w:color w:val="auto"/>
              </w:rPr>
            </w:pPr>
          </w:p>
        </w:tc>
      </w:tr>
      <w:tr>
        <w:trPr>
          <w:trHeight w:val="162"/>
        </w:trPr>
        <w:tc>
          <w:tcPr>
            <w:tcW w:w="6640" w:type="dxa"/>
            <w:vAlign w:val="bottom"/>
          </w:tcPr>
          <w:p>
            <w:pPr>
              <w:spacing w:after="0"/>
              <w:rPr>
                <w:sz w:val="20"/>
                <w:szCs w:val="20"/>
                <w:color w:val="auto"/>
              </w:rPr>
            </w:pPr>
            <w:r>
              <w:rPr>
                <w:rFonts w:ascii="Arial" w:cs="Arial" w:eastAsia="Arial" w:hAnsi="Arial"/>
                <w:sz w:val="14"/>
                <w:szCs w:val="14"/>
                <w:color w:val="auto"/>
              </w:rPr>
              <w:t>Capital expenditures, infrastructure projects</w:t>
            </w:r>
          </w:p>
        </w:tc>
        <w:tc>
          <w:tcPr>
            <w:tcW w:w="380" w:type="dxa"/>
            <w:vAlign w:val="bottom"/>
          </w:tcPr>
          <w:p>
            <w:pPr>
              <w:spacing w:after="0"/>
              <w:rPr>
                <w:sz w:val="14"/>
                <w:szCs w:val="14"/>
                <w:color w:val="auto"/>
              </w:rPr>
            </w:pPr>
          </w:p>
        </w:tc>
        <w:tc>
          <w:tcPr>
            <w:tcW w:w="2140" w:type="dxa"/>
            <w:vAlign w:val="bottom"/>
            <w:gridSpan w:val="2"/>
          </w:tcPr>
          <w:p>
            <w:pPr>
              <w:ind w:left="1540"/>
              <w:spacing w:after="0"/>
              <w:rPr>
                <w:sz w:val="20"/>
                <w:szCs w:val="20"/>
                <w:color w:val="auto"/>
              </w:rPr>
            </w:pPr>
            <w:r>
              <w:rPr>
                <w:rFonts w:ascii="Arial" w:cs="Arial" w:eastAsia="Arial" w:hAnsi="Arial"/>
                <w:sz w:val="14"/>
                <w:szCs w:val="14"/>
                <w:color w:val="auto"/>
              </w:rPr>
              <w:t>(1.9)</w:t>
            </w: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40" w:type="dxa"/>
            <w:vAlign w:val="bottom"/>
            <w:gridSpan w:val="2"/>
          </w:tcPr>
          <w:p>
            <w:pPr>
              <w:jc w:val="right"/>
              <w:ind w:right="60"/>
              <w:spacing w:after="0"/>
              <w:rPr>
                <w:sz w:val="20"/>
                <w:szCs w:val="20"/>
                <w:color w:val="auto"/>
              </w:rPr>
            </w:pPr>
            <w:r>
              <w:rPr>
                <w:rFonts w:ascii="Arial" w:cs="Arial" w:eastAsia="Arial" w:hAnsi="Arial"/>
                <w:sz w:val="14"/>
                <w:szCs w:val="14"/>
                <w:color w:val="auto"/>
              </w:rPr>
              <w:t>(1.1)</w:t>
            </w:r>
          </w:p>
        </w:tc>
      </w:tr>
      <w:tr>
        <w:trPr>
          <w:trHeight w:val="162"/>
        </w:trPr>
        <w:tc>
          <w:tcPr>
            <w:tcW w:w="6640" w:type="dxa"/>
            <w:vAlign w:val="bottom"/>
            <w:shd w:val="clear" w:color="auto" w:fill="CFF0FC"/>
          </w:tcPr>
          <w:p>
            <w:pPr>
              <w:spacing w:after="0"/>
              <w:rPr>
                <w:sz w:val="20"/>
                <w:szCs w:val="20"/>
                <w:color w:val="auto"/>
              </w:rPr>
            </w:pPr>
            <w:r>
              <w:rPr>
                <w:rFonts w:ascii="Arial" w:cs="Arial" w:eastAsia="Arial" w:hAnsi="Arial"/>
                <w:sz w:val="14"/>
                <w:szCs w:val="14"/>
                <w:color w:val="auto"/>
              </w:rPr>
              <w:t>Capital expenditures for DXL stores</w:t>
            </w:r>
          </w:p>
        </w:tc>
        <w:tc>
          <w:tcPr>
            <w:tcW w:w="380" w:type="dxa"/>
            <w:vAlign w:val="bottom"/>
            <w:shd w:val="clear" w:color="auto" w:fill="CFF0FC"/>
          </w:tcPr>
          <w:p>
            <w:pPr>
              <w:spacing w:after="0"/>
              <w:rPr>
                <w:sz w:val="14"/>
                <w:szCs w:val="14"/>
                <w:color w:val="auto"/>
              </w:rPr>
            </w:pPr>
          </w:p>
        </w:tc>
        <w:tc>
          <w:tcPr>
            <w:tcW w:w="2140" w:type="dxa"/>
            <w:vAlign w:val="bottom"/>
            <w:gridSpan w:val="2"/>
            <w:shd w:val="clear" w:color="auto" w:fill="CFF0FC"/>
          </w:tcPr>
          <w:p>
            <w:pPr>
              <w:ind w:left="1540"/>
              <w:spacing w:after="0"/>
              <w:rPr>
                <w:sz w:val="20"/>
                <w:szCs w:val="20"/>
                <w:color w:val="auto"/>
              </w:rPr>
            </w:pPr>
            <w:r>
              <w:rPr>
                <w:rFonts w:ascii="Arial" w:cs="Arial" w:eastAsia="Arial" w:hAnsi="Arial"/>
                <w:sz w:val="14"/>
                <w:szCs w:val="14"/>
                <w:color w:val="auto"/>
              </w:rPr>
              <w:t>(1.4)</w:t>
            </w:r>
          </w:p>
        </w:tc>
        <w:tc>
          <w:tcPr>
            <w:tcW w:w="2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6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(5.8)</w:t>
            </w:r>
          </w:p>
        </w:tc>
      </w:tr>
      <w:tr>
        <w:trPr>
          <w:trHeight w:val="156"/>
        </w:trPr>
        <w:tc>
          <w:tcPr>
            <w:tcW w:w="6640" w:type="dxa"/>
            <w:vAlign w:val="bottom"/>
          </w:tcPr>
          <w:p>
            <w:pPr>
              <w:ind w:left="120"/>
              <w:spacing w:after="0" w:line="155" w:lineRule="exact"/>
              <w:rPr>
                <w:sz w:val="20"/>
                <w:szCs w:val="20"/>
                <w:color w:val="auto"/>
              </w:rPr>
            </w:pPr>
            <w:r>
              <w:rPr>
                <w:rFonts w:ascii="Arial" w:cs="Arial" w:eastAsia="Arial" w:hAnsi="Arial"/>
                <w:sz w:val="14"/>
                <w:szCs w:val="14"/>
                <w:color w:val="auto"/>
              </w:rPr>
              <w:t>Free Cash Flow (non-GAAP basis)</w:t>
            </w:r>
          </w:p>
        </w:tc>
        <w:tc>
          <w:tcPr>
            <w:tcW w:w="380" w:type="dxa"/>
            <w:vAlign w:val="bottom"/>
            <w:tcBorders>
              <w:top w:val="single" w:sz="8" w:color="auto"/>
              <w:bottom w:val="single" w:sz="8" w:color="auto"/>
            </w:tcBorders>
          </w:tcPr>
          <w:p>
            <w:pPr>
              <w:jc w:val="right"/>
              <w:ind w:right="228"/>
              <w:spacing w:after="0" w:line="155" w:lineRule="exact"/>
              <w:rPr>
                <w:sz w:val="20"/>
                <w:szCs w:val="20"/>
                <w:color w:val="auto"/>
              </w:rPr>
            </w:pPr>
            <w:r>
              <w:rPr>
                <w:rFonts w:ascii="Arial" w:cs="Arial" w:eastAsia="Arial" w:hAnsi="Arial"/>
                <w:sz w:val="14"/>
                <w:szCs w:val="14"/>
                <w:color w:val="auto"/>
                <w:w w:val="76"/>
              </w:rPr>
              <w:t>$</w:t>
            </w:r>
          </w:p>
        </w:tc>
        <w:tc>
          <w:tcPr>
            <w:tcW w:w="1780" w:type="dxa"/>
            <w:vAlign w:val="bottom"/>
            <w:tcBorders>
              <w:top w:val="single" w:sz="8" w:color="auto"/>
              <w:bottom w:val="single" w:sz="8" w:color="auto"/>
            </w:tcBorders>
          </w:tcPr>
          <w:p>
            <w:pPr>
              <w:ind w:left="1540"/>
              <w:spacing w:after="0" w:line="155" w:lineRule="exact"/>
              <w:rPr>
                <w:sz w:val="20"/>
                <w:szCs w:val="20"/>
                <w:color w:val="auto"/>
              </w:rPr>
            </w:pPr>
            <w:r>
              <w:rPr>
                <w:rFonts w:ascii="Arial" w:cs="Arial" w:eastAsia="Arial" w:hAnsi="Arial"/>
                <w:sz w:val="14"/>
                <w:szCs w:val="14"/>
                <w:color w:val="auto"/>
                <w:w w:val="76"/>
              </w:rPr>
              <w:t>(9.1)</w:t>
            </w:r>
          </w:p>
        </w:tc>
        <w:tc>
          <w:tcPr>
            <w:tcW w:w="3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5"/>
                <w:szCs w:val="5"/>
                <w:color w:val="auto"/>
                <w:w w:val="70"/>
              </w:rPr>
              <w:t>$</w:t>
            </w:r>
          </w:p>
        </w:tc>
        <w:tc>
          <w:tcPr>
            <w:tcW w:w="15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(11.5)</w:t>
            </w:r>
          </w:p>
        </w:tc>
        <w:tc>
          <w:tcPr>
            <w:tcW w:w="100" w:type="dxa"/>
            <w:vAlign w:val="bottom"/>
          </w:tcPr>
          <w:p>
            <w:pPr>
              <w:spacing w:after="0"/>
              <w:rPr>
                <w:sz w:val="13"/>
                <w:szCs w:val="13"/>
                <w:color w:val="auto"/>
              </w:rPr>
            </w:pPr>
          </w:p>
        </w:tc>
      </w:tr>
      <w:tr>
        <w:trPr>
          <w:trHeight w:val="20"/>
        </w:trPr>
        <w:tc>
          <w:tcPr>
            <w:tcW w:w="66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Non-GAAP Measures</w:t>
      </w:r>
    </w:p>
    <w:p>
      <w:pPr>
        <w:spacing w:after="0" w:line="148" w:lineRule="exact"/>
        <w:rPr>
          <w:sz w:val="20"/>
          <w:szCs w:val="20"/>
          <w:color w:val="auto"/>
        </w:rPr>
      </w:pPr>
    </w:p>
    <w:p>
      <w:pPr>
        <w:ind w:right="40"/>
        <w:spacing w:after="0" w:line="250" w:lineRule="auto"/>
        <w:rPr>
          <w:sz w:val="20"/>
          <w:szCs w:val="20"/>
          <w:color w:val="auto"/>
        </w:rPr>
      </w:pPr>
      <w:r>
        <w:rPr>
          <w:rFonts w:ascii="Arial" w:cs="Arial" w:eastAsia="Arial" w:hAnsi="Arial"/>
          <w:sz w:val="20"/>
          <w:szCs w:val="20"/>
          <w:color w:val="auto"/>
        </w:rPr>
        <w:t>EBITDA, Adjusted EBITDA, adjusted net loss, adjusted net loss per diluted share and free cash flow are non-GAAP financial measures. Please see “Non-GAAP Measures” below and reconciliations of these non-GAAP measures to the comparable GAAP measures that follow in the tables below.</w:t>
      </w:r>
    </w:p>
    <w:p>
      <w:pPr>
        <w:spacing w:after="0" w:line="11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Balance Sheet &amp; Liquidity</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At May 5, 2018, the Company had cash and cash equivalents of $7.0 million. Total debt at May 5, 2018 was $70.3 million and consisted of</w:t>
      </w:r>
    </w:p>
    <w:p>
      <w:pPr>
        <w:spacing w:after="0" w:line="39" w:lineRule="exact"/>
        <w:rPr>
          <w:sz w:val="20"/>
          <w:szCs w:val="20"/>
          <w:color w:val="auto"/>
        </w:rPr>
      </w:pPr>
    </w:p>
    <w:p>
      <w:pPr>
        <w:jc w:val="both"/>
        <w:ind w:right="120"/>
        <w:spacing w:after="0" w:line="241" w:lineRule="auto"/>
        <w:rPr>
          <w:sz w:val="20"/>
          <w:szCs w:val="20"/>
          <w:color w:val="auto"/>
        </w:rPr>
      </w:pPr>
      <w:r>
        <w:rPr>
          <w:rFonts w:ascii="Arial" w:cs="Arial" w:eastAsia="Arial" w:hAnsi="Arial"/>
          <w:sz w:val="20"/>
          <w:szCs w:val="20"/>
          <w:color w:val="auto"/>
        </w:rPr>
        <w:t>$58.9 million outstanding under the Company’s credit facility and approximately $11.4 million outstanding under its term loan and equipment financing notes, net of unamortized debt issuance costs. At May 5, 2018, the Company had $32.7 million of excess availability under its credit facility.</w:t>
      </w:r>
    </w:p>
    <w:p>
      <w:pPr>
        <w:spacing w:after="0" w:line="129" w:lineRule="exact"/>
        <w:rPr>
          <w:sz w:val="20"/>
          <w:szCs w:val="20"/>
          <w:color w:val="auto"/>
        </w:rPr>
      </w:pPr>
    </w:p>
    <w:p>
      <w:pPr>
        <w:ind w:right="20"/>
        <w:spacing w:after="0" w:line="244" w:lineRule="auto"/>
        <w:rPr>
          <w:sz w:val="20"/>
          <w:szCs w:val="20"/>
          <w:color w:val="auto"/>
        </w:rPr>
      </w:pPr>
      <w:r>
        <w:rPr>
          <w:rFonts w:ascii="Arial" w:cs="Arial" w:eastAsia="Arial" w:hAnsi="Arial"/>
          <w:sz w:val="20"/>
          <w:szCs w:val="20"/>
          <w:color w:val="auto"/>
        </w:rPr>
        <w:t>Subsequent to the end of the first quarter of fiscal 2018, on May 24, 2018 the Company amended its credit facility. The amendment extended the term of the credit facility from October 2019 to May 2023 and reduced interest rates on its $125.0 million revolver facility by 25 basis points. The amended credit facility also added a new $15.0 million FILO (“first in, last out”) facility. The proceeds from the FILO facility will be used to repay, in full, the Company’s existing term loan facility. Interest rates on the FILO facility are 350-450 basis points lower than under the existing term loan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right="320"/>
        <w:spacing w:after="0" w:line="251" w:lineRule="auto"/>
        <w:rPr>
          <w:sz w:val="20"/>
          <w:szCs w:val="20"/>
          <w:color w:val="auto"/>
        </w:rPr>
      </w:pPr>
      <w:r>
        <w:rPr>
          <w:rFonts w:ascii="Arial" w:cs="Arial" w:eastAsia="Arial" w:hAnsi="Arial"/>
          <w:sz w:val="22"/>
          <w:szCs w:val="22"/>
          <w:color w:val="auto"/>
        </w:rPr>
        <w:t>Inventory was $106.2 million at May 5, 2018 as compared to $103.3 million at February 3, 2018 and $121.4 million at April 29, 2017. The decrease of $15.2 million in inventory compared with last year’s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1" w:right="239" w:bottom="1440" w:gutter="0" w:footer="0" w:header="0"/>
        </w:sectPr>
      </w:pPr>
    </w:p>
    <w:bookmarkStart w:id="6" w:name="page7"/>
    <w:bookmarkEnd w:id="6"/>
    <w:p>
      <w:pPr>
        <w:ind w:right="480" w:firstLine="478"/>
        <w:spacing w:after="0" w:line="262" w:lineRule="auto"/>
        <w:rPr>
          <w:sz w:val="20"/>
          <w:szCs w:val="20"/>
          <w:color w:val="auto"/>
        </w:rPr>
      </w:pPr>
      <w:r>
        <w:rPr>
          <w:rFonts w:ascii="Arial" w:cs="Arial" w:eastAsia="Arial" w:hAnsi="Arial"/>
          <w:sz w:val="20"/>
          <w:szCs w:val="20"/>
          <w:color w:val="auto"/>
        </w:rPr>
        <w:t xml:space="preserve">first quarter was due to the inventory initiatives over the past 18 months to improve timing of receipts and weeks of supply on hand. </w:t>
      </w:r>
      <w:r>
        <w:rPr>
          <w:rFonts w:ascii="Arial" w:cs="Arial" w:eastAsia="Arial" w:hAnsi="Arial"/>
          <w:sz w:val="20"/>
          <w:szCs w:val="20"/>
          <w:b w:val="1"/>
          <w:bCs w:val="1"/>
          <w:u w:val="single" w:color="auto"/>
          <w:color w:val="auto"/>
        </w:rPr>
        <w:t>Retail Store Information</w:t>
      </w:r>
    </w:p>
    <w:p>
      <w:pPr>
        <w:spacing w:after="0" w:line="107" w:lineRule="exact"/>
        <w:rPr>
          <w:sz w:val="20"/>
          <w:szCs w:val="20"/>
          <w:color w:val="auto"/>
        </w:rPr>
      </w:pPr>
    </w:p>
    <w:p>
      <w:pPr>
        <w:ind w:right="120"/>
        <w:spacing w:after="0" w:line="250" w:lineRule="auto"/>
        <w:rPr>
          <w:sz w:val="20"/>
          <w:szCs w:val="20"/>
          <w:color w:val="auto"/>
        </w:rPr>
      </w:pPr>
      <w:r>
        <w:rPr>
          <w:rFonts w:ascii="Arial" w:cs="Arial" w:eastAsia="Arial" w:hAnsi="Arial"/>
          <w:sz w:val="20"/>
          <w:szCs w:val="20"/>
          <w:color w:val="auto"/>
        </w:rPr>
        <w:t>For the first quarter of fiscal 2018, the Company opened three new DXL stores, rebranded two Casual Male XL stores to DXL and closed four Casual Male XL stores and two Casual Male XL outlets. Total retail square footage has remained relatively constant since the end of fiscal 2016:</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2280" w:type="dxa"/>
            <w:vAlign w:val="bottom"/>
            <w:gridSpan w:val="5"/>
          </w:tcPr>
          <w:p>
            <w:pPr>
              <w:ind w:left="600"/>
              <w:spacing w:after="0"/>
              <w:rPr>
                <w:sz w:val="20"/>
                <w:szCs w:val="20"/>
                <w:color w:val="auto"/>
              </w:rPr>
            </w:pPr>
            <w:r>
              <w:rPr>
                <w:rFonts w:ascii="Arial" w:cs="Arial" w:eastAsia="Arial" w:hAnsi="Arial"/>
                <w:sz w:val="14"/>
                <w:szCs w:val="14"/>
                <w:color w:val="auto"/>
              </w:rPr>
              <w:t>Year End 2016</w:t>
            </w:r>
          </w:p>
        </w:tc>
        <w:tc>
          <w:tcPr>
            <w:tcW w:w="2260" w:type="dxa"/>
            <w:vAlign w:val="bottom"/>
            <w:gridSpan w:val="4"/>
          </w:tcPr>
          <w:p>
            <w:pPr>
              <w:ind w:left="600"/>
              <w:spacing w:after="0"/>
              <w:rPr>
                <w:sz w:val="20"/>
                <w:szCs w:val="20"/>
                <w:color w:val="auto"/>
              </w:rPr>
            </w:pPr>
            <w:r>
              <w:rPr>
                <w:rFonts w:ascii="Arial" w:cs="Arial" w:eastAsia="Arial" w:hAnsi="Arial"/>
                <w:sz w:val="14"/>
                <w:szCs w:val="14"/>
                <w:color w:val="auto"/>
              </w:rPr>
              <w:t>Year End 2017</w:t>
            </w:r>
          </w:p>
        </w:tc>
        <w:tc>
          <w:tcPr>
            <w:tcW w:w="2280" w:type="dxa"/>
            <w:vAlign w:val="bottom"/>
            <w:gridSpan w:val="4"/>
          </w:tcPr>
          <w:p>
            <w:pPr>
              <w:ind w:left="600"/>
              <w:spacing w:after="0"/>
              <w:rPr>
                <w:sz w:val="20"/>
                <w:szCs w:val="20"/>
                <w:color w:val="auto"/>
              </w:rPr>
            </w:pPr>
            <w:r>
              <w:rPr>
                <w:rFonts w:ascii="Arial" w:cs="Arial" w:eastAsia="Arial" w:hAnsi="Arial"/>
                <w:sz w:val="14"/>
                <w:szCs w:val="14"/>
                <w:color w:val="auto"/>
              </w:rPr>
              <w:t>At May 5, 2018</w:t>
            </w:r>
          </w:p>
        </w:tc>
        <w:tc>
          <w:tcPr>
            <w:tcW w:w="2300" w:type="dxa"/>
            <w:vAlign w:val="bottom"/>
            <w:gridSpan w:val="4"/>
          </w:tcPr>
          <w:p>
            <w:pPr>
              <w:ind w:left="560"/>
              <w:spacing w:after="0"/>
              <w:rPr>
                <w:sz w:val="20"/>
                <w:szCs w:val="20"/>
                <w:color w:val="auto"/>
              </w:rPr>
            </w:pPr>
            <w:r>
              <w:rPr>
                <w:rFonts w:ascii="Arial" w:cs="Arial" w:eastAsia="Arial" w:hAnsi="Arial"/>
                <w:sz w:val="14"/>
                <w:szCs w:val="14"/>
                <w:color w:val="auto"/>
              </w:rPr>
              <w:t>Year End 2018E</w:t>
            </w:r>
          </w:p>
        </w:tc>
      </w:tr>
      <w:tr>
        <w:trPr>
          <w:trHeight w:val="180"/>
        </w:trPr>
        <w:tc>
          <w:tcPr>
            <w:tcW w:w="2300" w:type="dxa"/>
            <w:vAlign w:val="bottom"/>
            <w:shd w:val="clear" w:color="auto" w:fill="CFF0FC"/>
          </w:tcPr>
          <w:p>
            <w:pPr>
              <w:spacing w:after="0"/>
              <w:rPr>
                <w:sz w:val="15"/>
                <w:szCs w:val="15"/>
                <w:color w:val="auto"/>
              </w:rPr>
            </w:pPr>
          </w:p>
        </w:tc>
        <w:tc>
          <w:tcPr>
            <w:tcW w:w="740" w:type="dxa"/>
            <w:vAlign w:val="bottom"/>
            <w:shd w:val="clear" w:color="auto" w:fill="CFF0FC"/>
          </w:tcPr>
          <w:p>
            <w:pPr>
              <w:jc w:val="center"/>
              <w:ind w:left="228"/>
              <w:spacing w:after="0"/>
              <w:rPr>
                <w:sz w:val="20"/>
                <w:szCs w:val="20"/>
                <w:color w:val="auto"/>
              </w:rPr>
            </w:pPr>
            <w:r>
              <w:rPr>
                <w:rFonts w:ascii="Arial" w:cs="Arial" w:eastAsia="Arial" w:hAnsi="Arial"/>
                <w:sz w:val="14"/>
                <w:szCs w:val="14"/>
                <w:color w:val="auto"/>
              </w:rPr>
              <w:t># of</w:t>
            </w:r>
          </w:p>
        </w:tc>
        <w:tc>
          <w:tcPr>
            <w:tcW w:w="3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ind w:left="320"/>
              <w:spacing w:after="0"/>
              <w:rPr>
                <w:sz w:val="20"/>
                <w:szCs w:val="20"/>
                <w:color w:val="auto"/>
              </w:rPr>
            </w:pPr>
            <w:r>
              <w:rPr>
                <w:rFonts w:ascii="Arial" w:cs="Arial" w:eastAsia="Arial" w:hAnsi="Arial"/>
                <w:sz w:val="14"/>
                <w:szCs w:val="14"/>
                <w:color w:val="auto"/>
              </w:rPr>
              <w:t>Sq Ft.</w:t>
            </w:r>
          </w:p>
        </w:tc>
        <w:tc>
          <w:tcPr>
            <w:tcW w:w="1120" w:type="dxa"/>
            <w:vAlign w:val="bottom"/>
            <w:gridSpan w:val="2"/>
            <w:shd w:val="clear" w:color="auto" w:fill="CFF0FC"/>
          </w:tcPr>
          <w:p>
            <w:pPr>
              <w:ind w:left="380"/>
              <w:spacing w:after="0"/>
              <w:rPr>
                <w:sz w:val="20"/>
                <w:szCs w:val="20"/>
                <w:color w:val="auto"/>
              </w:rPr>
            </w:pPr>
            <w:r>
              <w:rPr>
                <w:rFonts w:ascii="Arial" w:cs="Arial" w:eastAsia="Arial" w:hAnsi="Arial"/>
                <w:sz w:val="14"/>
                <w:szCs w:val="14"/>
                <w:color w:val="auto"/>
              </w:rPr>
              <w:t># of</w:t>
            </w:r>
          </w:p>
        </w:tc>
        <w:tc>
          <w:tcPr>
            <w:tcW w:w="1140" w:type="dxa"/>
            <w:vAlign w:val="bottom"/>
            <w:gridSpan w:val="2"/>
            <w:shd w:val="clear" w:color="auto" w:fill="CFF0FC"/>
          </w:tcPr>
          <w:p>
            <w:pPr>
              <w:ind w:left="320"/>
              <w:spacing w:after="0"/>
              <w:rPr>
                <w:sz w:val="20"/>
                <w:szCs w:val="20"/>
                <w:color w:val="auto"/>
              </w:rPr>
            </w:pPr>
            <w:r>
              <w:rPr>
                <w:rFonts w:ascii="Arial" w:cs="Arial" w:eastAsia="Arial" w:hAnsi="Arial"/>
                <w:sz w:val="14"/>
                <w:szCs w:val="14"/>
                <w:color w:val="auto"/>
              </w:rPr>
              <w:t>Sq Ft.</w:t>
            </w:r>
          </w:p>
        </w:tc>
        <w:tc>
          <w:tcPr>
            <w:tcW w:w="1140" w:type="dxa"/>
            <w:vAlign w:val="bottom"/>
            <w:gridSpan w:val="2"/>
            <w:shd w:val="clear" w:color="auto" w:fill="CFF0FC"/>
          </w:tcPr>
          <w:p>
            <w:pPr>
              <w:ind w:left="380"/>
              <w:spacing w:after="0"/>
              <w:rPr>
                <w:sz w:val="20"/>
                <w:szCs w:val="20"/>
                <w:color w:val="auto"/>
              </w:rPr>
            </w:pPr>
            <w:r>
              <w:rPr>
                <w:rFonts w:ascii="Arial" w:cs="Arial" w:eastAsia="Arial" w:hAnsi="Arial"/>
                <w:sz w:val="14"/>
                <w:szCs w:val="14"/>
                <w:color w:val="auto"/>
              </w:rPr>
              <w:t># of</w:t>
            </w:r>
          </w:p>
        </w:tc>
        <w:tc>
          <w:tcPr>
            <w:tcW w:w="1140" w:type="dxa"/>
            <w:vAlign w:val="bottom"/>
            <w:gridSpan w:val="2"/>
            <w:shd w:val="clear" w:color="auto" w:fill="CFF0FC"/>
          </w:tcPr>
          <w:p>
            <w:pPr>
              <w:ind w:left="320"/>
              <w:spacing w:after="0"/>
              <w:rPr>
                <w:sz w:val="20"/>
                <w:szCs w:val="20"/>
                <w:color w:val="auto"/>
              </w:rPr>
            </w:pPr>
            <w:r>
              <w:rPr>
                <w:rFonts w:ascii="Arial" w:cs="Arial" w:eastAsia="Arial" w:hAnsi="Arial"/>
                <w:sz w:val="14"/>
                <w:szCs w:val="14"/>
                <w:color w:val="auto"/>
              </w:rPr>
              <w:t>Sq Ft.</w:t>
            </w:r>
          </w:p>
        </w:tc>
        <w:tc>
          <w:tcPr>
            <w:tcW w:w="1140" w:type="dxa"/>
            <w:vAlign w:val="bottom"/>
            <w:gridSpan w:val="2"/>
            <w:shd w:val="clear" w:color="auto" w:fill="CFF0FC"/>
          </w:tcPr>
          <w:p>
            <w:pPr>
              <w:ind w:left="380"/>
              <w:spacing w:after="0"/>
              <w:rPr>
                <w:sz w:val="20"/>
                <w:szCs w:val="20"/>
                <w:color w:val="auto"/>
              </w:rPr>
            </w:pPr>
            <w:r>
              <w:rPr>
                <w:rFonts w:ascii="Arial" w:cs="Arial" w:eastAsia="Arial" w:hAnsi="Arial"/>
                <w:sz w:val="14"/>
                <w:szCs w:val="14"/>
                <w:color w:val="auto"/>
              </w:rPr>
              <w:t># of</w:t>
            </w:r>
          </w:p>
        </w:tc>
        <w:tc>
          <w:tcPr>
            <w:tcW w:w="1160" w:type="dxa"/>
            <w:vAlign w:val="bottom"/>
            <w:gridSpan w:val="2"/>
            <w:shd w:val="clear" w:color="auto" w:fill="CFF0FC"/>
          </w:tcPr>
          <w:p>
            <w:pPr>
              <w:ind w:left="320"/>
              <w:spacing w:after="0"/>
              <w:rPr>
                <w:sz w:val="20"/>
                <w:szCs w:val="20"/>
                <w:color w:val="auto"/>
              </w:rPr>
            </w:pPr>
            <w:r>
              <w:rPr>
                <w:rFonts w:ascii="Arial" w:cs="Arial" w:eastAsia="Arial" w:hAnsi="Arial"/>
                <w:sz w:val="14"/>
                <w:szCs w:val="14"/>
                <w:color w:val="auto"/>
              </w:rPr>
              <w:t>Sq Ft.</w:t>
            </w:r>
          </w:p>
        </w:tc>
      </w:tr>
      <w:tr>
        <w:trPr>
          <w:trHeight w:val="157"/>
        </w:trPr>
        <w:tc>
          <w:tcPr>
            <w:tcW w:w="2300" w:type="dxa"/>
            <w:vAlign w:val="bottom"/>
            <w:shd w:val="clear" w:color="auto" w:fill="CFF0FC"/>
          </w:tcPr>
          <w:p>
            <w:pPr>
              <w:spacing w:after="0"/>
              <w:rPr>
                <w:sz w:val="13"/>
                <w:szCs w:val="13"/>
                <w:color w:val="auto"/>
              </w:rPr>
            </w:pPr>
          </w:p>
        </w:tc>
        <w:tc>
          <w:tcPr>
            <w:tcW w:w="740" w:type="dxa"/>
            <w:vAlign w:val="bottom"/>
            <w:tcBorders>
              <w:bottom w:val="single" w:sz="8" w:color="auto"/>
            </w:tcBorders>
            <w:shd w:val="clear" w:color="auto" w:fill="CFF0FC"/>
          </w:tcPr>
          <w:p>
            <w:pPr>
              <w:jc w:val="center"/>
              <w:ind w:left="208"/>
              <w:spacing w:after="0" w:line="157" w:lineRule="exact"/>
              <w:rPr>
                <w:sz w:val="20"/>
                <w:szCs w:val="20"/>
                <w:color w:val="auto"/>
              </w:rPr>
            </w:pPr>
            <w:r>
              <w:rPr>
                <w:rFonts w:ascii="Arial" w:cs="Arial" w:eastAsia="Arial" w:hAnsi="Arial"/>
                <w:sz w:val="14"/>
                <w:szCs w:val="14"/>
                <w:color w:val="auto"/>
              </w:rPr>
              <w:t>Stores</w:t>
            </w:r>
          </w:p>
        </w:tc>
        <w:tc>
          <w:tcPr>
            <w:tcW w:w="300" w:type="dxa"/>
            <w:vAlign w:val="bottom"/>
            <w:tcBorders>
              <w:bottom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20" w:type="dxa"/>
            <w:vAlign w:val="bottom"/>
            <w:tcBorders>
              <w:bottom w:val="single" w:sz="8" w:color="auto"/>
            </w:tcBorders>
            <w:shd w:val="clear" w:color="auto" w:fill="CFF0FC"/>
          </w:tcPr>
          <w:p>
            <w:pPr>
              <w:jc w:val="right"/>
              <w:ind w:right="228"/>
              <w:spacing w:after="0" w:line="157" w:lineRule="exact"/>
              <w:rPr>
                <w:sz w:val="20"/>
                <w:szCs w:val="20"/>
                <w:color w:val="auto"/>
              </w:rPr>
            </w:pPr>
            <w:r>
              <w:rPr>
                <w:rFonts w:ascii="Arial" w:cs="Arial" w:eastAsia="Arial" w:hAnsi="Arial"/>
                <w:sz w:val="14"/>
                <w:szCs w:val="14"/>
                <w:color w:val="auto"/>
              </w:rPr>
              <w:t>(000’s)</w:t>
            </w:r>
          </w:p>
        </w:tc>
        <w:tc>
          <w:tcPr>
            <w:tcW w:w="120" w:type="dxa"/>
            <w:vAlign w:val="bottom"/>
            <w:shd w:val="clear" w:color="auto" w:fill="CFF0FC"/>
          </w:tcPr>
          <w:p>
            <w:pPr>
              <w:spacing w:after="0"/>
              <w:rPr>
                <w:sz w:val="13"/>
                <w:szCs w:val="13"/>
                <w:color w:val="auto"/>
              </w:rPr>
            </w:pPr>
          </w:p>
        </w:tc>
        <w:tc>
          <w:tcPr>
            <w:tcW w:w="1020" w:type="dxa"/>
            <w:vAlign w:val="bottom"/>
            <w:tcBorders>
              <w:bottom w:val="single" w:sz="8" w:color="auto"/>
            </w:tcBorders>
            <w:shd w:val="clear" w:color="auto" w:fill="CFF0FC"/>
          </w:tcPr>
          <w:p>
            <w:pPr>
              <w:jc w:val="right"/>
              <w:ind w:right="248"/>
              <w:spacing w:after="0" w:line="157" w:lineRule="exact"/>
              <w:rPr>
                <w:sz w:val="20"/>
                <w:szCs w:val="20"/>
                <w:color w:val="auto"/>
              </w:rPr>
            </w:pPr>
            <w:r>
              <w:rPr>
                <w:rFonts w:ascii="Arial" w:cs="Arial" w:eastAsia="Arial" w:hAnsi="Arial"/>
                <w:sz w:val="14"/>
                <w:szCs w:val="14"/>
                <w:color w:val="auto"/>
              </w:rPr>
              <w:t>Stores</w:t>
            </w:r>
          </w:p>
        </w:tc>
        <w:tc>
          <w:tcPr>
            <w:tcW w:w="100" w:type="dxa"/>
            <w:vAlign w:val="bottom"/>
            <w:shd w:val="clear" w:color="auto" w:fill="CFF0FC"/>
          </w:tcPr>
          <w:p>
            <w:pPr>
              <w:spacing w:after="0"/>
              <w:rPr>
                <w:sz w:val="13"/>
                <w:szCs w:val="13"/>
                <w:color w:val="auto"/>
              </w:rPr>
            </w:pPr>
          </w:p>
        </w:tc>
        <w:tc>
          <w:tcPr>
            <w:tcW w:w="1040" w:type="dxa"/>
            <w:vAlign w:val="bottom"/>
            <w:tcBorders>
              <w:bottom w:val="single" w:sz="8" w:color="auto"/>
            </w:tcBorders>
            <w:shd w:val="clear" w:color="auto" w:fill="CFF0FC"/>
          </w:tcPr>
          <w:p>
            <w:pPr>
              <w:jc w:val="right"/>
              <w:ind w:right="228"/>
              <w:spacing w:after="0" w:line="157" w:lineRule="exact"/>
              <w:rPr>
                <w:sz w:val="20"/>
                <w:szCs w:val="20"/>
                <w:color w:val="auto"/>
              </w:rPr>
            </w:pPr>
            <w:r>
              <w:rPr>
                <w:rFonts w:ascii="Arial" w:cs="Arial" w:eastAsia="Arial" w:hAnsi="Arial"/>
                <w:sz w:val="14"/>
                <w:szCs w:val="14"/>
                <w:color w:val="auto"/>
              </w:rPr>
              <w:t>(000’s)</w:t>
            </w:r>
          </w:p>
        </w:tc>
        <w:tc>
          <w:tcPr>
            <w:tcW w:w="100" w:type="dxa"/>
            <w:vAlign w:val="bottom"/>
            <w:shd w:val="clear" w:color="auto" w:fill="CFF0FC"/>
          </w:tcPr>
          <w:p>
            <w:pPr>
              <w:spacing w:after="0"/>
              <w:rPr>
                <w:sz w:val="13"/>
                <w:szCs w:val="13"/>
                <w:color w:val="auto"/>
              </w:rPr>
            </w:pPr>
          </w:p>
        </w:tc>
        <w:tc>
          <w:tcPr>
            <w:tcW w:w="1020" w:type="dxa"/>
            <w:vAlign w:val="bottom"/>
            <w:tcBorders>
              <w:bottom w:val="single" w:sz="8" w:color="auto"/>
            </w:tcBorders>
            <w:shd w:val="clear" w:color="auto" w:fill="CFF0FC"/>
          </w:tcPr>
          <w:p>
            <w:pPr>
              <w:jc w:val="right"/>
              <w:ind w:right="228"/>
              <w:spacing w:after="0" w:line="157" w:lineRule="exact"/>
              <w:rPr>
                <w:sz w:val="20"/>
                <w:szCs w:val="20"/>
                <w:color w:val="auto"/>
              </w:rPr>
            </w:pPr>
            <w:r>
              <w:rPr>
                <w:rFonts w:ascii="Arial" w:cs="Arial" w:eastAsia="Arial" w:hAnsi="Arial"/>
                <w:sz w:val="14"/>
                <w:szCs w:val="14"/>
                <w:color w:val="auto"/>
              </w:rPr>
              <w:t>Stores</w:t>
            </w:r>
          </w:p>
        </w:tc>
        <w:tc>
          <w:tcPr>
            <w:tcW w:w="120" w:type="dxa"/>
            <w:vAlign w:val="bottom"/>
            <w:shd w:val="clear" w:color="auto" w:fill="CFF0FC"/>
          </w:tcPr>
          <w:p>
            <w:pPr>
              <w:spacing w:after="0"/>
              <w:rPr>
                <w:sz w:val="13"/>
                <w:szCs w:val="13"/>
                <w:color w:val="auto"/>
              </w:rPr>
            </w:pPr>
          </w:p>
        </w:tc>
        <w:tc>
          <w:tcPr>
            <w:tcW w:w="1020" w:type="dxa"/>
            <w:vAlign w:val="bottom"/>
            <w:tcBorders>
              <w:bottom w:val="single" w:sz="8" w:color="auto"/>
            </w:tcBorders>
            <w:shd w:val="clear" w:color="auto" w:fill="CFF0FC"/>
          </w:tcPr>
          <w:p>
            <w:pPr>
              <w:jc w:val="right"/>
              <w:ind w:right="228"/>
              <w:spacing w:after="0" w:line="157" w:lineRule="exact"/>
              <w:rPr>
                <w:sz w:val="20"/>
                <w:szCs w:val="20"/>
                <w:color w:val="auto"/>
              </w:rPr>
            </w:pPr>
            <w:r>
              <w:rPr>
                <w:rFonts w:ascii="Arial" w:cs="Arial" w:eastAsia="Arial" w:hAnsi="Arial"/>
                <w:sz w:val="14"/>
                <w:szCs w:val="14"/>
                <w:color w:val="auto"/>
              </w:rPr>
              <w:t>(000’s)</w:t>
            </w:r>
          </w:p>
        </w:tc>
        <w:tc>
          <w:tcPr>
            <w:tcW w:w="120" w:type="dxa"/>
            <w:vAlign w:val="bottom"/>
            <w:shd w:val="clear" w:color="auto" w:fill="CFF0FC"/>
          </w:tcPr>
          <w:p>
            <w:pPr>
              <w:spacing w:after="0"/>
              <w:rPr>
                <w:sz w:val="13"/>
                <w:szCs w:val="13"/>
                <w:color w:val="auto"/>
              </w:rPr>
            </w:pPr>
          </w:p>
        </w:tc>
        <w:tc>
          <w:tcPr>
            <w:tcW w:w="1040" w:type="dxa"/>
            <w:vAlign w:val="bottom"/>
            <w:tcBorders>
              <w:bottom w:val="single" w:sz="8" w:color="auto"/>
            </w:tcBorders>
            <w:shd w:val="clear" w:color="auto" w:fill="CFF0FC"/>
          </w:tcPr>
          <w:p>
            <w:pPr>
              <w:jc w:val="right"/>
              <w:ind w:right="248"/>
              <w:spacing w:after="0" w:line="157" w:lineRule="exact"/>
              <w:rPr>
                <w:sz w:val="20"/>
                <w:szCs w:val="20"/>
                <w:color w:val="auto"/>
              </w:rPr>
            </w:pPr>
            <w:r>
              <w:rPr>
                <w:rFonts w:ascii="Arial" w:cs="Arial" w:eastAsia="Arial" w:hAnsi="Arial"/>
                <w:sz w:val="14"/>
                <w:szCs w:val="14"/>
                <w:color w:val="auto"/>
              </w:rPr>
              <w:t>Stores</w:t>
            </w:r>
          </w:p>
        </w:tc>
        <w:tc>
          <w:tcPr>
            <w:tcW w:w="100" w:type="dxa"/>
            <w:vAlign w:val="bottom"/>
            <w:shd w:val="clear" w:color="auto" w:fill="CFF0FC"/>
          </w:tcPr>
          <w:p>
            <w:pPr>
              <w:spacing w:after="0"/>
              <w:rPr>
                <w:sz w:val="13"/>
                <w:szCs w:val="13"/>
                <w:color w:val="auto"/>
              </w:rPr>
            </w:pPr>
          </w:p>
        </w:tc>
        <w:tc>
          <w:tcPr>
            <w:tcW w:w="1040" w:type="dxa"/>
            <w:vAlign w:val="bottom"/>
            <w:tcBorders>
              <w:bottom w:val="single" w:sz="8" w:color="auto"/>
            </w:tcBorders>
            <w:shd w:val="clear" w:color="auto" w:fill="CFF0FC"/>
          </w:tcPr>
          <w:p>
            <w:pPr>
              <w:jc w:val="right"/>
              <w:ind w:right="228"/>
              <w:spacing w:after="0" w:line="157" w:lineRule="exact"/>
              <w:rPr>
                <w:sz w:val="20"/>
                <w:szCs w:val="20"/>
                <w:color w:val="auto"/>
              </w:rPr>
            </w:pPr>
            <w:r>
              <w:rPr>
                <w:rFonts w:ascii="Arial" w:cs="Arial" w:eastAsia="Arial" w:hAnsi="Arial"/>
                <w:sz w:val="14"/>
                <w:szCs w:val="14"/>
                <w:color w:val="auto"/>
              </w:rPr>
              <w:t>(000’s)</w:t>
            </w:r>
          </w:p>
        </w:tc>
        <w:tc>
          <w:tcPr>
            <w:tcW w:w="120" w:type="dxa"/>
            <w:vAlign w:val="bottom"/>
            <w:shd w:val="clear" w:color="auto" w:fill="CFF0FC"/>
          </w:tcPr>
          <w:p>
            <w:pPr>
              <w:spacing w:after="0"/>
              <w:rPr>
                <w:sz w:val="13"/>
                <w:szCs w:val="13"/>
                <w:color w:val="auto"/>
              </w:rPr>
            </w:pPr>
          </w:p>
        </w:tc>
      </w:tr>
      <w:tr>
        <w:trPr>
          <w:trHeight w:val="169"/>
        </w:trPr>
        <w:tc>
          <w:tcPr>
            <w:tcW w:w="3040" w:type="dxa"/>
            <w:vAlign w:val="bottom"/>
            <w:gridSpan w:val="2"/>
          </w:tcPr>
          <w:p>
            <w:pPr>
              <w:spacing w:after="0"/>
              <w:rPr>
                <w:sz w:val="20"/>
                <w:szCs w:val="20"/>
                <w:color w:val="auto"/>
              </w:rPr>
            </w:pPr>
            <w:r>
              <w:rPr>
                <w:rFonts w:ascii="Arial" w:cs="Arial" w:eastAsia="Arial" w:hAnsi="Arial"/>
                <w:sz w:val="14"/>
                <w:szCs w:val="14"/>
                <w:color w:val="auto"/>
              </w:rPr>
              <w:t>DXL retail</w:t>
            </w:r>
          </w:p>
        </w:tc>
        <w:tc>
          <w:tcPr>
            <w:tcW w:w="300" w:type="dxa"/>
            <w:vAlign w:val="bottom"/>
          </w:tcPr>
          <w:p>
            <w:pPr>
              <w:jc w:val="right"/>
              <w:spacing w:after="0"/>
              <w:rPr>
                <w:sz w:val="20"/>
                <w:szCs w:val="20"/>
                <w:color w:val="auto"/>
              </w:rPr>
            </w:pPr>
            <w:r>
              <w:rPr>
                <w:rFonts w:ascii="Arial" w:cs="Arial" w:eastAsia="Arial" w:hAnsi="Arial"/>
                <w:sz w:val="14"/>
                <w:szCs w:val="14"/>
                <w:color w:val="auto"/>
              </w:rPr>
              <w:t>192</w:t>
            </w: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1,542</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212</w:t>
            </w: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1,665</w:t>
            </w: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216</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1,687</w:t>
            </w: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215</w:t>
            </w: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1,678</w:t>
            </w:r>
          </w:p>
        </w:tc>
        <w:tc>
          <w:tcPr>
            <w:tcW w:w="120" w:type="dxa"/>
            <w:vAlign w:val="bottom"/>
          </w:tcPr>
          <w:p>
            <w:pPr>
              <w:spacing w:after="0"/>
              <w:rPr>
                <w:sz w:val="14"/>
                <w:szCs w:val="14"/>
                <w:color w:val="auto"/>
              </w:rPr>
            </w:pPr>
          </w:p>
        </w:tc>
      </w:tr>
      <w:tr>
        <w:trPr>
          <w:trHeight w:val="176"/>
        </w:trPr>
        <w:tc>
          <w:tcPr>
            <w:tcW w:w="304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DXL outlets</w:t>
            </w:r>
          </w:p>
        </w:tc>
        <w:tc>
          <w:tcPr>
            <w:tcW w:w="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66</w:t>
            </w:r>
          </w:p>
        </w:tc>
        <w:tc>
          <w:tcPr>
            <w:tcW w:w="12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72</w:t>
            </w:r>
          </w:p>
        </w:tc>
        <w:tc>
          <w:tcPr>
            <w:tcW w:w="1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78</w:t>
            </w: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78</w:t>
            </w:r>
          </w:p>
        </w:tc>
        <w:tc>
          <w:tcPr>
            <w:tcW w:w="120" w:type="dxa"/>
            <w:vAlign w:val="bottom"/>
            <w:shd w:val="clear" w:color="auto" w:fill="CFF0FC"/>
          </w:tcPr>
          <w:p>
            <w:pPr>
              <w:spacing w:after="0"/>
              <w:rPr>
                <w:sz w:val="15"/>
                <w:szCs w:val="15"/>
                <w:color w:val="auto"/>
              </w:rPr>
            </w:pPr>
          </w:p>
        </w:tc>
      </w:tr>
      <w:tr>
        <w:trPr>
          <w:trHeight w:val="176"/>
        </w:trPr>
        <w:tc>
          <w:tcPr>
            <w:tcW w:w="3040" w:type="dxa"/>
            <w:vAlign w:val="bottom"/>
            <w:gridSpan w:val="2"/>
          </w:tcPr>
          <w:p>
            <w:pPr>
              <w:spacing w:after="0"/>
              <w:rPr>
                <w:sz w:val="20"/>
                <w:szCs w:val="20"/>
                <w:color w:val="auto"/>
              </w:rPr>
            </w:pPr>
            <w:r>
              <w:rPr>
                <w:rFonts w:ascii="Arial" w:cs="Arial" w:eastAsia="Arial" w:hAnsi="Arial"/>
                <w:sz w:val="14"/>
                <w:szCs w:val="14"/>
                <w:color w:val="auto"/>
              </w:rPr>
              <w:t>CMXL retail</w:t>
            </w:r>
          </w:p>
        </w:tc>
        <w:tc>
          <w:tcPr>
            <w:tcW w:w="300" w:type="dxa"/>
            <w:vAlign w:val="bottom"/>
          </w:tcPr>
          <w:p>
            <w:pPr>
              <w:jc w:val="right"/>
              <w:spacing w:after="0"/>
              <w:rPr>
                <w:sz w:val="20"/>
                <w:szCs w:val="20"/>
                <w:color w:val="auto"/>
              </w:rPr>
            </w:pPr>
            <w:r>
              <w:rPr>
                <w:rFonts w:ascii="Arial" w:cs="Arial" w:eastAsia="Arial" w:hAnsi="Arial"/>
                <w:sz w:val="14"/>
                <w:szCs w:val="14"/>
                <w:color w:val="auto"/>
              </w:rPr>
              <w:t>97</w:t>
            </w: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340</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78</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268</w:t>
            </w: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72</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248</w:t>
            </w: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69</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235</w:t>
            </w:r>
          </w:p>
        </w:tc>
        <w:tc>
          <w:tcPr>
            <w:tcW w:w="120" w:type="dxa"/>
            <w:vAlign w:val="bottom"/>
          </w:tcPr>
          <w:p>
            <w:pPr>
              <w:spacing w:after="0"/>
              <w:rPr>
                <w:sz w:val="15"/>
                <w:szCs w:val="15"/>
                <w:color w:val="auto"/>
              </w:rPr>
            </w:pPr>
          </w:p>
        </w:tc>
      </w:tr>
      <w:tr>
        <w:trPr>
          <w:trHeight w:val="176"/>
        </w:trPr>
        <w:tc>
          <w:tcPr>
            <w:tcW w:w="304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CMXL outlets</w:t>
            </w:r>
          </w:p>
        </w:tc>
        <w:tc>
          <w:tcPr>
            <w:tcW w:w="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w:t>
            </w:r>
          </w:p>
        </w:tc>
        <w:tc>
          <w:tcPr>
            <w:tcW w:w="1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113</w:t>
            </w:r>
          </w:p>
        </w:tc>
        <w:tc>
          <w:tcPr>
            <w:tcW w:w="12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103</w:t>
            </w:r>
          </w:p>
        </w:tc>
        <w:tc>
          <w:tcPr>
            <w:tcW w:w="1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w:t>
            </w:r>
          </w:p>
        </w:tc>
        <w:tc>
          <w:tcPr>
            <w:tcW w:w="12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95</w:t>
            </w: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87</w:t>
            </w:r>
          </w:p>
        </w:tc>
        <w:tc>
          <w:tcPr>
            <w:tcW w:w="120" w:type="dxa"/>
            <w:vAlign w:val="bottom"/>
            <w:shd w:val="clear" w:color="auto" w:fill="CFF0FC"/>
          </w:tcPr>
          <w:p>
            <w:pPr>
              <w:spacing w:after="0"/>
              <w:rPr>
                <w:sz w:val="15"/>
                <w:szCs w:val="15"/>
                <w:color w:val="auto"/>
              </w:rPr>
            </w:pPr>
          </w:p>
        </w:tc>
      </w:tr>
      <w:tr>
        <w:trPr>
          <w:trHeight w:val="176"/>
        </w:trPr>
        <w:tc>
          <w:tcPr>
            <w:tcW w:w="230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Rochester Clothing</w:t>
            </w:r>
          </w:p>
        </w:tc>
        <w:tc>
          <w:tcPr>
            <w:tcW w:w="7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0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w:t>
            </w:r>
          </w:p>
        </w:tc>
        <w:tc>
          <w:tcPr>
            <w:tcW w:w="1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00" w:type="dxa"/>
            <w:vAlign w:val="bottom"/>
            <w:tcBorders>
              <w:bottom w:val="single" w:sz="8" w:color="CFF0FC"/>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w:t>
            </w:r>
          </w:p>
        </w:tc>
        <w:tc>
          <w:tcPr>
            <w:tcW w:w="10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w:t>
            </w:r>
          </w:p>
        </w:tc>
        <w:tc>
          <w:tcPr>
            <w:tcW w:w="120" w:type="dxa"/>
            <w:vAlign w:val="bottom"/>
            <w:tcBorders>
              <w:bottom w:val="single" w:sz="8" w:color="CFF0FC"/>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00" w:type="dxa"/>
            <w:vAlign w:val="bottom"/>
            <w:tcBorders>
              <w:bottom w:val="single" w:sz="8" w:color="CFF0FC"/>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w:t>
            </w:r>
          </w:p>
        </w:tc>
        <w:tc>
          <w:tcPr>
            <w:tcW w:w="120" w:type="dxa"/>
            <w:vAlign w:val="bottom"/>
            <w:tcBorders>
              <w:bottom w:val="single" w:sz="8" w:color="CFF0FC"/>
            </w:tcBorders>
          </w:tcPr>
          <w:p>
            <w:pPr>
              <w:spacing w:after="0"/>
              <w:rPr>
                <w:sz w:val="15"/>
                <w:szCs w:val="15"/>
                <w:color w:val="auto"/>
              </w:rPr>
            </w:pPr>
          </w:p>
        </w:tc>
      </w:tr>
      <w:tr>
        <w:trPr>
          <w:trHeight w:val="169"/>
        </w:trPr>
        <w:tc>
          <w:tcPr>
            <w:tcW w:w="304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Total</w:t>
            </w:r>
          </w:p>
        </w:tc>
        <w:tc>
          <w:tcPr>
            <w:tcW w:w="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343</w:t>
            </w: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2,112</w:t>
            </w: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342</w:t>
            </w:r>
          </w:p>
        </w:tc>
        <w:tc>
          <w:tcPr>
            <w:tcW w:w="1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2,159</w:t>
            </w: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339</w:t>
            </w: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2,159</w:t>
            </w: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333</w:t>
            </w:r>
          </w:p>
        </w:tc>
        <w:tc>
          <w:tcPr>
            <w:tcW w:w="1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2,129</w:t>
            </w:r>
          </w:p>
        </w:tc>
        <w:tc>
          <w:tcPr>
            <w:tcW w:w="120" w:type="dxa"/>
            <w:vAlign w:val="bottom"/>
            <w:shd w:val="clear" w:color="auto" w:fill="CFF0FC"/>
          </w:tcPr>
          <w:p>
            <w:pPr>
              <w:spacing w:after="0"/>
              <w:rPr>
                <w:sz w:val="14"/>
                <w:szCs w:val="14"/>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E-Commerce Information</w:t>
      </w:r>
    </w:p>
    <w:p>
      <w:pPr>
        <w:spacing w:after="0" w:line="154" w:lineRule="exact"/>
        <w:rPr>
          <w:sz w:val="20"/>
          <w:szCs w:val="20"/>
          <w:color w:val="auto"/>
        </w:rPr>
      </w:pPr>
    </w:p>
    <w:p>
      <w:pPr>
        <w:ind w:right="60"/>
        <w:spacing w:after="0" w:line="243" w:lineRule="auto"/>
        <w:rPr>
          <w:sz w:val="20"/>
          <w:szCs w:val="20"/>
          <w:color w:val="auto"/>
        </w:rPr>
      </w:pPr>
      <w:r>
        <w:rPr>
          <w:rFonts w:ascii="Arial" w:cs="Arial" w:eastAsia="Arial" w:hAnsi="Arial"/>
          <w:sz w:val="20"/>
          <w:szCs w:val="20"/>
          <w:color w:val="auto"/>
        </w:rPr>
        <w:t>The Company distributes its licensed branded and private label products directly to consumers through its stores, website and third-party websites. As the Company continues to invest in its digital capabilities, management believes it is important to monitor the total percentage of revenue that is facilitated by the Company’s e-commerce systems, regardless of which channel originates or fulfills the transaction. E-commerce sales are defined as sales that originate online, including those initiated online at the store level. On a trailing 12-month basis, our direct business increased to 21.1% of our total sales at the end of the first quarter of fiscal 2018 as compared to 20.2% at the end of first quarter of fiscal 2017.</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Subsequent Event – Corporate Restructuring</w:t>
      </w:r>
    </w:p>
    <w:p>
      <w:pPr>
        <w:spacing w:after="0" w:line="141" w:lineRule="exact"/>
        <w:rPr>
          <w:sz w:val="20"/>
          <w:szCs w:val="20"/>
          <w:color w:val="auto"/>
        </w:rPr>
      </w:pPr>
    </w:p>
    <w:p>
      <w:pPr>
        <w:ind w:right="80"/>
        <w:spacing w:after="0" w:line="278" w:lineRule="auto"/>
        <w:rPr>
          <w:sz w:val="20"/>
          <w:szCs w:val="20"/>
          <w:color w:val="auto"/>
        </w:rPr>
      </w:pPr>
      <w:r>
        <w:rPr>
          <w:rFonts w:ascii="Arial" w:cs="Arial" w:eastAsia="Arial" w:hAnsi="Arial"/>
          <w:sz w:val="18"/>
          <w:szCs w:val="18"/>
          <w:color w:val="auto"/>
        </w:rPr>
        <w:t>Subsequent to the end of the first quarter, on May 16, 2018 the Company committed to a corporate restructuring to accelerate the Company's path to profitability by aligning its expense structure with its revenues. The Company eliminated approximately 56 positions, which represents 15% of our corporate work force, or 2% of our total work force. As a result, the Company expects to incur aggregate charges in the second quarter of fiscal 2018 of approximately $1.7 million for employee severance and one-time termination benefits, as well as other employee-related costs. Cash expenditures associated with the restructuring are expected to be approximately $1.3 million.</w:t>
      </w:r>
    </w:p>
    <w:p>
      <w:pPr>
        <w:spacing w:after="0" w:line="98" w:lineRule="exact"/>
        <w:rPr>
          <w:sz w:val="20"/>
          <w:szCs w:val="20"/>
          <w:color w:val="auto"/>
        </w:rPr>
      </w:pPr>
    </w:p>
    <w:p>
      <w:pPr>
        <w:ind w:right="160"/>
        <w:spacing w:after="0" w:line="244" w:lineRule="auto"/>
        <w:rPr>
          <w:sz w:val="20"/>
          <w:szCs w:val="20"/>
          <w:color w:val="auto"/>
        </w:rPr>
      </w:pPr>
      <w:r>
        <w:rPr>
          <w:rFonts w:ascii="Arial" w:cs="Arial" w:eastAsia="Arial" w:hAnsi="Arial"/>
          <w:sz w:val="20"/>
          <w:szCs w:val="20"/>
          <w:color w:val="auto"/>
        </w:rPr>
        <w:t>As a result of this restructuring, the Company expects to realize savings of approximately $5.6 million in SG&amp;A expenses in fiscal 2018, of which $2.4 million was previously identified by the Company and factored into fiscal 2018 earnings expectations, resulting in incremental net savings this year of $3.2 million. The savings primarily related to payroll, travel, benefits and non-essential project expenses, with expected annualized savings of approximately $10.3 million, and the Company expects to have executed approximately three-fourths of actions necessary to realize these savings by July 1, 2018.</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spacing w:after="0"/>
        <w:rPr>
          <w:sz w:val="20"/>
          <w:szCs w:val="20"/>
          <w:color w:val="auto"/>
        </w:rPr>
      </w:pPr>
      <w:r>
        <w:rPr>
          <w:rFonts w:ascii="Arial" w:cs="Arial" w:eastAsia="Arial" w:hAnsi="Arial"/>
          <w:sz w:val="20"/>
          <w:szCs w:val="20"/>
          <w:b w:val="1"/>
          <w:bCs w:val="1"/>
          <w:u w:val="single" w:color="auto"/>
          <w:color w:val="auto"/>
        </w:rPr>
        <w:t>Fiscal 2018 Outlook</w:t>
      </w:r>
    </w:p>
    <w:p>
      <w:pPr>
        <w:spacing w:after="0" w:line="15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We are revising our earnings guidance to reflect the $3.2 million expense savings that we expect from the corporate restructuring. We expect to incur approximately $1.7 million in the second quarter for severance and other restructuring charges, and we expect to incur approximately $4.2 million before the end of fiscal 2018 associated with CEO transition costs.</w:t>
      </w:r>
    </w:p>
    <w:p>
      <w:pPr>
        <w:spacing w:after="0" w:line="105" w:lineRule="exact"/>
        <w:rPr>
          <w:sz w:val="20"/>
          <w:szCs w:val="20"/>
          <w:color w:val="auto"/>
        </w:rPr>
      </w:pPr>
    </w:p>
    <w:p>
      <w:pPr>
        <w:ind w:right="60"/>
        <w:spacing w:after="0" w:line="260" w:lineRule="auto"/>
        <w:rPr>
          <w:sz w:val="20"/>
          <w:szCs w:val="20"/>
          <w:color w:val="auto"/>
        </w:rPr>
      </w:pPr>
      <w:r>
        <w:rPr>
          <w:rFonts w:ascii="Arial" w:cs="Arial" w:eastAsia="Arial" w:hAnsi="Arial"/>
          <w:sz w:val="19"/>
          <w:szCs w:val="19"/>
          <w:color w:val="auto"/>
        </w:rPr>
        <w:t>Our strategy for fiscal 2018 remains focused on customer acquisition, customer retention, and customer re-activation. Our marketing spend for the year is expected to be approximately $24.0 million, which is less than fiscal 2017 spend of approximately $29.5 million, but greater than fiscal 2016 spend of $18.0 million. Compared to fiscal 2017, we are projecting that our total sales for the year will be negatively impacted by one less week of sales and a net decrease in store count of nine stores, worth approximately $5.3 million in sales. Fiscal 2017 included a 53</w:t>
      </w:r>
      <w:r>
        <w:rPr>
          <w:rFonts w:ascii="Arial" w:cs="Arial" w:eastAsia="Arial" w:hAnsi="Arial"/>
          <w:sz w:val="15"/>
          <w:szCs w:val="15"/>
          <w:color w:val="auto"/>
        </w:rPr>
        <w:t>rd</w:t>
      </w:r>
      <w:r>
        <w:rPr>
          <w:rFonts w:ascii="Arial" w:cs="Arial" w:eastAsia="Arial" w:hAnsi="Arial"/>
          <w:sz w:val="19"/>
          <w:szCs w:val="19"/>
          <w:color w:val="auto"/>
        </w:rPr>
        <w:t xml:space="preserve"> week, with sales of $6.9 million and operating income of $1.6 million.</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color w:val="auto"/>
        </w:rPr>
        <w:t>Our revised guidance for fiscal 2018, based on a 52-week year, is as follows:</w:t>
      </w:r>
    </w:p>
    <w:p>
      <w:pPr>
        <w:spacing w:after="0" w:line="256" w:lineRule="exact"/>
        <w:rPr>
          <w:sz w:val="20"/>
          <w:szCs w:val="20"/>
          <w:color w:val="auto"/>
        </w:rPr>
      </w:pPr>
    </w:p>
    <w:p>
      <w:pPr>
        <w:ind w:left="900" w:right="860" w:hanging="298"/>
        <w:spacing w:after="0" w:line="260" w:lineRule="auto"/>
        <w:tabs>
          <w:tab w:leader="none" w:pos="900" w:val="left"/>
        </w:tabs>
        <w:numPr>
          <w:ilvl w:val="0"/>
          <w:numId w:val="3"/>
        </w:numPr>
        <w:rPr>
          <w:rFonts w:ascii="Arial" w:cs="Arial" w:eastAsia="Arial" w:hAnsi="Arial"/>
          <w:sz w:val="20"/>
          <w:szCs w:val="20"/>
          <w:color w:val="auto"/>
        </w:rPr>
      </w:pPr>
      <w:r>
        <w:rPr>
          <w:rFonts w:ascii="Arial" w:cs="Arial" w:eastAsia="Arial" w:hAnsi="Arial"/>
          <w:sz w:val="20"/>
          <w:szCs w:val="20"/>
          <w:color w:val="auto"/>
        </w:rPr>
        <w:t>Sales of $462.0 million to $472.0 million, with a total company comparable sales increase of approximately 1.0% to 3.0% (unchanged from previous guidance).</w:t>
      </w:r>
    </w:p>
    <w:p>
      <w:pPr>
        <w:spacing w:after="0" w:line="68" w:lineRule="exact"/>
        <w:rPr>
          <w:rFonts w:ascii="Arial" w:cs="Arial" w:eastAsia="Arial" w:hAnsi="Arial"/>
          <w:sz w:val="20"/>
          <w:szCs w:val="20"/>
          <w:color w:val="auto"/>
        </w:rPr>
      </w:pPr>
    </w:p>
    <w:p>
      <w:pPr>
        <w:ind w:left="900" w:hanging="298"/>
        <w:spacing w:after="0"/>
        <w:tabs>
          <w:tab w:leader="none" w:pos="900" w:val="left"/>
        </w:tabs>
        <w:numPr>
          <w:ilvl w:val="0"/>
          <w:numId w:val="3"/>
        </w:numPr>
        <w:rPr>
          <w:rFonts w:ascii="Arial" w:cs="Arial" w:eastAsia="Arial" w:hAnsi="Arial"/>
          <w:sz w:val="20"/>
          <w:szCs w:val="20"/>
          <w:color w:val="auto"/>
        </w:rPr>
      </w:pPr>
      <w:r>
        <w:rPr>
          <w:rFonts w:ascii="Arial" w:cs="Arial" w:eastAsia="Arial" w:hAnsi="Arial"/>
          <w:sz w:val="20"/>
          <w:szCs w:val="20"/>
          <w:color w:val="auto"/>
        </w:rPr>
        <w:t>Gross margin rate of approximately 44.5% (a decrease from previous guidance of 45.0%).</w:t>
      </w:r>
    </w:p>
    <w:p>
      <w:pPr>
        <w:spacing w:after="0" w:line="107" w:lineRule="exact"/>
        <w:rPr>
          <w:rFonts w:ascii="Arial" w:cs="Arial" w:eastAsia="Arial" w:hAnsi="Arial"/>
          <w:sz w:val="20"/>
          <w:szCs w:val="20"/>
          <w:color w:val="auto"/>
        </w:rPr>
      </w:pPr>
    </w:p>
    <w:p>
      <w:pPr>
        <w:ind w:left="900" w:right="700" w:hanging="298"/>
        <w:spacing w:after="0" w:line="260" w:lineRule="auto"/>
        <w:tabs>
          <w:tab w:leader="none" w:pos="900" w:val="left"/>
        </w:tabs>
        <w:numPr>
          <w:ilvl w:val="0"/>
          <w:numId w:val="3"/>
        </w:numPr>
        <w:rPr>
          <w:rFonts w:ascii="Arial" w:cs="Arial" w:eastAsia="Arial" w:hAnsi="Arial"/>
          <w:sz w:val="20"/>
          <w:szCs w:val="20"/>
          <w:color w:val="auto"/>
        </w:rPr>
      </w:pPr>
      <w:r>
        <w:rPr>
          <w:rFonts w:ascii="Arial" w:cs="Arial" w:eastAsia="Arial" w:hAnsi="Arial"/>
          <w:sz w:val="20"/>
          <w:szCs w:val="20"/>
          <w:color w:val="auto"/>
        </w:rPr>
        <w:t>Net loss, on a GAAP basis, of $(13.2) to $(18.2) million, or $(0.27) to $(0.37) per diluted share (an increase in net loss from previous guidance of $(8.3) to $(14.3) million, or $(0.17) to $(0.29) per diluted share).</w:t>
      </w:r>
    </w:p>
    <w:p>
      <w:pPr>
        <w:spacing w:after="0" w:line="68" w:lineRule="exact"/>
        <w:rPr>
          <w:rFonts w:ascii="Arial" w:cs="Arial" w:eastAsia="Arial" w:hAnsi="Arial"/>
          <w:sz w:val="20"/>
          <w:szCs w:val="20"/>
          <w:color w:val="auto"/>
        </w:rPr>
      </w:pPr>
    </w:p>
    <w:p>
      <w:pPr>
        <w:ind w:left="900" w:right="200" w:hanging="298"/>
        <w:spacing w:after="0" w:line="260" w:lineRule="auto"/>
        <w:tabs>
          <w:tab w:leader="none" w:pos="900" w:val="left"/>
        </w:tabs>
        <w:numPr>
          <w:ilvl w:val="0"/>
          <w:numId w:val="3"/>
        </w:numPr>
        <w:rPr>
          <w:rFonts w:ascii="Arial" w:cs="Arial" w:eastAsia="Arial" w:hAnsi="Arial"/>
          <w:sz w:val="20"/>
          <w:szCs w:val="20"/>
          <w:color w:val="auto"/>
        </w:rPr>
      </w:pPr>
      <w:r>
        <w:rPr>
          <w:rFonts w:ascii="Arial" w:cs="Arial" w:eastAsia="Arial" w:hAnsi="Arial"/>
          <w:sz w:val="20"/>
          <w:szCs w:val="20"/>
          <w:color w:val="auto"/>
        </w:rPr>
        <w:t>EBITDA adjusted for restructuring charges and CEO transition costs (“Adjusted EBITDA”) of $20.0 to $25.0 million (an increase from previous EBITDA guidance of $18.0 to $24.0 million).*</w:t>
      </w:r>
    </w:p>
    <w:p>
      <w:pPr>
        <w:spacing w:after="0" w:line="68" w:lineRule="exact"/>
        <w:rPr>
          <w:rFonts w:ascii="Arial" w:cs="Arial" w:eastAsia="Arial" w:hAnsi="Arial"/>
          <w:sz w:val="20"/>
          <w:szCs w:val="20"/>
          <w:color w:val="auto"/>
        </w:rPr>
      </w:pPr>
    </w:p>
    <w:p>
      <w:pPr>
        <w:ind w:left="900" w:right="40" w:hanging="298"/>
        <w:spacing w:after="0" w:line="246" w:lineRule="auto"/>
        <w:tabs>
          <w:tab w:leader="none" w:pos="900" w:val="left"/>
        </w:tabs>
        <w:numPr>
          <w:ilvl w:val="0"/>
          <w:numId w:val="3"/>
        </w:numPr>
        <w:rPr>
          <w:rFonts w:ascii="Arial" w:cs="Arial" w:eastAsia="Arial" w:hAnsi="Arial"/>
          <w:sz w:val="20"/>
          <w:szCs w:val="20"/>
          <w:color w:val="auto"/>
        </w:rPr>
      </w:pPr>
      <w:r>
        <w:rPr>
          <w:rFonts w:ascii="Arial" w:cs="Arial" w:eastAsia="Arial" w:hAnsi="Arial"/>
          <w:sz w:val="20"/>
          <w:szCs w:val="20"/>
          <w:color w:val="auto"/>
        </w:rPr>
        <w:t>Adjusted net loss of $(0.11) to $(0.18) per diluted share (a decrease in the net loss from previous guidance of $(0.12) to $(0.22) per diluted share). Because we expect to continue providing a full valuation allowance against our deferred tax assets, we do not expect to recognize any income tax benefit in fiscal 2018. This non-GAAP net loss is before restructuring charges and CEO transition costs and assumes a tax benefit of 26%. *</w:t>
      </w:r>
    </w:p>
    <w:p>
      <w:pPr>
        <w:spacing w:after="0" w:line="83" w:lineRule="exact"/>
        <w:rPr>
          <w:rFonts w:ascii="Arial" w:cs="Arial" w:eastAsia="Arial" w:hAnsi="Arial"/>
          <w:sz w:val="20"/>
          <w:szCs w:val="20"/>
          <w:color w:val="auto"/>
        </w:rPr>
      </w:pPr>
    </w:p>
    <w:p>
      <w:pPr>
        <w:ind w:left="900" w:right="40" w:hanging="298"/>
        <w:spacing w:after="0" w:line="269" w:lineRule="auto"/>
        <w:tabs>
          <w:tab w:leader="none" w:pos="900" w:val="left"/>
        </w:tabs>
        <w:numPr>
          <w:ilvl w:val="0"/>
          <w:numId w:val="3"/>
        </w:numPr>
        <w:rPr>
          <w:rFonts w:ascii="Arial" w:cs="Arial" w:eastAsia="Arial" w:hAnsi="Arial"/>
          <w:sz w:val="19"/>
          <w:szCs w:val="19"/>
          <w:color w:val="auto"/>
        </w:rPr>
      </w:pPr>
      <w:r>
        <w:rPr>
          <w:rFonts w:ascii="Arial" w:cs="Arial" w:eastAsia="Arial" w:hAnsi="Arial"/>
          <w:sz w:val="19"/>
          <w:szCs w:val="19"/>
          <w:color w:val="auto"/>
        </w:rPr>
        <w:t>Capital expenditures of approximately $11.4 million, $2.1 million of which will be for new and remodeled stores to the DXL format and $9.3 million for digital and infrastructure projects, partially offset by approximately $1.1 million in tenant allowances. We expect to fund our capital expenditures from our operating cash flow (unchanged from previous guidance).</w:t>
      </w:r>
    </w:p>
    <w:p>
      <w:pPr>
        <w:spacing w:after="0" w:line="62" w:lineRule="exact"/>
        <w:rPr>
          <w:rFonts w:ascii="Arial" w:cs="Arial" w:eastAsia="Arial" w:hAnsi="Arial"/>
          <w:sz w:val="19"/>
          <w:szCs w:val="19"/>
          <w:color w:val="auto"/>
        </w:rPr>
      </w:pPr>
    </w:p>
    <w:p>
      <w:pPr>
        <w:ind w:left="900" w:right="80" w:hanging="298"/>
        <w:spacing w:after="0" w:line="250" w:lineRule="auto"/>
        <w:tabs>
          <w:tab w:leader="none" w:pos="900" w:val="left"/>
        </w:tabs>
        <w:numPr>
          <w:ilvl w:val="0"/>
          <w:numId w:val="3"/>
        </w:numPr>
        <w:rPr>
          <w:rFonts w:ascii="Arial" w:cs="Arial" w:eastAsia="Arial" w:hAnsi="Arial"/>
          <w:sz w:val="20"/>
          <w:szCs w:val="20"/>
          <w:color w:val="auto"/>
        </w:rPr>
      </w:pPr>
      <w:r>
        <w:rPr>
          <w:rFonts w:ascii="Arial" w:cs="Arial" w:eastAsia="Arial" w:hAnsi="Arial"/>
          <w:sz w:val="20"/>
          <w:szCs w:val="20"/>
          <w:color w:val="auto"/>
        </w:rPr>
        <w:t>At the end of fiscal 2018, we expect cash flow from operating activities of $20.5 million to $26.5 million (including tenant allowances), resulting in positive free cash flow of approximately $9.1 million to $15.1 million (unchanged from previous guidance after taking into account costs associated with restructuring and CEO transition).</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8" w:name="page9"/>
    <w:bookmarkEnd w:id="8"/>
    <w:p>
      <w:pPr>
        <w:ind w:right="1980"/>
        <w:spacing w:after="0" w:line="417" w:lineRule="auto"/>
        <w:rPr>
          <w:sz w:val="20"/>
          <w:szCs w:val="20"/>
          <w:color w:val="auto"/>
        </w:rPr>
      </w:pPr>
      <w:r>
        <w:rPr>
          <w:rFonts w:ascii="Arial" w:cs="Arial" w:eastAsia="Arial" w:hAnsi="Arial"/>
          <w:sz w:val="20"/>
          <w:szCs w:val="20"/>
          <w:color w:val="auto"/>
        </w:rPr>
        <w:t xml:space="preserve">* Reconciliations of these non-GAAP measures to their comparable GAAP measures are provided in the tables below. </w:t>
      </w:r>
      <w:r>
        <w:rPr>
          <w:rFonts w:ascii="Arial" w:cs="Arial" w:eastAsia="Arial" w:hAnsi="Arial"/>
          <w:sz w:val="20"/>
          <w:szCs w:val="20"/>
          <w:b w:val="1"/>
          <w:bCs w:val="1"/>
          <w:u w:val="single" w:color="auto"/>
          <w:color w:val="auto"/>
        </w:rPr>
        <w:t>Conference Call</w:t>
      </w:r>
    </w:p>
    <w:p>
      <w:pPr>
        <w:spacing w:after="0" w:line="26" w:lineRule="exact"/>
        <w:rPr>
          <w:sz w:val="20"/>
          <w:szCs w:val="20"/>
          <w:color w:val="auto"/>
        </w:rPr>
      </w:pPr>
    </w:p>
    <w:p>
      <w:pPr>
        <w:ind w:right="180"/>
        <w:spacing w:after="0" w:line="246" w:lineRule="auto"/>
        <w:rPr>
          <w:sz w:val="20"/>
          <w:szCs w:val="20"/>
          <w:color w:val="auto"/>
        </w:rPr>
      </w:pPr>
      <w:r>
        <w:rPr>
          <w:rFonts w:ascii="Arial" w:cs="Arial" w:eastAsia="Arial" w:hAnsi="Arial"/>
          <w:sz w:val="20"/>
          <w:szCs w:val="20"/>
          <w:color w:val="auto"/>
        </w:rPr>
        <w:t>The Company will hold a conference call to review its financial results today, Wednesday, May 30, 2018 at 9:00 a.m. ET. To listen to the live webcast, visit the "</w:t>
      </w:r>
      <w:r>
        <w:rPr>
          <w:rFonts w:ascii="Arial" w:cs="Arial" w:eastAsia="Arial" w:hAnsi="Arial"/>
          <w:sz w:val="20"/>
          <w:szCs w:val="20"/>
          <w:u w:val="single" w:color="auto"/>
          <w:color w:val="auto"/>
        </w:rPr>
        <w:t>Investor Relations</w:t>
      </w:r>
      <w:r>
        <w:rPr>
          <w:rFonts w:ascii="Arial" w:cs="Arial" w:eastAsia="Arial" w:hAnsi="Arial"/>
          <w:sz w:val="20"/>
          <w:szCs w:val="20"/>
          <w:color w:val="auto"/>
        </w:rPr>
        <w:t xml:space="preserve">" section of the Company's website. The live call also can be accessed by dialing: </w:t>
      </w:r>
      <w:r>
        <w:rPr>
          <w:rFonts w:ascii="Arial" w:cs="Arial" w:eastAsia="Arial" w:hAnsi="Arial"/>
          <w:sz w:val="18"/>
          <w:szCs w:val="18"/>
          <w:color w:val="auto"/>
        </w:rPr>
        <w:t>866-680-2311</w:t>
      </w:r>
      <w:r>
        <w:rPr>
          <w:rFonts w:ascii="Arial" w:cs="Arial" w:eastAsia="Arial" w:hAnsi="Arial"/>
          <w:sz w:val="20"/>
          <w:szCs w:val="20"/>
          <w:color w:val="auto"/>
        </w:rPr>
        <w:t xml:space="preserve">. Please reference conference ID: </w:t>
      </w:r>
      <w:r>
        <w:rPr>
          <w:rFonts w:ascii="Arial" w:cs="Arial" w:eastAsia="Arial" w:hAnsi="Arial"/>
          <w:sz w:val="18"/>
          <w:szCs w:val="18"/>
          <w:color w:val="auto"/>
        </w:rPr>
        <w:t>3698296</w:t>
      </w:r>
      <w:r>
        <w:rPr>
          <w:rFonts w:ascii="Arial" w:cs="Arial" w:eastAsia="Arial" w:hAnsi="Arial"/>
          <w:sz w:val="20"/>
          <w:szCs w:val="20"/>
          <w:color w:val="auto"/>
        </w:rPr>
        <w:t>. An archived version of the webcast may be accessed by visiting the "Events" section of the Company's website for up to one year.</w:t>
      </w:r>
    </w:p>
    <w:p>
      <w:pPr>
        <w:spacing w:after="0" w:line="192"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During the conference call, the Company may discuss and answer questions concerning business and financial developments and trends. The Company’s responses to questions, as well as other matters discussed during the conference call, may contain or constitute information that has not been disclosed previously.</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Non-GAAP Measures</w:t>
      </w:r>
    </w:p>
    <w:p>
      <w:pPr>
        <w:spacing w:after="0" w:line="222"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In addition to financial measures prepared in accordance with U.S. generally accepted accounting principles (“GAAP”), this press release contains non-GAAP financial measures, including EBITDA, adjusted EBITDA, adjusted net loss, adjusted net loss per diluted share and free cash flow. The presentation of these non-GAAP measures is not in accordance with GAAP, and should not be considered superior to or as a substitute for net loss, net loss per diluted share or cash flows from operating activities or any other measure of performance derived in accordance with GAAP. In addition, not all companies calculate non-GAAP financial measures in the same manner and, accordingly, the non-GAAP measures presented in this release may not be comparable to similar measures used by other companies. The Company believes the inclusion of these non-GAAP measures helps investors gain a better understanding of the Company’s performance, especially when comparing such results to previous periods, and that they are useful as an additional means for investors to evaluate the Company's operating results, when reviewed in conjunction with the Company's GAAP financial statements. Reconciliations of these non-GAAP measures to their comparable GAAP measures are provided in the tables below.</w:t>
      </w:r>
    </w:p>
    <w:p>
      <w:pPr>
        <w:spacing w:after="0" w:line="94" w:lineRule="exact"/>
        <w:rPr>
          <w:sz w:val="20"/>
          <w:szCs w:val="20"/>
          <w:color w:val="auto"/>
        </w:rPr>
      </w:pPr>
    </w:p>
    <w:p>
      <w:pPr>
        <w:ind w:right="20"/>
        <w:spacing w:after="0" w:line="244" w:lineRule="auto"/>
        <w:rPr>
          <w:sz w:val="20"/>
          <w:szCs w:val="20"/>
          <w:color w:val="auto"/>
        </w:rPr>
      </w:pPr>
      <w:r>
        <w:rPr>
          <w:rFonts w:ascii="Arial" w:cs="Arial" w:eastAsia="Arial" w:hAnsi="Arial"/>
          <w:sz w:val="20"/>
          <w:szCs w:val="20"/>
          <w:color w:val="auto"/>
        </w:rPr>
        <w:t>The Company believes that EBITDA (calculated as earnings before interest, taxes, depreciation and amortization) and Adjusted EBITDA (calculated as EBITDA adjusted to exclude restructuring charges and CEO transition costs) are useful to investors in evaluating its performance. With the significant capital investment over the past several years associated with the DXL stores and, therefore, increased levels of depreciation and interest, management uses EBITDA and Adjusted EBITDA as key metrics to measure profitability and economic productivity.</w:t>
      </w:r>
    </w:p>
    <w:p>
      <w:pPr>
        <w:spacing w:after="0" w:line="127"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color w:val="auto"/>
        </w:rPr>
        <w:t>The Company has fully reserved against its deferred tax assets and, therefore, its net loss is not reflective of earnings assuming a “normal” tax position. In addition, we have added back charges related to the restructuring charge and costs associated with the CEO transition because it provides comparability of results without these non-cash charges. Adjusted net loss provides investors with a useful indication of the financial performance of the business, on a comparative basis, assuming a normalized effective tax rate of 26%.</w:t>
      </w:r>
    </w:p>
    <w:p>
      <w:pPr>
        <w:spacing w:after="0" w:line="162"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9" w:name="page10"/>
    <w:bookmarkEnd w:id="9"/>
    <w:p>
      <w:pPr>
        <w:ind w:right="340"/>
        <w:spacing w:after="0" w:line="343" w:lineRule="auto"/>
        <w:rPr>
          <w:sz w:val="20"/>
          <w:szCs w:val="20"/>
          <w:color w:val="auto"/>
        </w:rPr>
      </w:pPr>
      <w:r>
        <w:rPr>
          <w:rFonts w:ascii="Arial" w:cs="Arial" w:eastAsia="Arial" w:hAnsi="Arial"/>
          <w:sz w:val="16"/>
          <w:szCs w:val="16"/>
          <w:color w:val="auto"/>
        </w:rPr>
        <w:t>Free cash flow is a metric that management uses to monitor liquidity. Management believes this metric is important to investors because it demonstrates the Company’s ability to strengthen liquidity while supporting its capital projects and new store growth. Free cash flow is calculated as cash flow from operating activities, less capital expenditures and excludes the mandatory and discretionary repayment of debt.</w:t>
      </w:r>
    </w:p>
    <w:p>
      <w:pPr>
        <w:spacing w:after="0" w:line="4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About Destination XL Group, Inc.</w:t>
      </w:r>
    </w:p>
    <w:p>
      <w:pPr>
        <w:spacing w:after="0" w:line="141" w:lineRule="exact"/>
        <w:rPr>
          <w:sz w:val="20"/>
          <w:szCs w:val="20"/>
          <w:color w:val="auto"/>
        </w:rPr>
      </w:pPr>
    </w:p>
    <w:p>
      <w:pPr>
        <w:ind w:right="200"/>
        <w:spacing w:after="0" w:line="259" w:lineRule="auto"/>
        <w:rPr>
          <w:sz w:val="20"/>
          <w:szCs w:val="20"/>
          <w:color w:val="auto"/>
        </w:rPr>
      </w:pPr>
      <w:r>
        <w:rPr>
          <w:rFonts w:ascii="Arial" w:cs="Arial" w:eastAsia="Arial" w:hAnsi="Arial"/>
          <w:sz w:val="19"/>
          <w:szCs w:val="19"/>
          <w:color w:val="auto"/>
        </w:rPr>
        <w:t xml:space="preserve">Destination XL Group, Inc. is the largest omni-channel specialty retailer of big and tall men's apparel with store locations throughout the United States, London, England and Toronto, Canada. The retailer operates under the following brands: Destination XL®, DXL Men’s Apparel®, Casual Male XL, Rochester Clothing, ShoesXL and LivingXL. The Company also operates an e-commerce site at </w:t>
      </w:r>
      <w:r>
        <w:rPr>
          <w:rFonts w:ascii="Arial" w:cs="Arial" w:eastAsia="Arial" w:hAnsi="Arial"/>
          <w:sz w:val="19"/>
          <w:szCs w:val="19"/>
          <w:u w:val="single" w:color="auto"/>
          <w:color w:val="auto"/>
        </w:rPr>
        <w:t>www.destinationxl.com</w:t>
      </w:r>
      <w:r>
        <w:rPr>
          <w:rFonts w:ascii="Arial" w:cs="Arial" w:eastAsia="Arial" w:hAnsi="Arial"/>
          <w:sz w:val="19"/>
          <w:szCs w:val="19"/>
          <w:color w:val="auto"/>
        </w:rPr>
        <w:t xml:space="preserve">. With more than 2,000 private label and name brand styles to choose from, big and tall customers are provided with a unique blend of wardrobe solutions not available at traditional retailers. The Company is headquartered in Canton, Massachusetts. For more information, please visit the Company’s investor relations website: </w:t>
      </w:r>
      <w:r>
        <w:rPr>
          <w:rFonts w:ascii="Arial" w:cs="Arial" w:eastAsia="Arial" w:hAnsi="Arial"/>
          <w:sz w:val="19"/>
          <w:szCs w:val="19"/>
          <w:u w:val="single" w:color="auto"/>
          <w:color w:val="auto"/>
        </w:rPr>
        <w:t>http://investor.destinationxl.com</w:t>
      </w:r>
      <w:r>
        <w:rPr>
          <w:rFonts w:ascii="Arial" w:cs="Arial" w:eastAsia="Arial" w:hAnsi="Arial"/>
          <w:sz w:val="19"/>
          <w:szCs w:val="19"/>
          <w:color w:val="auto"/>
        </w:rPr>
        <w:t>.</w:t>
      </w:r>
    </w:p>
    <w:p>
      <w:pPr>
        <w:spacing w:after="0" w:line="10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Forward-Looking Statements</w:t>
      </w:r>
    </w:p>
    <w:p>
      <w:pPr>
        <w:spacing w:after="0" w:line="235" w:lineRule="exact"/>
        <w:rPr>
          <w:sz w:val="20"/>
          <w:szCs w:val="20"/>
          <w:color w:val="auto"/>
        </w:rPr>
      </w:pPr>
    </w:p>
    <w:p>
      <w:pPr>
        <w:spacing w:after="0" w:line="270" w:lineRule="auto"/>
        <w:rPr>
          <w:sz w:val="20"/>
          <w:szCs w:val="20"/>
          <w:color w:val="auto"/>
        </w:rPr>
      </w:pPr>
      <w:r>
        <w:rPr>
          <w:rFonts w:ascii="Arial" w:cs="Arial" w:eastAsia="Arial" w:hAnsi="Arial"/>
          <w:sz w:val="18"/>
          <w:szCs w:val="18"/>
          <w:i w:val="1"/>
          <w:iCs w:val="1"/>
          <w:color w:val="auto"/>
        </w:rPr>
        <w:t>Certain statements and information contained in this press release constitute forward-looking statements under the federal securities laws, including statements regarding the Company’s expectations with respect to cash flows, gross profit margins, store counts, the corporate restructuring and related costs and savings, capital expenditures, sales, EBITDA, Adjusted EBITDA, earnings for fiscal 2018, the Company’s ability to strengthen liquidity in 2018 and the Company’s long-term goal of achieving EBITDA growth. The discussion of forward-looking information requires management of the Company to make certain estimates and assumptions regarding the Company's strategic direction and the effect of such plans on the Company's financial results. The Company's actual results and the implementation of its plans and operations, including the Restructuring, may differ materially from forward-looking statements made by the Company. The Company encourages readers of forward-looking information concerning the Company to refer to its filings with the Securities and Exchange Commission, including without limitation, its Annual Report on Form 10-K filed on March 23, 2018, that set forth certain risks and uncertainties that may have an impact on future results and direction of the Company, including risks relating to the Company’s execution of its DXL strategy and ability to grow its market share, its ability to predict customer tastes and fashion trends, its ability to forecast sales growth trends and its ability to compete successfully in the United States men’s big and tall apparel market.</w:t>
      </w:r>
    </w:p>
    <w:p>
      <w:pPr>
        <w:spacing w:after="0" w:line="109" w:lineRule="exact"/>
        <w:rPr>
          <w:sz w:val="20"/>
          <w:szCs w:val="20"/>
          <w:color w:val="auto"/>
        </w:rPr>
      </w:pPr>
    </w:p>
    <w:p>
      <w:pPr>
        <w:jc w:val="both"/>
        <w:ind w:right="620"/>
        <w:spacing w:after="0" w:line="250" w:lineRule="auto"/>
        <w:rPr>
          <w:sz w:val="20"/>
          <w:szCs w:val="20"/>
          <w:color w:val="auto"/>
        </w:rPr>
      </w:pPr>
      <w:r>
        <w:rPr>
          <w:rFonts w:ascii="Arial" w:cs="Arial" w:eastAsia="Arial" w:hAnsi="Arial"/>
          <w:sz w:val="20"/>
          <w:szCs w:val="20"/>
          <w:i w:val="1"/>
          <w:iCs w:val="1"/>
          <w:color w:val="auto"/>
        </w:rPr>
        <w:t>Forward-looking statements contained in this press release speak only as of the date of this release. Subsequent events or circumstances occurring after such date may render these statements incomplete or out of date. The Company undertakes no obligation and expressly disclaims any duty to update such statements.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jc w:val="center"/>
        <w:ind w:right="120"/>
        <w:spacing w:after="0"/>
        <w:rPr>
          <w:sz w:val="20"/>
          <w:szCs w:val="20"/>
          <w:color w:val="auto"/>
        </w:rPr>
      </w:pPr>
      <w:r>
        <w:rPr>
          <w:rFonts w:ascii="Arial" w:cs="Arial" w:eastAsia="Arial" w:hAnsi="Arial"/>
          <w:sz w:val="16"/>
          <w:szCs w:val="16"/>
          <w:color w:val="auto"/>
        </w:rPr>
        <w:t>DESTINATION XL GROUP, INC.</w:t>
      </w:r>
    </w:p>
    <w:p>
      <w:pPr>
        <w:spacing w:after="0" w:line="32"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CONSOLIDATED STATEMENTS OF OPERATIONS</w:t>
      </w:r>
    </w:p>
    <w:p>
      <w:pPr>
        <w:spacing w:after="0" w:line="32"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(In thousands, except per share data)</w:t>
      </w:r>
    </w:p>
    <w:p>
      <w:pPr>
        <w:spacing w:after="0" w:line="32"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(unaudited)</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400" w:type="dxa"/>
            <w:vAlign w:val="bottom"/>
            <w:gridSpan w:val="3"/>
          </w:tcPr>
          <w:p>
            <w:pPr>
              <w:jc w:val="right"/>
              <w:ind w:right="745"/>
              <w:spacing w:after="0"/>
              <w:rPr>
                <w:sz w:val="20"/>
                <w:szCs w:val="20"/>
                <w:color w:val="auto"/>
              </w:rPr>
            </w:pPr>
            <w:r>
              <w:rPr>
                <w:rFonts w:ascii="Arial" w:cs="Arial" w:eastAsia="Arial" w:hAnsi="Arial"/>
                <w:sz w:val="14"/>
                <w:szCs w:val="14"/>
                <w:color w:val="auto"/>
                <w:w w:val="90"/>
              </w:rPr>
              <w:t>For the three months ended</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7"/>
        </w:trPr>
        <w:tc>
          <w:tcPr>
            <w:tcW w:w="5060" w:type="dxa"/>
            <w:vAlign w:val="bottom"/>
            <w:tcBorders>
              <w:bottom w:val="single" w:sz="8" w:color="CFF0FC"/>
            </w:tcBorders>
          </w:tcPr>
          <w:p>
            <w:pPr>
              <w:spacing w:after="0"/>
              <w:rPr>
                <w:sz w:val="14"/>
                <w:szCs w:val="14"/>
                <w:color w:val="auto"/>
              </w:rPr>
            </w:pPr>
          </w:p>
        </w:tc>
        <w:tc>
          <w:tcPr>
            <w:tcW w:w="1900" w:type="dxa"/>
            <w:vAlign w:val="bottom"/>
            <w:tcBorders>
              <w:bottom w:val="single" w:sz="8" w:color="CFF0FC"/>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May 5, 2018</w:t>
            </w:r>
          </w:p>
        </w:tc>
        <w:tc>
          <w:tcPr>
            <w:tcW w:w="640" w:type="dxa"/>
            <w:vAlign w:val="bottom"/>
            <w:tcBorders>
              <w:bottom w:val="single" w:sz="8" w:color="auto"/>
            </w:tcBorders>
          </w:tcPr>
          <w:p>
            <w:pPr>
              <w:spacing w:after="0"/>
              <w:rPr>
                <w:sz w:val="14"/>
                <w:szCs w:val="14"/>
                <w:color w:val="auto"/>
              </w:rPr>
            </w:pPr>
          </w:p>
        </w:tc>
        <w:tc>
          <w:tcPr>
            <w:tcW w:w="360" w:type="dxa"/>
            <w:vAlign w:val="bottom"/>
            <w:tcBorders>
              <w:bottom w:val="single" w:sz="8" w:color="CFF0FC"/>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April 29, 2017</w:t>
            </w: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r>
      <w:tr>
        <w:trPr>
          <w:trHeight w:val="210"/>
        </w:trPr>
        <w:tc>
          <w:tcPr>
            <w:tcW w:w="5060" w:type="dxa"/>
            <w:vAlign w:val="bottom"/>
            <w:shd w:val="clear" w:color="auto" w:fill="CFF0FC"/>
          </w:tcPr>
          <w:p>
            <w:pPr>
              <w:spacing w:after="0"/>
              <w:rPr>
                <w:sz w:val="20"/>
                <w:szCs w:val="20"/>
                <w:color w:val="auto"/>
              </w:rPr>
            </w:pPr>
            <w:r>
              <w:rPr>
                <w:rFonts w:ascii="Arial" w:cs="Arial" w:eastAsia="Arial" w:hAnsi="Arial"/>
                <w:sz w:val="16"/>
                <w:szCs w:val="16"/>
                <w:color w:val="auto"/>
              </w:rPr>
              <w:t>Sales</w:t>
            </w:r>
          </w:p>
        </w:tc>
        <w:tc>
          <w:tcPr>
            <w:tcW w:w="3280" w:type="dxa"/>
            <w:vAlign w:val="bottom"/>
            <w:gridSpan w:val="2"/>
            <w:shd w:val="clear" w:color="auto" w:fill="CFF0FC"/>
          </w:tcPr>
          <w:p>
            <w:pPr>
              <w:jc w:val="right"/>
              <w:ind w:right="1228"/>
              <w:spacing w:after="0"/>
              <w:rPr>
                <w:sz w:val="20"/>
                <w:szCs w:val="20"/>
                <w:color w:val="auto"/>
              </w:rPr>
            </w:pPr>
            <w:r>
              <w:rPr>
                <w:rFonts w:ascii="Arial" w:cs="Arial" w:eastAsia="Arial" w:hAnsi="Arial"/>
                <w:sz w:val="16"/>
                <w:szCs w:val="16"/>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113,331</w:t>
            </w:r>
          </w:p>
        </w:tc>
        <w:tc>
          <w:tcPr>
            <w:tcW w:w="36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1245"/>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107,629</w:t>
            </w:r>
          </w:p>
        </w:tc>
        <w:tc>
          <w:tcPr>
            <w:tcW w:w="120" w:type="dxa"/>
            <w:vAlign w:val="bottom"/>
            <w:shd w:val="clear" w:color="auto" w:fill="CFF0FC"/>
          </w:tcPr>
          <w:p>
            <w:pPr>
              <w:spacing w:after="0"/>
              <w:rPr>
                <w:sz w:val="18"/>
                <w:szCs w:val="18"/>
                <w:color w:val="auto"/>
              </w:rPr>
            </w:pPr>
          </w:p>
        </w:tc>
      </w:tr>
      <w:tr>
        <w:trPr>
          <w:trHeight w:val="213"/>
        </w:trPr>
        <w:tc>
          <w:tcPr>
            <w:tcW w:w="50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Cost of goods sold including occupancy</w:t>
            </w:r>
          </w:p>
        </w:tc>
        <w:tc>
          <w:tcPr>
            <w:tcW w:w="1900" w:type="dxa"/>
            <w:vAlign w:val="bottom"/>
            <w:tcBorders>
              <w:bottom w:val="single" w:sz="8" w:color="CFF0FC"/>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62,643</w:t>
            </w:r>
          </w:p>
        </w:tc>
        <w:tc>
          <w:tcPr>
            <w:tcW w:w="360" w:type="dxa"/>
            <w:vAlign w:val="bottom"/>
            <w:tcBorders>
              <w:bottom w:val="single" w:sz="8" w:color="CFF0FC"/>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58,941</w:t>
            </w:r>
          </w:p>
        </w:tc>
        <w:tc>
          <w:tcPr>
            <w:tcW w:w="120" w:type="dxa"/>
            <w:vAlign w:val="bottom"/>
            <w:tcBorders>
              <w:bottom w:val="single" w:sz="8" w:color="CFF0FC"/>
            </w:tcBorders>
          </w:tcPr>
          <w:p>
            <w:pPr>
              <w:spacing w:after="0"/>
              <w:rPr>
                <w:sz w:val="18"/>
                <w:szCs w:val="18"/>
                <w:color w:val="auto"/>
              </w:rPr>
            </w:pPr>
          </w:p>
        </w:tc>
      </w:tr>
      <w:tr>
        <w:trPr>
          <w:trHeight w:val="213"/>
        </w:trPr>
        <w:tc>
          <w:tcPr>
            <w:tcW w:w="5060" w:type="dxa"/>
            <w:vAlign w:val="bottom"/>
            <w:shd w:val="clear" w:color="auto" w:fill="CFF0FC"/>
          </w:tcPr>
          <w:p>
            <w:pPr>
              <w:spacing w:after="0"/>
              <w:rPr>
                <w:sz w:val="20"/>
                <w:szCs w:val="20"/>
                <w:color w:val="auto"/>
              </w:rPr>
            </w:pPr>
            <w:r>
              <w:rPr>
                <w:rFonts w:ascii="Arial" w:cs="Arial" w:eastAsia="Arial" w:hAnsi="Arial"/>
                <w:sz w:val="16"/>
                <w:szCs w:val="16"/>
                <w:color w:val="auto"/>
              </w:rPr>
              <w:t>Gross profit</w:t>
            </w:r>
          </w:p>
        </w:tc>
        <w:tc>
          <w:tcPr>
            <w:tcW w:w="19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50,688</w:t>
            </w:r>
          </w:p>
        </w:tc>
        <w:tc>
          <w:tcPr>
            <w:tcW w:w="3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48,688</w:t>
            </w:r>
          </w:p>
        </w:tc>
        <w:tc>
          <w:tcPr>
            <w:tcW w:w="120" w:type="dxa"/>
            <w:vAlign w:val="bottom"/>
            <w:shd w:val="clear" w:color="auto" w:fill="CFF0FC"/>
          </w:tcPr>
          <w:p>
            <w:pPr>
              <w:spacing w:after="0"/>
              <w:rPr>
                <w:sz w:val="18"/>
                <w:szCs w:val="18"/>
                <w:color w:val="auto"/>
              </w:rPr>
            </w:pPr>
          </w:p>
        </w:tc>
      </w:tr>
      <w:tr>
        <w:trPr>
          <w:trHeight w:val="216"/>
        </w:trPr>
        <w:tc>
          <w:tcPr>
            <w:tcW w:w="50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060" w:type="dxa"/>
            <w:vAlign w:val="bottom"/>
            <w:shd w:val="clear" w:color="auto" w:fill="CFF0FC"/>
          </w:tcPr>
          <w:p>
            <w:pPr>
              <w:spacing w:after="0"/>
              <w:rPr>
                <w:sz w:val="20"/>
                <w:szCs w:val="20"/>
                <w:color w:val="auto"/>
              </w:rPr>
            </w:pPr>
            <w:r>
              <w:rPr>
                <w:rFonts w:ascii="Arial" w:cs="Arial" w:eastAsia="Arial" w:hAnsi="Arial"/>
                <w:sz w:val="16"/>
                <w:szCs w:val="16"/>
                <w:color w:val="auto"/>
              </w:rPr>
              <w:t>Expenses:</w:t>
            </w:r>
          </w:p>
        </w:tc>
        <w:tc>
          <w:tcPr>
            <w:tcW w:w="19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3"/>
        </w:trPr>
        <w:tc>
          <w:tcPr>
            <w:tcW w:w="5060" w:type="dxa"/>
            <w:vAlign w:val="bottom"/>
          </w:tcPr>
          <w:p>
            <w:pPr>
              <w:ind w:left="260"/>
              <w:spacing w:after="0"/>
              <w:rPr>
                <w:sz w:val="20"/>
                <w:szCs w:val="20"/>
                <w:color w:val="auto"/>
              </w:rPr>
            </w:pPr>
            <w:r>
              <w:rPr>
                <w:rFonts w:ascii="Arial" w:cs="Arial" w:eastAsia="Arial" w:hAnsi="Arial"/>
                <w:sz w:val="16"/>
                <w:szCs w:val="16"/>
                <w:color w:val="auto"/>
              </w:rPr>
              <w:t>Selling, general and administrative</w:t>
            </w:r>
          </w:p>
        </w:tc>
        <w:tc>
          <w:tcPr>
            <w:tcW w:w="19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45,590</w:t>
            </w:r>
          </w:p>
        </w:tc>
        <w:tc>
          <w:tcPr>
            <w:tcW w:w="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46,168</w:t>
            </w:r>
          </w:p>
        </w:tc>
        <w:tc>
          <w:tcPr>
            <w:tcW w:w="120" w:type="dxa"/>
            <w:vAlign w:val="bottom"/>
          </w:tcPr>
          <w:p>
            <w:pPr>
              <w:spacing w:after="0"/>
              <w:rPr>
                <w:sz w:val="18"/>
                <w:szCs w:val="18"/>
                <w:color w:val="auto"/>
              </w:rPr>
            </w:pPr>
          </w:p>
        </w:tc>
      </w:tr>
      <w:tr>
        <w:trPr>
          <w:trHeight w:val="219"/>
        </w:trPr>
        <w:tc>
          <w:tcPr>
            <w:tcW w:w="50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Depreciation and amortization</w:t>
            </w:r>
          </w:p>
        </w:tc>
        <w:tc>
          <w:tcPr>
            <w:tcW w:w="1900" w:type="dxa"/>
            <w:vAlign w:val="bottom"/>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7,324</w:t>
            </w:r>
          </w:p>
        </w:tc>
        <w:tc>
          <w:tcPr>
            <w:tcW w:w="360" w:type="dxa"/>
            <w:vAlign w:val="bottom"/>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7,754</w:t>
            </w:r>
          </w:p>
        </w:tc>
        <w:tc>
          <w:tcPr>
            <w:tcW w:w="120" w:type="dxa"/>
            <w:vAlign w:val="bottom"/>
            <w:shd w:val="clear" w:color="auto" w:fill="CFF0FC"/>
          </w:tcPr>
          <w:p>
            <w:pPr>
              <w:spacing w:after="0"/>
              <w:rPr>
                <w:sz w:val="19"/>
                <w:szCs w:val="19"/>
                <w:color w:val="auto"/>
              </w:rPr>
            </w:pPr>
          </w:p>
        </w:tc>
      </w:tr>
      <w:tr>
        <w:trPr>
          <w:trHeight w:val="207"/>
        </w:trPr>
        <w:tc>
          <w:tcPr>
            <w:tcW w:w="50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Total expenses</w:t>
            </w:r>
          </w:p>
        </w:tc>
        <w:tc>
          <w:tcPr>
            <w:tcW w:w="1900" w:type="dxa"/>
            <w:vAlign w:val="bottom"/>
            <w:tcBorders>
              <w:bottom w:val="single" w:sz="8" w:color="CFF0FC"/>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52,914</w:t>
            </w:r>
          </w:p>
        </w:tc>
        <w:tc>
          <w:tcPr>
            <w:tcW w:w="360" w:type="dxa"/>
            <w:vAlign w:val="bottom"/>
            <w:tcBorders>
              <w:bottom w:val="single" w:sz="8" w:color="CFF0FC"/>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53,922</w:t>
            </w:r>
          </w:p>
        </w:tc>
        <w:tc>
          <w:tcPr>
            <w:tcW w:w="120" w:type="dxa"/>
            <w:vAlign w:val="bottom"/>
            <w:tcBorders>
              <w:bottom w:val="single" w:sz="8" w:color="CFF0FC"/>
            </w:tcBorders>
          </w:tcPr>
          <w:p>
            <w:pPr>
              <w:spacing w:after="0"/>
              <w:rPr>
                <w:sz w:val="17"/>
                <w:szCs w:val="17"/>
                <w:color w:val="auto"/>
              </w:rPr>
            </w:pPr>
          </w:p>
        </w:tc>
      </w:tr>
      <w:tr>
        <w:trPr>
          <w:trHeight w:val="213"/>
        </w:trPr>
        <w:tc>
          <w:tcPr>
            <w:tcW w:w="5060" w:type="dxa"/>
            <w:vAlign w:val="bottom"/>
            <w:shd w:val="clear" w:color="auto" w:fill="CFF0FC"/>
          </w:tcPr>
          <w:p>
            <w:pPr>
              <w:spacing w:after="0"/>
              <w:rPr>
                <w:sz w:val="18"/>
                <w:szCs w:val="18"/>
                <w:color w:val="auto"/>
              </w:rPr>
            </w:pPr>
          </w:p>
        </w:tc>
        <w:tc>
          <w:tcPr>
            <w:tcW w:w="19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3"/>
        </w:trPr>
        <w:tc>
          <w:tcPr>
            <w:tcW w:w="5060" w:type="dxa"/>
            <w:vAlign w:val="bottom"/>
          </w:tcPr>
          <w:p>
            <w:pPr>
              <w:spacing w:after="0"/>
              <w:rPr>
                <w:sz w:val="20"/>
                <w:szCs w:val="20"/>
                <w:color w:val="auto"/>
              </w:rPr>
            </w:pPr>
            <w:r>
              <w:rPr>
                <w:rFonts w:ascii="Arial" w:cs="Arial" w:eastAsia="Arial" w:hAnsi="Arial"/>
                <w:sz w:val="16"/>
                <w:szCs w:val="16"/>
                <w:color w:val="auto"/>
              </w:rPr>
              <w:t>Operating loss</w:t>
            </w:r>
          </w:p>
        </w:tc>
        <w:tc>
          <w:tcPr>
            <w:tcW w:w="19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6"/>
                <w:szCs w:val="16"/>
                <w:color w:val="auto"/>
              </w:rPr>
              <w:t>(2,226)</w:t>
            </w:r>
          </w:p>
        </w:tc>
        <w:tc>
          <w:tcPr>
            <w:tcW w:w="14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(5,234)</w:t>
            </w:r>
          </w:p>
        </w:tc>
      </w:tr>
      <w:tr>
        <w:trPr>
          <w:trHeight w:val="219"/>
        </w:trPr>
        <w:tc>
          <w:tcPr>
            <w:tcW w:w="5060" w:type="dxa"/>
            <w:vAlign w:val="bottom"/>
            <w:shd w:val="clear" w:color="auto" w:fill="CFF0FC"/>
          </w:tcPr>
          <w:p>
            <w:pPr>
              <w:spacing w:after="0"/>
              <w:rPr>
                <w:sz w:val="19"/>
                <w:szCs w:val="19"/>
                <w:color w:val="auto"/>
              </w:rPr>
            </w:pPr>
          </w:p>
        </w:tc>
        <w:tc>
          <w:tcPr>
            <w:tcW w:w="19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3"/>
        </w:trPr>
        <w:tc>
          <w:tcPr>
            <w:tcW w:w="5060" w:type="dxa"/>
            <w:vAlign w:val="bottom"/>
          </w:tcPr>
          <w:p>
            <w:pPr>
              <w:spacing w:after="0"/>
              <w:rPr>
                <w:sz w:val="20"/>
                <w:szCs w:val="20"/>
                <w:color w:val="auto"/>
              </w:rPr>
            </w:pPr>
            <w:r>
              <w:rPr>
                <w:rFonts w:ascii="Arial" w:cs="Arial" w:eastAsia="Arial" w:hAnsi="Arial"/>
                <w:sz w:val="16"/>
                <w:szCs w:val="16"/>
                <w:color w:val="auto"/>
              </w:rPr>
              <w:t>Interest expense, net</w:t>
            </w:r>
          </w:p>
        </w:tc>
        <w:tc>
          <w:tcPr>
            <w:tcW w:w="19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6"/>
                <w:szCs w:val="16"/>
                <w:color w:val="auto"/>
              </w:rPr>
              <w:t>(886)</w:t>
            </w:r>
          </w:p>
        </w:tc>
        <w:tc>
          <w:tcPr>
            <w:tcW w:w="14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(802)</w:t>
            </w:r>
          </w:p>
        </w:tc>
      </w:tr>
      <w:tr>
        <w:trPr>
          <w:trHeight w:val="213"/>
        </w:trPr>
        <w:tc>
          <w:tcPr>
            <w:tcW w:w="5060" w:type="dxa"/>
            <w:vAlign w:val="bottom"/>
            <w:tcBorders>
              <w:top w:val="single" w:sz="8" w:color="CFF0FC"/>
            </w:tcBorders>
            <w:shd w:val="clear" w:color="auto" w:fill="CFF0FC"/>
          </w:tcPr>
          <w:p>
            <w:pPr>
              <w:spacing w:after="0"/>
              <w:rPr>
                <w:sz w:val="18"/>
                <w:szCs w:val="18"/>
                <w:color w:val="auto"/>
              </w:rPr>
            </w:pPr>
          </w:p>
        </w:tc>
        <w:tc>
          <w:tcPr>
            <w:tcW w:w="1900" w:type="dxa"/>
            <w:vAlign w:val="bottom"/>
            <w:tcBorders>
              <w:top w:val="single" w:sz="8" w:color="CFF0FC"/>
            </w:tcBorders>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360" w:type="dxa"/>
            <w:vAlign w:val="bottom"/>
            <w:tcBorders>
              <w:top w:val="single" w:sz="8" w:color="CFF0FC"/>
            </w:tcBorders>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13"/>
        </w:trPr>
        <w:tc>
          <w:tcPr>
            <w:tcW w:w="5060" w:type="dxa"/>
            <w:vAlign w:val="bottom"/>
          </w:tcPr>
          <w:p>
            <w:pPr>
              <w:spacing w:after="0"/>
              <w:rPr>
                <w:sz w:val="20"/>
                <w:szCs w:val="20"/>
                <w:color w:val="auto"/>
              </w:rPr>
            </w:pPr>
            <w:r>
              <w:rPr>
                <w:rFonts w:ascii="Arial" w:cs="Arial" w:eastAsia="Arial" w:hAnsi="Arial"/>
                <w:sz w:val="16"/>
                <w:szCs w:val="16"/>
                <w:color w:val="auto"/>
              </w:rPr>
              <w:t>Loss before provision (benefit) for income taxes</w:t>
            </w:r>
          </w:p>
        </w:tc>
        <w:tc>
          <w:tcPr>
            <w:tcW w:w="19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6"/>
                <w:szCs w:val="16"/>
                <w:color w:val="auto"/>
              </w:rPr>
              <w:t>(3,112)</w:t>
            </w:r>
          </w:p>
        </w:tc>
        <w:tc>
          <w:tcPr>
            <w:tcW w:w="14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(6,036)</w:t>
            </w:r>
          </w:p>
        </w:tc>
      </w:tr>
      <w:tr>
        <w:trPr>
          <w:trHeight w:val="216"/>
        </w:trPr>
        <w:tc>
          <w:tcPr>
            <w:tcW w:w="5060" w:type="dxa"/>
            <w:vAlign w:val="bottom"/>
            <w:shd w:val="clear" w:color="auto" w:fill="CFF0FC"/>
          </w:tcPr>
          <w:p>
            <w:pPr>
              <w:spacing w:after="0"/>
              <w:rPr>
                <w:sz w:val="20"/>
                <w:szCs w:val="20"/>
                <w:color w:val="auto"/>
              </w:rPr>
            </w:pPr>
            <w:r>
              <w:rPr>
                <w:rFonts w:ascii="Arial" w:cs="Arial" w:eastAsia="Arial" w:hAnsi="Arial"/>
                <w:sz w:val="16"/>
                <w:szCs w:val="16"/>
                <w:color w:val="auto"/>
              </w:rPr>
              <w:t>Provision (benefit) for income taxes</w:t>
            </w:r>
          </w:p>
        </w:tc>
        <w:tc>
          <w:tcPr>
            <w:tcW w:w="19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(2)</w:t>
            </w:r>
          </w:p>
        </w:tc>
        <w:tc>
          <w:tcPr>
            <w:tcW w:w="14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w:t>
            </w:r>
          </w:p>
        </w:tc>
        <w:tc>
          <w:tcPr>
            <w:tcW w:w="120" w:type="dxa"/>
            <w:vAlign w:val="bottom"/>
            <w:shd w:val="clear" w:color="auto" w:fill="CFF0FC"/>
          </w:tcPr>
          <w:p>
            <w:pPr>
              <w:spacing w:after="0"/>
              <w:rPr>
                <w:sz w:val="18"/>
                <w:szCs w:val="18"/>
                <w:color w:val="auto"/>
              </w:rPr>
            </w:pPr>
          </w:p>
        </w:tc>
      </w:tr>
      <w:tr>
        <w:trPr>
          <w:trHeight w:val="213"/>
        </w:trPr>
        <w:tc>
          <w:tcPr>
            <w:tcW w:w="50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3"/>
        </w:trPr>
        <w:tc>
          <w:tcPr>
            <w:tcW w:w="5060" w:type="dxa"/>
            <w:vAlign w:val="bottom"/>
            <w:shd w:val="clear" w:color="auto" w:fill="CFF0FC"/>
          </w:tcPr>
          <w:p>
            <w:pPr>
              <w:spacing w:after="0"/>
              <w:rPr>
                <w:sz w:val="20"/>
                <w:szCs w:val="20"/>
                <w:color w:val="auto"/>
              </w:rPr>
            </w:pPr>
            <w:r>
              <w:rPr>
                <w:rFonts w:ascii="Arial" w:cs="Arial" w:eastAsia="Arial" w:hAnsi="Arial"/>
                <w:sz w:val="16"/>
                <w:szCs w:val="16"/>
                <w:color w:val="auto"/>
              </w:rPr>
              <w:t>Net loss</w:t>
            </w:r>
          </w:p>
        </w:tc>
        <w:tc>
          <w:tcPr>
            <w:tcW w:w="3280" w:type="dxa"/>
            <w:vAlign w:val="bottom"/>
            <w:gridSpan w:val="2"/>
            <w:shd w:val="clear" w:color="auto" w:fill="CFF0FC"/>
          </w:tcPr>
          <w:p>
            <w:pPr>
              <w:jc w:val="right"/>
              <w:ind w:right="1228"/>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(3,110)</w:t>
            </w:r>
          </w:p>
        </w:tc>
        <w:tc>
          <w:tcPr>
            <w:tcW w:w="1400" w:type="dxa"/>
            <w:vAlign w:val="bottom"/>
            <w:shd w:val="clear" w:color="auto" w:fill="CFF0FC"/>
          </w:tcPr>
          <w:p>
            <w:pPr>
              <w:jc w:val="right"/>
              <w:ind w:right="1245"/>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(6,065)</w:t>
            </w:r>
          </w:p>
        </w:tc>
      </w:tr>
      <w:tr>
        <w:trPr>
          <w:trHeight w:val="20"/>
        </w:trPr>
        <w:tc>
          <w:tcPr>
            <w:tcW w:w="5060" w:type="dxa"/>
            <w:vAlign w:val="bottom"/>
            <w:tcBorders>
              <w:top w:val="single" w:sz="8" w:color="CFF0FC"/>
            </w:tcBorders>
          </w:tcPr>
          <w:p>
            <w:pPr>
              <w:spacing w:after="0" w:line="20" w:lineRule="exact"/>
              <w:rPr>
                <w:sz w:val="1"/>
                <w:szCs w:val="1"/>
                <w:color w:val="auto"/>
              </w:rPr>
            </w:pPr>
          </w:p>
        </w:tc>
        <w:tc>
          <w:tcPr>
            <w:tcW w:w="1900" w:type="dxa"/>
            <w:vAlign w:val="bottom"/>
            <w:tcBorders>
              <w:top w:val="single" w:sz="8" w:color="CFF0FC"/>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Net loss per share - basic and diluted</w:t>
            </w:r>
          </w:p>
        </w:tc>
        <w:tc>
          <w:tcPr>
            <w:tcW w:w="2200" w:type="dxa"/>
            <w:vAlign w:val="bottom"/>
            <w:shd w:val="clear" w:color="auto" w:fill="CFF0FC"/>
          </w:tcPr>
          <w:p>
            <w:pPr>
              <w:jc w:val="right"/>
              <w:ind w:right="659"/>
              <w:spacing w:after="0"/>
              <w:rPr>
                <w:sz w:val="20"/>
                <w:szCs w:val="20"/>
                <w:color w:val="auto"/>
              </w:rPr>
            </w:pPr>
            <w:r>
              <w:rPr>
                <w:rFonts w:ascii="Arial" w:cs="Arial" w:eastAsia="Arial" w:hAnsi="Arial"/>
                <w:sz w:val="16"/>
                <w:szCs w:val="16"/>
                <w:color w:val="auto"/>
              </w:rPr>
              <w:t>$</w:t>
            </w:r>
          </w:p>
        </w:tc>
        <w:tc>
          <w:tcPr>
            <w:tcW w:w="14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(0.06)</w:t>
            </w:r>
          </w:p>
        </w:tc>
        <w:tc>
          <w:tcPr>
            <w:tcW w:w="940" w:type="dxa"/>
            <w:vAlign w:val="bottom"/>
            <w:shd w:val="clear" w:color="auto" w:fill="CFF0FC"/>
          </w:tcPr>
          <w:p>
            <w:pPr>
              <w:jc w:val="right"/>
              <w:ind w:right="63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(0.12)</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56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number of common shares outstanding:</w:t>
            </w:r>
          </w:p>
        </w:tc>
        <w:tc>
          <w:tcPr>
            <w:tcW w:w="220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60" w:type="dxa"/>
            <w:vAlign w:val="bottom"/>
          </w:tcPr>
          <w:p>
            <w:pPr>
              <w:ind w:left="240"/>
              <w:spacing w:after="0"/>
              <w:rPr>
                <w:sz w:val="20"/>
                <w:szCs w:val="20"/>
                <w:color w:val="auto"/>
              </w:rPr>
            </w:pPr>
            <w:r>
              <w:rPr>
                <w:rFonts w:ascii="Arial" w:cs="Arial" w:eastAsia="Arial" w:hAnsi="Arial"/>
                <w:sz w:val="18"/>
                <w:szCs w:val="18"/>
                <w:color w:val="auto"/>
              </w:rPr>
              <w:t>Basic</w:t>
            </w:r>
          </w:p>
        </w:tc>
        <w:tc>
          <w:tcPr>
            <w:tcW w:w="2200" w:type="dxa"/>
            <w:vAlign w:val="bottom"/>
          </w:tcPr>
          <w:p>
            <w:pPr>
              <w:spacing w:after="0"/>
              <w:rPr>
                <w:sz w:val="19"/>
                <w:szCs w:val="19"/>
                <w:color w:val="auto"/>
              </w:rPr>
            </w:pPr>
          </w:p>
        </w:tc>
        <w:tc>
          <w:tcPr>
            <w:tcW w:w="1420" w:type="dxa"/>
            <w:vAlign w:val="bottom"/>
          </w:tcPr>
          <w:p>
            <w:pPr>
              <w:jc w:val="right"/>
              <w:ind w:right="139"/>
              <w:spacing w:after="0"/>
              <w:rPr>
                <w:sz w:val="20"/>
                <w:szCs w:val="20"/>
                <w:color w:val="auto"/>
              </w:rPr>
            </w:pPr>
            <w:r>
              <w:rPr>
                <w:rFonts w:ascii="Arial" w:cs="Arial" w:eastAsia="Arial" w:hAnsi="Arial"/>
                <w:sz w:val="16"/>
                <w:szCs w:val="16"/>
                <w:color w:val="auto"/>
              </w:rPr>
              <w:t>48,791</w:t>
            </w:r>
          </w:p>
        </w:tc>
        <w:tc>
          <w:tcPr>
            <w:tcW w:w="940" w:type="dxa"/>
            <w:vAlign w:val="bottom"/>
          </w:tcPr>
          <w:p>
            <w:pPr>
              <w:spacing w:after="0"/>
              <w:rPr>
                <w:sz w:val="19"/>
                <w:szCs w:val="19"/>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49,735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Diluted</w:t>
            </w:r>
          </w:p>
        </w:tc>
        <w:tc>
          <w:tcPr>
            <w:tcW w:w="220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48,791</w:t>
            </w:r>
          </w:p>
        </w:tc>
        <w:tc>
          <w:tcPr>
            <w:tcW w:w="94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49,735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73" w:right="239" w:bottom="1440" w:gutter="0" w:footer="0" w:header="0"/>
        </w:sectPr>
      </w:pPr>
    </w:p>
    <w:bookmarkStart w:id="11" w:name="page12"/>
    <w:bookmarkEnd w:id="11"/>
    <w:p>
      <w:pPr>
        <w:jc w:val="center"/>
        <w:ind w:right="120"/>
        <w:spacing w:after="0"/>
        <w:rPr>
          <w:sz w:val="20"/>
          <w:szCs w:val="20"/>
          <w:color w:val="auto"/>
        </w:rPr>
      </w:pPr>
      <w:r>
        <w:rPr>
          <w:rFonts w:ascii="Arial" w:cs="Arial" w:eastAsia="Arial" w:hAnsi="Arial"/>
          <w:sz w:val="18"/>
          <w:szCs w:val="18"/>
          <w:color w:val="auto"/>
        </w:rPr>
        <w:t>DESTINATION XL GROUP, INC.</w:t>
      </w:r>
    </w:p>
    <w:p>
      <w:pPr>
        <w:spacing w:after="0" w:line="252"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CONDENSED CONSOLIDATED BALANCE SHEETS</w:t>
      </w:r>
    </w:p>
    <w:p>
      <w:pPr>
        <w:spacing w:after="0" w:line="23"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May 5, 2018, February 3, 2018 and April 29, 2017</w:t>
      </w:r>
    </w:p>
    <w:p>
      <w:pPr>
        <w:spacing w:after="0" w:line="23"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(In thousands)</w:t>
      </w:r>
    </w:p>
    <w:p>
      <w:pPr>
        <w:spacing w:after="0" w:line="23"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May 5,</w:t>
            </w: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tcPr>
          <w:p>
            <w:pPr>
              <w:jc w:val="right"/>
              <w:ind w:right="412"/>
              <w:spacing w:after="0"/>
              <w:rPr>
                <w:sz w:val="20"/>
                <w:szCs w:val="20"/>
                <w:color w:val="auto"/>
              </w:rPr>
            </w:pPr>
            <w:r>
              <w:rPr>
                <w:rFonts w:ascii="Arial" w:cs="Arial" w:eastAsia="Arial" w:hAnsi="Arial"/>
                <w:sz w:val="14"/>
                <w:szCs w:val="14"/>
                <w:color w:val="auto"/>
              </w:rPr>
              <w:t>February 3,</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60" w:type="dxa"/>
            <w:vAlign w:val="bottom"/>
            <w:gridSpan w:val="2"/>
          </w:tcPr>
          <w:p>
            <w:pPr>
              <w:ind w:left="240"/>
              <w:spacing w:after="0"/>
              <w:rPr>
                <w:sz w:val="20"/>
                <w:szCs w:val="20"/>
                <w:color w:val="auto"/>
              </w:rPr>
            </w:pPr>
            <w:r>
              <w:rPr>
                <w:rFonts w:ascii="Arial" w:cs="Arial" w:eastAsia="Arial" w:hAnsi="Arial"/>
                <w:sz w:val="14"/>
                <w:szCs w:val="14"/>
                <w:color w:val="auto"/>
              </w:rPr>
              <w:t>April 29,</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2200" w:type="dxa"/>
            <w:vAlign w:val="bottom"/>
            <w:gridSpan w:val="2"/>
          </w:tcPr>
          <w:p>
            <w:pPr>
              <w:jc w:val="right"/>
              <w:ind w:right="6"/>
              <w:spacing w:after="0"/>
              <w:rPr>
                <w:sz w:val="20"/>
                <w:szCs w:val="20"/>
                <w:color w:val="auto"/>
              </w:rPr>
            </w:pPr>
            <w:r>
              <w:rPr>
                <w:rFonts w:ascii="Arial" w:cs="Arial" w:eastAsia="Arial" w:hAnsi="Arial"/>
                <w:sz w:val="14"/>
                <w:szCs w:val="14"/>
                <w:color w:val="auto"/>
              </w:rPr>
              <w:t>2018</w:t>
            </w: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tcPr>
          <w:p>
            <w:pPr>
              <w:jc w:val="right"/>
              <w:ind w:right="612"/>
              <w:spacing w:after="0"/>
              <w:rPr>
                <w:sz w:val="20"/>
                <w:szCs w:val="20"/>
                <w:color w:val="auto"/>
              </w:rPr>
            </w:pPr>
            <w:r>
              <w:rPr>
                <w:rFonts w:ascii="Arial" w:cs="Arial" w:eastAsia="Arial" w:hAnsi="Arial"/>
                <w:sz w:val="14"/>
                <w:szCs w:val="14"/>
                <w:color w:val="auto"/>
              </w:rPr>
              <w:t>2018</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Pr>
          <w:p>
            <w:pPr>
              <w:jc w:val="right"/>
              <w:ind w:right="612"/>
              <w:spacing w:after="0"/>
              <w:rPr>
                <w:sz w:val="20"/>
                <w:szCs w:val="20"/>
                <w:color w:val="auto"/>
              </w:rPr>
            </w:pPr>
            <w:r>
              <w:rPr>
                <w:rFonts w:ascii="Arial" w:cs="Arial" w:eastAsia="Arial" w:hAnsi="Arial"/>
                <w:sz w:val="14"/>
                <w:szCs w:val="14"/>
                <w:color w:val="auto"/>
              </w:rPr>
              <w:t>2017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ASSETS</w:t>
            </w:r>
          </w:p>
        </w:tc>
        <w:tc>
          <w:tcPr>
            <w:tcW w:w="114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7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2200" w:type="dxa"/>
            <w:vAlign w:val="bottom"/>
            <w:gridSpan w:val="2"/>
            <w:shd w:val="clear" w:color="auto" w:fill="CFF0FC"/>
          </w:tcPr>
          <w:p>
            <w:pPr>
              <w:jc w:val="right"/>
              <w:ind w:right="906"/>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6,994</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5,362</w:t>
            </w:r>
          </w:p>
        </w:tc>
        <w:tc>
          <w:tcPr>
            <w:tcW w:w="440" w:type="dxa"/>
            <w:vAlign w:val="bottom"/>
            <w:gridSpan w:val="2"/>
            <w:shd w:val="clear" w:color="auto" w:fill="CFF0FC"/>
          </w:tcPr>
          <w:p>
            <w:pPr>
              <w:jc w:val="right"/>
              <w:ind w:right="165"/>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Inventories</w:t>
            </w:r>
          </w:p>
        </w:tc>
        <w:tc>
          <w:tcPr>
            <w:tcW w:w="1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106,219</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103,332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121,424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Other current assets</w:t>
            </w:r>
          </w:p>
        </w:tc>
        <w:tc>
          <w:tcPr>
            <w:tcW w:w="1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14,899</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12,973</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16,624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106,478</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111,032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124,652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assets</w:t>
            </w:r>
          </w:p>
        </w:tc>
        <w:tc>
          <w:tcPr>
            <w:tcW w:w="1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1,720</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1,821</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assets</w:t>
            </w:r>
          </w:p>
        </w:tc>
        <w:tc>
          <w:tcPr>
            <w:tcW w:w="1140" w:type="dxa"/>
            <w:vAlign w:val="bottom"/>
            <w:tcBorders>
              <w:bottom w:val="single" w:sz="8" w:color="CFF0FC"/>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5,838</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5,885</w:t>
            </w:r>
          </w:p>
        </w:tc>
        <w:tc>
          <w:tcPr>
            <w:tcW w:w="1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assets</w:t>
            </w:r>
          </w:p>
        </w:tc>
        <w:tc>
          <w:tcPr>
            <w:tcW w:w="114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906"/>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242,148</w:t>
            </w: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240,405</w:t>
            </w:r>
          </w:p>
        </w:tc>
        <w:tc>
          <w:tcPr>
            <w:tcW w:w="12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276,594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LIABILITIES AND STOCKHOLDERS' EQUITY</w:t>
            </w:r>
          </w:p>
        </w:tc>
        <w:tc>
          <w:tcPr>
            <w:tcW w:w="1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7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Accounts payable</w:t>
            </w:r>
          </w:p>
        </w:tc>
        <w:tc>
          <w:tcPr>
            <w:tcW w:w="2200" w:type="dxa"/>
            <w:vAlign w:val="bottom"/>
            <w:gridSpan w:val="2"/>
            <w:shd w:val="clear" w:color="auto" w:fill="CFF0FC"/>
          </w:tcPr>
          <w:p>
            <w:pPr>
              <w:jc w:val="right"/>
              <w:ind w:right="906"/>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28,699</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33,987</w:t>
            </w:r>
          </w:p>
        </w:tc>
        <w:tc>
          <w:tcPr>
            <w:tcW w:w="440" w:type="dxa"/>
            <w:vAlign w:val="bottom"/>
            <w:gridSpan w:val="2"/>
            <w:shd w:val="clear" w:color="auto" w:fill="CFF0FC"/>
          </w:tcPr>
          <w:p>
            <w:pPr>
              <w:jc w:val="right"/>
              <w:ind w:right="165"/>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30,254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Accrued expenses and other liabilities</w:t>
            </w:r>
          </w:p>
        </w:tc>
        <w:tc>
          <w:tcPr>
            <w:tcW w:w="1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63,999</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65,263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72,526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Long-term debt</w:t>
            </w:r>
          </w:p>
        </w:tc>
        <w:tc>
          <w:tcPr>
            <w:tcW w:w="1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11,409</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12,061</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16,655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Borrowings under credit facility</w:t>
            </w:r>
          </w:p>
        </w:tc>
        <w:tc>
          <w:tcPr>
            <w:tcW w:w="1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58,877</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47,385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62,095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Deferred gain on sale-leaseback</w:t>
            </w:r>
          </w:p>
        </w:tc>
        <w:tc>
          <w:tcPr>
            <w:tcW w:w="1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11,357</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11,723</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12,822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Stockholders' equity</w:t>
            </w:r>
          </w:p>
        </w:tc>
        <w:tc>
          <w:tcPr>
            <w:tcW w:w="1140" w:type="dxa"/>
            <w:vAlign w:val="bottom"/>
            <w:tcBorders>
              <w:bottom w:val="single" w:sz="8" w:color="CFF0FC"/>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67,807</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69,986</w:t>
            </w:r>
          </w:p>
        </w:tc>
        <w:tc>
          <w:tcPr>
            <w:tcW w:w="1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82,242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liabilities and stockholders' equity</w:t>
            </w:r>
          </w:p>
        </w:tc>
        <w:tc>
          <w:tcPr>
            <w:tcW w:w="114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906"/>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242,148</w:t>
            </w: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240,405</w:t>
            </w:r>
          </w:p>
        </w:tc>
        <w:tc>
          <w:tcPr>
            <w:tcW w:w="12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276,594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20" w:type="dxa"/>
            <w:vAlign w:val="bottom"/>
          </w:tcPr>
          <w:p>
            <w:pPr>
              <w:spacing w:after="0"/>
              <w:rPr>
                <w:sz w:val="24"/>
                <w:szCs w:val="24"/>
                <w:color w:val="auto"/>
              </w:rPr>
            </w:pPr>
          </w:p>
        </w:tc>
        <w:tc>
          <w:tcPr>
            <w:tcW w:w="4780" w:type="dxa"/>
            <w:vAlign w:val="bottom"/>
            <w:tcBorders>
              <w:bottom w:val="single" w:sz="8" w:color="CFF0FC"/>
            </w:tcBorders>
          </w:tcPr>
          <w:p>
            <w:pPr>
              <w:spacing w:after="0"/>
              <w:rPr>
                <w:sz w:val="24"/>
                <w:szCs w:val="24"/>
                <w:color w:val="auto"/>
              </w:rPr>
            </w:pPr>
          </w:p>
        </w:tc>
        <w:tc>
          <w:tcPr>
            <w:tcW w:w="1140" w:type="dxa"/>
            <w:vAlign w:val="bottom"/>
            <w:tcBorders>
              <w:bottom w:val="single" w:sz="8" w:color="CFF0FC"/>
            </w:tcBorders>
          </w:tcPr>
          <w:p>
            <w:pPr>
              <w:spacing w:after="0"/>
              <w:rPr>
                <w:sz w:val="24"/>
                <w:szCs w:val="24"/>
                <w:color w:val="auto"/>
              </w:rPr>
            </w:pPr>
          </w:p>
        </w:tc>
        <w:tc>
          <w:tcPr>
            <w:tcW w:w="1060" w:type="dxa"/>
            <w:vAlign w:val="bottom"/>
            <w:tcBorders>
              <w:bottom w:val="single" w:sz="8" w:color="CFF0FC"/>
            </w:tcBorders>
          </w:tcPr>
          <w:p>
            <w:pPr>
              <w:spacing w:after="0"/>
              <w:rPr>
                <w:sz w:val="24"/>
                <w:szCs w:val="24"/>
                <w:color w:val="auto"/>
              </w:rPr>
            </w:pPr>
          </w:p>
        </w:tc>
        <w:tc>
          <w:tcPr>
            <w:tcW w:w="620" w:type="dxa"/>
            <w:vAlign w:val="bottom"/>
            <w:tcBorders>
              <w:bottom w:val="single" w:sz="8" w:color="CFF0FC"/>
            </w:tcBorders>
          </w:tcPr>
          <w:p>
            <w:pPr>
              <w:spacing w:after="0"/>
              <w:rPr>
                <w:sz w:val="24"/>
                <w:szCs w:val="24"/>
                <w:color w:val="auto"/>
              </w:rPr>
            </w:pPr>
          </w:p>
        </w:tc>
        <w:tc>
          <w:tcPr>
            <w:tcW w:w="240" w:type="dxa"/>
            <w:vAlign w:val="bottom"/>
            <w:tcBorders>
              <w:bottom w:val="single" w:sz="8" w:color="CFF0FC"/>
            </w:tcBorders>
          </w:tcPr>
          <w:p>
            <w:pPr>
              <w:spacing w:after="0"/>
              <w:rPr>
                <w:sz w:val="24"/>
                <w:szCs w:val="24"/>
                <w:color w:val="auto"/>
              </w:rPr>
            </w:pPr>
          </w:p>
        </w:tc>
        <w:tc>
          <w:tcPr>
            <w:tcW w:w="280" w:type="dxa"/>
            <w:vAlign w:val="bottom"/>
            <w:tcBorders>
              <w:bottom w:val="single" w:sz="8" w:color="CFF0FC"/>
            </w:tcBorders>
          </w:tcPr>
          <w:p>
            <w:pPr>
              <w:spacing w:after="0"/>
              <w:rPr>
                <w:sz w:val="24"/>
                <w:szCs w:val="24"/>
                <w:color w:val="auto"/>
              </w:rPr>
            </w:pPr>
          </w:p>
        </w:tc>
        <w:tc>
          <w:tcPr>
            <w:tcW w:w="1380" w:type="dxa"/>
            <w:vAlign w:val="bottom"/>
            <w:tcBorders>
              <w:bottom w:val="single" w:sz="8" w:color="CFF0FC"/>
            </w:tcBorders>
          </w:tcPr>
          <w:p>
            <w:pPr>
              <w:spacing w:after="0"/>
              <w:rPr>
                <w:sz w:val="24"/>
                <w:szCs w:val="24"/>
                <w:color w:val="auto"/>
              </w:rPr>
            </w:pPr>
          </w:p>
        </w:tc>
        <w:tc>
          <w:tcPr>
            <w:tcW w:w="120" w:type="dxa"/>
            <w:vAlign w:val="bottom"/>
            <w:tcBorders>
              <w:bottom w:val="single" w:sz="8" w:color="CFF0FC"/>
            </w:tcBorders>
          </w:tcPr>
          <w:p>
            <w:pPr>
              <w:spacing w:after="0"/>
              <w:rPr>
                <w:sz w:val="24"/>
                <w:szCs w:val="24"/>
                <w:color w:val="auto"/>
              </w:rPr>
            </w:pPr>
          </w:p>
        </w:tc>
        <w:tc>
          <w:tcPr>
            <w:tcW w:w="320" w:type="dxa"/>
            <w:vAlign w:val="bottom"/>
            <w:tcBorders>
              <w:bottom w:val="single" w:sz="8" w:color="CFF0FC"/>
            </w:tcBorders>
          </w:tcPr>
          <w:p>
            <w:pPr>
              <w:spacing w:after="0"/>
              <w:rPr>
                <w:sz w:val="24"/>
                <w:szCs w:val="24"/>
                <w:color w:val="auto"/>
              </w:rPr>
            </w:pPr>
          </w:p>
        </w:tc>
        <w:tc>
          <w:tcPr>
            <w:tcW w:w="1360" w:type="dxa"/>
            <w:vAlign w:val="bottom"/>
            <w:tcBorders>
              <w:bottom w:val="single" w:sz="8" w:color="CFF0FC"/>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20"/>
          <w:szCs w:val="20"/>
          <w:i w:val="1"/>
          <w:iCs w:val="1"/>
          <w:color w:val="auto"/>
        </w:rPr>
        <w:t>CERTAIN COLUMNS IN THE FOLLOWING TABLES MAY NOT FOOT DUE TO ROUNDING</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GAAP TO NON-GAAP RECONCILIATION OF ADJUSTED NET LOSS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AND ADJUSTED NET LOSS PER DILUTED SHARE</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20" w:type="dxa"/>
            <w:vAlign w:val="bottom"/>
            <w:gridSpan w:val="3"/>
          </w:tcPr>
          <w:p>
            <w:pPr>
              <w:jc w:val="right"/>
              <w:spacing w:after="0"/>
              <w:rPr>
                <w:sz w:val="20"/>
                <w:szCs w:val="20"/>
                <w:color w:val="auto"/>
              </w:rPr>
            </w:pPr>
            <w:r>
              <w:rPr>
                <w:rFonts w:ascii="Arial" w:cs="Arial" w:eastAsia="Arial" w:hAnsi="Arial"/>
                <w:sz w:val="14"/>
                <w:szCs w:val="14"/>
                <w:color w:val="auto"/>
              </w:rPr>
              <w:t>For the three months ended</w:t>
            </w: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0" w:type="dxa"/>
            <w:vAlign w:val="bottom"/>
            <w:gridSpan w:val="5"/>
          </w:tcPr>
          <w:p>
            <w:pPr>
              <w:jc w:val="right"/>
              <w:ind w:right="1200"/>
              <w:spacing w:after="0"/>
              <w:rPr>
                <w:sz w:val="20"/>
                <w:szCs w:val="20"/>
                <w:color w:val="auto"/>
              </w:rPr>
            </w:pPr>
            <w:r>
              <w:rPr>
                <w:rFonts w:ascii="Arial" w:cs="Arial" w:eastAsia="Arial" w:hAnsi="Arial"/>
                <w:sz w:val="14"/>
                <w:szCs w:val="14"/>
                <w:color w:val="auto"/>
              </w:rPr>
              <w:t>May 5, 2018</w:t>
            </w:r>
          </w:p>
        </w:tc>
        <w:tc>
          <w:tcPr>
            <w:tcW w:w="640" w:type="dxa"/>
            <w:vAlign w:val="bottom"/>
          </w:tcPr>
          <w:p>
            <w:pPr>
              <w:spacing w:after="0"/>
              <w:rPr>
                <w:sz w:val="14"/>
                <w:szCs w:val="14"/>
                <w:color w:val="auto"/>
              </w:rPr>
            </w:pPr>
          </w:p>
        </w:tc>
        <w:tc>
          <w:tcPr>
            <w:tcW w:w="1900" w:type="dxa"/>
            <w:vAlign w:val="bottom"/>
            <w:gridSpan w:val="5"/>
          </w:tcPr>
          <w:p>
            <w:pPr>
              <w:jc w:val="right"/>
              <w:ind w:right="920"/>
              <w:spacing w:after="0"/>
              <w:rPr>
                <w:sz w:val="20"/>
                <w:szCs w:val="20"/>
                <w:color w:val="auto"/>
              </w:rPr>
            </w:pPr>
            <w:r>
              <w:rPr>
                <w:rFonts w:ascii="Arial" w:cs="Arial" w:eastAsia="Arial" w:hAnsi="Arial"/>
                <w:sz w:val="14"/>
                <w:szCs w:val="14"/>
                <w:color w:val="auto"/>
              </w:rPr>
              <w:t>April 29, 2017</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394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right"/>
              <w:ind w:right="188"/>
              <w:spacing w:after="0" w:line="137" w:lineRule="exact"/>
              <w:rPr>
                <w:sz w:val="20"/>
                <w:szCs w:val="20"/>
                <w:color w:val="auto"/>
              </w:rPr>
            </w:pPr>
            <w:r>
              <w:rPr>
                <w:rFonts w:ascii="Arial" w:cs="Arial" w:eastAsia="Arial" w:hAnsi="Arial"/>
                <w:sz w:val="14"/>
                <w:szCs w:val="14"/>
                <w:color w:val="auto"/>
              </w:rPr>
              <w:t>Per diluted</w:t>
            </w:r>
          </w:p>
        </w:tc>
        <w:tc>
          <w:tcPr>
            <w:tcW w:w="32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ind w:right="148"/>
              <w:spacing w:after="0" w:line="137" w:lineRule="exact"/>
              <w:rPr>
                <w:sz w:val="20"/>
                <w:szCs w:val="20"/>
                <w:color w:val="auto"/>
              </w:rPr>
            </w:pPr>
            <w:r>
              <w:rPr>
                <w:rFonts w:ascii="Arial" w:cs="Arial" w:eastAsia="Arial" w:hAnsi="Arial"/>
                <w:sz w:val="14"/>
                <w:szCs w:val="14"/>
                <w:color w:val="auto"/>
                <w:w w:val="98"/>
              </w:rPr>
              <w:t>Per diluted</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608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(in thousands, except per share data)</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share</w:t>
            </w:r>
          </w:p>
        </w:tc>
        <w:tc>
          <w:tcPr>
            <w:tcW w:w="320" w:type="dxa"/>
            <w:vAlign w:val="bottom"/>
          </w:tcPr>
          <w:p>
            <w:pPr>
              <w:spacing w:after="0"/>
              <w:rPr>
                <w:sz w:val="14"/>
                <w:szCs w:val="14"/>
                <w:color w:val="auto"/>
              </w:rPr>
            </w:pP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share</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080" w:type="dxa"/>
            <w:vAlign w:val="bottom"/>
            <w:gridSpan w:val="3"/>
            <w:vMerge w:val="continue"/>
          </w:tcPr>
          <w:p>
            <w:pPr>
              <w:spacing w:after="0"/>
              <w:rPr>
                <w:sz w:val="12"/>
                <w:szCs w:val="12"/>
                <w:color w:val="auto"/>
              </w:rPr>
            </w:pPr>
          </w:p>
        </w:tc>
        <w:tc>
          <w:tcPr>
            <w:tcW w:w="600" w:type="dxa"/>
            <w:vAlign w:val="bottom"/>
            <w:vMerge w:val="restart"/>
          </w:tcPr>
          <w:p>
            <w:pPr>
              <w:jc w:val="right"/>
              <w:ind w:right="448"/>
              <w:spacing w:after="0"/>
              <w:rPr>
                <w:sz w:val="20"/>
                <w:szCs w:val="20"/>
                <w:color w:val="auto"/>
              </w:rPr>
            </w:pPr>
            <w:r>
              <w:rPr>
                <w:rFonts w:ascii="Arial" w:cs="Arial" w:eastAsia="Arial" w:hAnsi="Arial"/>
                <w:sz w:val="14"/>
                <w:szCs w:val="14"/>
                <w:color w:val="auto"/>
                <w:w w:val="76"/>
              </w:rPr>
              <w:t>$</w:t>
            </w:r>
          </w:p>
        </w:tc>
        <w:tc>
          <w:tcPr>
            <w:tcW w:w="760" w:type="dxa"/>
            <w:vAlign w:val="bottom"/>
            <w:gridSpan w:val="2"/>
            <w:vMerge w:val="restart"/>
          </w:tcPr>
          <w:p>
            <w:pPr>
              <w:jc w:val="right"/>
              <w:ind w:right="280"/>
              <w:spacing w:after="0"/>
              <w:rPr>
                <w:sz w:val="20"/>
                <w:szCs w:val="20"/>
                <w:color w:val="auto"/>
              </w:rPr>
            </w:pPr>
            <w:r>
              <w:rPr>
                <w:rFonts w:ascii="Arial" w:cs="Arial" w:eastAsia="Arial" w:hAnsi="Arial"/>
                <w:sz w:val="14"/>
                <w:szCs w:val="14"/>
                <w:color w:val="auto"/>
              </w:rPr>
              <w:t>(3,110)</w:t>
            </w:r>
          </w:p>
        </w:tc>
        <w:tc>
          <w:tcPr>
            <w:tcW w:w="160" w:type="dxa"/>
            <w:vAlign w:val="bottom"/>
            <w:vMerge w:val="restart"/>
          </w:tcPr>
          <w:p>
            <w:pPr>
              <w:jc w:val="right"/>
              <w:ind w:right="49"/>
              <w:spacing w:after="0"/>
              <w:rPr>
                <w:sz w:val="20"/>
                <w:szCs w:val="20"/>
                <w:color w:val="auto"/>
              </w:rPr>
            </w:pPr>
            <w:r>
              <w:rPr>
                <w:rFonts w:ascii="Arial" w:cs="Arial" w:eastAsia="Arial" w:hAnsi="Arial"/>
                <w:sz w:val="10"/>
                <w:szCs w:val="10"/>
                <w:color w:val="auto"/>
                <w:w w:val="71"/>
              </w:rPr>
              <w:t>$</w:t>
            </w:r>
          </w:p>
        </w:tc>
        <w:tc>
          <w:tcPr>
            <w:tcW w:w="1280" w:type="dxa"/>
            <w:vAlign w:val="bottom"/>
            <w:gridSpan w:val="2"/>
            <w:vMerge w:val="restart"/>
          </w:tcPr>
          <w:p>
            <w:pPr>
              <w:jc w:val="right"/>
              <w:ind w:right="280"/>
              <w:spacing w:after="0"/>
              <w:rPr>
                <w:sz w:val="20"/>
                <w:szCs w:val="20"/>
                <w:color w:val="auto"/>
              </w:rPr>
            </w:pPr>
            <w:r>
              <w:rPr>
                <w:rFonts w:ascii="Arial" w:cs="Arial" w:eastAsia="Arial" w:hAnsi="Arial"/>
                <w:sz w:val="14"/>
                <w:szCs w:val="14"/>
                <w:color w:val="auto"/>
              </w:rPr>
              <w:t>(0.06)</w:t>
            </w:r>
          </w:p>
        </w:tc>
        <w:tc>
          <w:tcPr>
            <w:tcW w:w="640" w:type="dxa"/>
            <w:vAlign w:val="bottom"/>
            <w:vMerge w:val="restart"/>
          </w:tcPr>
          <w:p>
            <w:pPr>
              <w:jc w:val="right"/>
              <w:ind w:right="488"/>
              <w:spacing w:after="0"/>
              <w:rPr>
                <w:sz w:val="20"/>
                <w:szCs w:val="20"/>
                <w:color w:val="auto"/>
              </w:rPr>
            </w:pPr>
            <w:r>
              <w:rPr>
                <w:rFonts w:ascii="Arial" w:cs="Arial" w:eastAsia="Arial" w:hAnsi="Arial"/>
                <w:sz w:val="14"/>
                <w:szCs w:val="14"/>
                <w:color w:val="auto"/>
                <w:w w:val="76"/>
              </w:rPr>
              <w:t>$</w:t>
            </w:r>
          </w:p>
        </w:tc>
        <w:tc>
          <w:tcPr>
            <w:tcW w:w="740" w:type="dxa"/>
            <w:vAlign w:val="bottom"/>
            <w:gridSpan w:val="2"/>
            <w:vMerge w:val="restart"/>
          </w:tcPr>
          <w:p>
            <w:pPr>
              <w:jc w:val="right"/>
              <w:ind w:right="280"/>
              <w:spacing w:after="0"/>
              <w:rPr>
                <w:sz w:val="20"/>
                <w:szCs w:val="20"/>
                <w:color w:val="auto"/>
              </w:rPr>
            </w:pPr>
            <w:r>
              <w:rPr>
                <w:rFonts w:ascii="Arial" w:cs="Arial" w:eastAsia="Arial" w:hAnsi="Arial"/>
                <w:sz w:val="14"/>
                <w:szCs w:val="14"/>
                <w:color w:val="auto"/>
                <w:w w:val="99"/>
              </w:rPr>
              <w:t>(6,065)</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(0.12)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12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color w:val="auto"/>
              </w:rPr>
              <w:t>Net loss (GAAP basis)</w:t>
            </w:r>
          </w:p>
        </w:tc>
        <w:tc>
          <w:tcPr>
            <w:tcW w:w="394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6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Adjust:</w:t>
            </w:r>
          </w:p>
        </w:tc>
        <w:tc>
          <w:tcPr>
            <w:tcW w:w="60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60" w:type="dxa"/>
            <w:vAlign w:val="bottom"/>
            <w:gridSpan w:val="2"/>
          </w:tcPr>
          <w:p>
            <w:pPr>
              <w:spacing w:after="0"/>
              <w:rPr>
                <w:sz w:val="20"/>
                <w:szCs w:val="20"/>
                <w:color w:val="auto"/>
              </w:rPr>
            </w:pPr>
            <w:r>
              <w:rPr>
                <w:rFonts w:ascii="Arial" w:cs="Arial" w:eastAsia="Arial" w:hAnsi="Arial"/>
                <w:sz w:val="14"/>
                <w:szCs w:val="14"/>
                <w:color w:val="auto"/>
              </w:rPr>
              <w:t>Add back actual income tax provision (benefit)</w:t>
            </w:r>
          </w:p>
        </w:tc>
        <w:tc>
          <w:tcPr>
            <w:tcW w:w="600" w:type="dxa"/>
            <w:vAlign w:val="bottom"/>
          </w:tcPr>
          <w:p>
            <w:pPr>
              <w:spacing w:after="0"/>
              <w:rPr>
                <w:sz w:val="14"/>
                <w:szCs w:val="14"/>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4"/>
                <w:szCs w:val="14"/>
                <w:color w:val="auto"/>
              </w:rPr>
              <w:t>(2)</w:t>
            </w: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29</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6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Add income tax benefit, assuming a normal tax rate of 26%</w:t>
            </w:r>
          </w:p>
        </w:tc>
        <w:tc>
          <w:tcPr>
            <w:tcW w:w="600" w:type="dxa"/>
            <w:vAlign w:val="bottom"/>
            <w:tcBorders>
              <w:bottom w:val="single" w:sz="8" w:color="auto"/>
            </w:tcBorders>
            <w:shd w:val="clear" w:color="auto" w:fill="CFF0FC"/>
          </w:tcPr>
          <w:p>
            <w:pPr>
              <w:spacing w:after="0"/>
              <w:rPr>
                <w:sz w:val="14"/>
                <w:szCs w:val="14"/>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809</w:t>
            </w:r>
          </w:p>
        </w:tc>
        <w:tc>
          <w:tcPr>
            <w:tcW w:w="32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960" w:type="dxa"/>
            <w:vAlign w:val="bottom"/>
            <w:tcBorders>
              <w:bottom w:val="single" w:sz="8" w:color="auto"/>
            </w:tcBorders>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spacing w:after="0"/>
              <w:rPr>
                <w:sz w:val="14"/>
                <w:szCs w:val="14"/>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1,569</w:t>
            </w:r>
          </w:p>
        </w:tc>
        <w:tc>
          <w:tcPr>
            <w:tcW w:w="32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080" w:type="dxa"/>
            <w:vAlign w:val="bottom"/>
            <w:gridSpan w:val="3"/>
          </w:tcPr>
          <w:p>
            <w:pPr>
              <w:spacing w:after="0" w:line="155" w:lineRule="exact"/>
              <w:rPr>
                <w:sz w:val="20"/>
                <w:szCs w:val="20"/>
                <w:color w:val="auto"/>
              </w:rPr>
            </w:pPr>
            <w:r>
              <w:rPr>
                <w:rFonts w:ascii="Arial" w:cs="Arial" w:eastAsia="Arial" w:hAnsi="Arial"/>
                <w:sz w:val="14"/>
                <w:szCs w:val="14"/>
                <w:color w:val="auto"/>
              </w:rPr>
              <w:t>Adjusted net loss (non-GAAP basis)</w:t>
            </w:r>
          </w:p>
        </w:tc>
        <w:tc>
          <w:tcPr>
            <w:tcW w:w="600" w:type="dxa"/>
            <w:vAlign w:val="bottom"/>
          </w:tcPr>
          <w:p>
            <w:pPr>
              <w:jc w:val="right"/>
              <w:ind w:right="448"/>
              <w:spacing w:after="0" w:line="155" w:lineRule="exact"/>
              <w:rPr>
                <w:sz w:val="20"/>
                <w:szCs w:val="20"/>
                <w:color w:val="auto"/>
              </w:rPr>
            </w:pPr>
            <w:r>
              <w:rPr>
                <w:rFonts w:ascii="Arial" w:cs="Arial" w:eastAsia="Arial" w:hAnsi="Arial"/>
                <w:sz w:val="14"/>
                <w:szCs w:val="14"/>
                <w:color w:val="auto"/>
                <w:w w:val="76"/>
              </w:rPr>
              <w:t>$</w:t>
            </w: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w w:val="94"/>
              </w:rPr>
              <w:t>(2,303)</w:t>
            </w:r>
          </w:p>
        </w:tc>
        <w:tc>
          <w:tcPr>
            <w:tcW w:w="320" w:type="dxa"/>
            <w:vAlign w:val="bottom"/>
          </w:tcPr>
          <w:p>
            <w:pPr>
              <w:spacing w:after="0"/>
              <w:rPr>
                <w:sz w:val="13"/>
                <w:szCs w:val="13"/>
                <w:color w:val="auto"/>
              </w:rPr>
            </w:pP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line="155" w:lineRule="exact"/>
              <w:rPr>
                <w:sz w:val="20"/>
                <w:szCs w:val="20"/>
                <w:color w:val="auto"/>
              </w:rPr>
            </w:pPr>
            <w:r>
              <w:rPr>
                <w:rFonts w:ascii="Arial" w:cs="Arial" w:eastAsia="Arial" w:hAnsi="Arial"/>
                <w:sz w:val="14"/>
                <w:szCs w:val="14"/>
                <w:color w:val="auto"/>
              </w:rPr>
              <w:t>(0.05)</w:t>
            </w:r>
          </w:p>
        </w:tc>
        <w:tc>
          <w:tcPr>
            <w:tcW w:w="320" w:type="dxa"/>
            <w:vAlign w:val="bottom"/>
          </w:tcPr>
          <w:p>
            <w:pPr>
              <w:spacing w:after="0"/>
              <w:rPr>
                <w:sz w:val="13"/>
                <w:szCs w:val="13"/>
                <w:color w:val="auto"/>
              </w:rPr>
            </w:pPr>
          </w:p>
        </w:tc>
        <w:tc>
          <w:tcPr>
            <w:tcW w:w="640" w:type="dxa"/>
            <w:vAlign w:val="bottom"/>
          </w:tcPr>
          <w:p>
            <w:pPr>
              <w:jc w:val="right"/>
              <w:ind w:right="488"/>
              <w:spacing w:after="0" w:line="155" w:lineRule="exact"/>
              <w:rPr>
                <w:sz w:val="20"/>
                <w:szCs w:val="20"/>
                <w:color w:val="auto"/>
              </w:rPr>
            </w:pPr>
            <w:r>
              <w:rPr>
                <w:rFonts w:ascii="Arial" w:cs="Arial" w:eastAsia="Arial" w:hAnsi="Arial"/>
                <w:sz w:val="14"/>
                <w:szCs w:val="14"/>
                <w:color w:val="auto"/>
                <w:w w:val="76"/>
              </w:rPr>
              <w:t>$</w:t>
            </w:r>
          </w:p>
        </w:tc>
        <w:tc>
          <w:tcPr>
            <w:tcW w:w="420" w:type="dxa"/>
            <w:vAlign w:val="bottom"/>
          </w:tcPr>
          <w:p>
            <w:pPr>
              <w:jc w:val="right"/>
              <w:spacing w:after="0" w:line="155" w:lineRule="exact"/>
              <w:rPr>
                <w:sz w:val="20"/>
                <w:szCs w:val="20"/>
                <w:color w:val="auto"/>
              </w:rPr>
            </w:pPr>
            <w:r>
              <w:rPr>
                <w:rFonts w:ascii="Arial" w:cs="Arial" w:eastAsia="Arial" w:hAnsi="Arial"/>
                <w:sz w:val="14"/>
                <w:szCs w:val="14"/>
                <w:color w:val="auto"/>
                <w:w w:val="90"/>
              </w:rPr>
              <w:t>(4,467)</w:t>
            </w:r>
          </w:p>
        </w:tc>
        <w:tc>
          <w:tcPr>
            <w:tcW w:w="320" w:type="dxa"/>
            <w:vAlign w:val="bottom"/>
          </w:tcPr>
          <w:p>
            <w:pPr>
              <w:spacing w:after="0"/>
              <w:rPr>
                <w:sz w:val="13"/>
                <w:szCs w:val="13"/>
                <w:color w:val="auto"/>
              </w:rPr>
            </w:pPr>
          </w:p>
        </w:tc>
        <w:tc>
          <w:tcPr>
            <w:tcW w:w="14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line="155" w:lineRule="exact"/>
              <w:rPr>
                <w:sz w:val="20"/>
                <w:szCs w:val="20"/>
                <w:color w:val="auto"/>
              </w:rPr>
            </w:pPr>
            <w:r>
              <w:rPr>
                <w:rFonts w:ascii="Arial" w:cs="Arial" w:eastAsia="Arial" w:hAnsi="Arial"/>
                <w:sz w:val="14"/>
                <w:szCs w:val="14"/>
                <w:color w:val="auto"/>
              </w:rPr>
              <w:t>(0.09)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2120" w:type="dxa"/>
            <w:vAlign w:val="bottom"/>
            <w:shd w:val="clear" w:color="auto" w:fill="CFF0FC"/>
          </w:tcPr>
          <w:p>
            <w:pPr>
              <w:spacing w:after="0"/>
              <w:rPr>
                <w:sz w:val="14"/>
                <w:szCs w:val="14"/>
                <w:color w:val="auto"/>
              </w:rPr>
            </w:pPr>
          </w:p>
        </w:tc>
        <w:tc>
          <w:tcPr>
            <w:tcW w:w="394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6060" w:type="dxa"/>
            <w:vAlign w:val="bottom"/>
            <w:gridSpan w:val="2"/>
          </w:tcPr>
          <w:p>
            <w:pPr>
              <w:spacing w:after="0"/>
              <w:rPr>
                <w:sz w:val="20"/>
                <w:szCs w:val="20"/>
                <w:color w:val="auto"/>
              </w:rPr>
            </w:pPr>
            <w:r>
              <w:rPr>
                <w:rFonts w:ascii="Arial" w:cs="Arial" w:eastAsia="Arial" w:hAnsi="Arial"/>
                <w:sz w:val="14"/>
                <w:szCs w:val="14"/>
                <w:color w:val="auto"/>
              </w:rPr>
              <w:t>Weighted average number of common shares outstanding on a diluted basis</w:t>
            </w:r>
          </w:p>
        </w:tc>
        <w:tc>
          <w:tcPr>
            <w:tcW w:w="6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48,791</w:t>
            </w: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49,735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GAAP TO NON-GAAP RECONCILIATION OF EBITDA</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20" w:type="dxa"/>
            <w:vAlign w:val="bottom"/>
          </w:tcPr>
          <w:p>
            <w:pPr>
              <w:spacing w:after="0"/>
              <w:rPr>
                <w:sz w:val="15"/>
                <w:szCs w:val="15"/>
                <w:color w:val="auto"/>
              </w:rPr>
            </w:pPr>
          </w:p>
        </w:tc>
        <w:tc>
          <w:tcPr>
            <w:tcW w:w="5780" w:type="dxa"/>
            <w:vAlign w:val="bottom"/>
          </w:tcPr>
          <w:p>
            <w:pPr>
              <w:spacing w:after="0"/>
              <w:rPr>
                <w:sz w:val="15"/>
                <w:szCs w:val="15"/>
                <w:color w:val="auto"/>
              </w:rPr>
            </w:pPr>
          </w:p>
        </w:tc>
        <w:tc>
          <w:tcPr>
            <w:tcW w:w="1460" w:type="dxa"/>
            <w:vAlign w:val="bottom"/>
            <w:vMerge w:val="restart"/>
          </w:tcPr>
          <w:p>
            <w:pPr>
              <w:jc w:val="right"/>
              <w:ind w:right="2"/>
              <w:spacing w:after="0"/>
              <w:rPr>
                <w:sz w:val="20"/>
                <w:szCs w:val="20"/>
                <w:color w:val="auto"/>
              </w:rPr>
            </w:pPr>
            <w:r>
              <w:rPr>
                <w:rFonts w:ascii="Arial" w:cs="Arial" w:eastAsia="Arial" w:hAnsi="Arial"/>
                <w:sz w:val="14"/>
                <w:szCs w:val="14"/>
                <w:color w:val="auto"/>
              </w:rPr>
              <w:t>May 5, 2018</w:t>
            </w:r>
          </w:p>
        </w:tc>
        <w:tc>
          <w:tcPr>
            <w:tcW w:w="1660" w:type="dxa"/>
            <w:vAlign w:val="bottom"/>
            <w:gridSpan w:val="4"/>
          </w:tcPr>
          <w:p>
            <w:pPr>
              <w:jc w:val="right"/>
              <w:spacing w:after="0"/>
              <w:rPr>
                <w:sz w:val="20"/>
                <w:szCs w:val="20"/>
                <w:color w:val="auto"/>
              </w:rPr>
            </w:pPr>
            <w:r>
              <w:rPr>
                <w:rFonts w:ascii="Arial" w:cs="Arial" w:eastAsia="Arial" w:hAnsi="Arial"/>
                <w:sz w:val="14"/>
                <w:szCs w:val="14"/>
                <w:color w:val="auto"/>
                <w:w w:val="93"/>
              </w:rPr>
              <w:t>For the three months ended</w:t>
            </w:r>
          </w:p>
        </w:tc>
        <w:tc>
          <w:tcPr>
            <w:tcW w:w="1520" w:type="dxa"/>
            <w:vAlign w:val="bottom"/>
            <w:vMerge w:val="restart"/>
          </w:tcPr>
          <w:p>
            <w:pPr>
              <w:jc w:val="right"/>
              <w:ind w:right="588"/>
              <w:spacing w:after="0"/>
              <w:rPr>
                <w:sz w:val="20"/>
                <w:szCs w:val="20"/>
                <w:color w:val="auto"/>
              </w:rPr>
            </w:pPr>
            <w:r>
              <w:rPr>
                <w:rFonts w:ascii="Arial" w:cs="Arial" w:eastAsia="Arial" w:hAnsi="Arial"/>
                <w:sz w:val="14"/>
                <w:szCs w:val="14"/>
                <w:color w:val="auto"/>
                <w:w w:val="97"/>
              </w:rPr>
              <w:t>April 29, 2017</w:t>
            </w:r>
          </w:p>
        </w:tc>
        <w:tc>
          <w:tcPr>
            <w:tcW w:w="28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72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1460" w:type="dxa"/>
            <w:vAlign w:val="bottom"/>
            <w:tcBorders>
              <w:bottom w:val="single" w:sz="8" w:color="auto"/>
            </w:tcBorders>
            <w:vMerge w:val="continue"/>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72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i w:val="1"/>
                <w:iCs w:val="1"/>
                <w:color w:val="auto"/>
                <w:w w:val="98"/>
              </w:rPr>
              <w:t>(in millions)</w:t>
            </w:r>
          </w:p>
        </w:tc>
        <w:tc>
          <w:tcPr>
            <w:tcW w:w="5780" w:type="dxa"/>
            <w:vAlign w:val="bottom"/>
          </w:tcPr>
          <w:p>
            <w:pPr>
              <w:spacing w:after="0"/>
              <w:rPr>
                <w:sz w:val="13"/>
                <w:szCs w:val="13"/>
                <w:color w:val="auto"/>
              </w:rPr>
            </w:pPr>
          </w:p>
        </w:tc>
        <w:tc>
          <w:tcPr>
            <w:tcW w:w="1460" w:type="dxa"/>
            <w:vAlign w:val="bottom"/>
            <w:vMerge w:val="restart"/>
          </w:tcPr>
          <w:p>
            <w:pPr>
              <w:jc w:val="right"/>
              <w:ind w:right="1342"/>
              <w:spacing w:after="0"/>
              <w:rPr>
                <w:sz w:val="20"/>
                <w:szCs w:val="20"/>
                <w:color w:val="auto"/>
              </w:rPr>
            </w:pPr>
            <w:r>
              <w:rPr>
                <w:rFonts w:ascii="Arial" w:cs="Arial" w:eastAsia="Arial" w:hAnsi="Arial"/>
                <w:sz w:val="10"/>
                <w:szCs w:val="10"/>
                <w:color w:val="auto"/>
                <w:w w:val="71"/>
              </w:rPr>
              <w:t>$</w:t>
            </w: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(3.1)</w:t>
            </w:r>
          </w:p>
        </w:tc>
        <w:tc>
          <w:tcPr>
            <w:tcW w:w="820" w:type="dxa"/>
            <w:vAlign w:val="bottom"/>
            <w:gridSpan w:val="2"/>
            <w:vMerge w:val="restart"/>
          </w:tcPr>
          <w:p>
            <w:pPr>
              <w:jc w:val="right"/>
              <w:ind w:right="508"/>
              <w:spacing w:after="0"/>
              <w:rPr>
                <w:sz w:val="20"/>
                <w:szCs w:val="20"/>
                <w:color w:val="auto"/>
              </w:rPr>
            </w:pPr>
            <w:r>
              <w:rPr>
                <w:rFonts w:ascii="Arial" w:cs="Arial" w:eastAsia="Arial" w:hAnsi="Arial"/>
                <w:sz w:val="14"/>
                <w:szCs w:val="14"/>
                <w:color w:val="auto"/>
              </w:rPr>
              <w:t>$</w:t>
            </w:r>
          </w:p>
        </w:tc>
        <w:tc>
          <w:tcPr>
            <w:tcW w:w="18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56"/>
        </w:trPr>
        <w:tc>
          <w:tcPr>
            <w:tcW w:w="6500" w:type="dxa"/>
            <w:vAlign w:val="bottom"/>
            <w:gridSpan w:val="2"/>
          </w:tcPr>
          <w:p>
            <w:pPr>
              <w:spacing w:after="0" w:line="155" w:lineRule="exact"/>
              <w:rPr>
                <w:sz w:val="20"/>
                <w:szCs w:val="20"/>
                <w:color w:val="auto"/>
              </w:rPr>
            </w:pPr>
            <w:r>
              <w:rPr>
                <w:rFonts w:ascii="Arial" w:cs="Arial" w:eastAsia="Arial" w:hAnsi="Arial"/>
                <w:sz w:val="14"/>
                <w:szCs w:val="14"/>
                <w:color w:val="auto"/>
              </w:rPr>
              <w:t>Net loss (GAAP basis)</w:t>
            </w:r>
          </w:p>
        </w:tc>
        <w:tc>
          <w:tcPr>
            <w:tcW w:w="1460" w:type="dxa"/>
            <w:vAlign w:val="bottom"/>
            <w:vMerge w:val="continue"/>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18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50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Add back:</w:t>
            </w:r>
          </w:p>
        </w:tc>
        <w:tc>
          <w:tcPr>
            <w:tcW w:w="14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5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00" w:type="dxa"/>
            <w:vAlign w:val="bottom"/>
            <w:gridSpan w:val="2"/>
          </w:tcPr>
          <w:p>
            <w:pPr>
              <w:spacing w:after="0"/>
              <w:rPr>
                <w:sz w:val="20"/>
                <w:szCs w:val="20"/>
                <w:color w:val="auto"/>
              </w:rPr>
            </w:pPr>
            <w:r>
              <w:rPr>
                <w:rFonts w:ascii="Arial" w:cs="Arial" w:eastAsia="Arial" w:hAnsi="Arial"/>
                <w:sz w:val="14"/>
                <w:szCs w:val="14"/>
                <w:color w:val="auto"/>
              </w:rPr>
              <w:t>Provision (benefit) for income taxes</w:t>
            </w:r>
          </w:p>
        </w:tc>
        <w:tc>
          <w:tcPr>
            <w:tcW w:w="14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0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Interest expense</w:t>
            </w:r>
          </w:p>
        </w:tc>
        <w:tc>
          <w:tcPr>
            <w:tcW w:w="146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0.9</w:t>
            </w: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0.8</w:t>
            </w:r>
          </w:p>
        </w:tc>
        <w:tc>
          <w:tcPr>
            <w:tcW w:w="2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00" w:type="dxa"/>
            <w:vAlign w:val="bottom"/>
            <w:tcBorders>
              <w:bottom w:val="single" w:sz="8" w:color="CFF0FC"/>
            </w:tcBorders>
            <w:gridSpan w:val="2"/>
          </w:tcPr>
          <w:p>
            <w:pPr>
              <w:spacing w:after="0"/>
              <w:rPr>
                <w:sz w:val="20"/>
                <w:szCs w:val="20"/>
                <w:color w:val="auto"/>
              </w:rPr>
            </w:pPr>
            <w:r>
              <w:rPr>
                <w:rFonts w:ascii="Arial" w:cs="Arial" w:eastAsia="Arial" w:hAnsi="Arial"/>
                <w:sz w:val="14"/>
                <w:szCs w:val="14"/>
                <w:color w:val="auto"/>
              </w:rPr>
              <w:t>Depreciation and amortization</w:t>
            </w:r>
          </w:p>
        </w:tc>
        <w:tc>
          <w:tcPr>
            <w:tcW w:w="14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w:t>
            </w:r>
          </w:p>
        </w:tc>
        <w:tc>
          <w:tcPr>
            <w:tcW w:w="200" w:type="dxa"/>
            <w:vAlign w:val="bottom"/>
            <w:tcBorders>
              <w:bottom w:val="single" w:sz="8" w:color="CFF0FC"/>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w:t>
            </w:r>
          </w:p>
        </w:tc>
        <w:tc>
          <w:tcPr>
            <w:tcW w:w="2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500" w:type="dxa"/>
            <w:vAlign w:val="bottom"/>
            <w:tcBorders>
              <w:bottom w:val="single" w:sz="8" w:color="CFF0FC"/>
            </w:tcBorders>
            <w:gridSpan w:val="2"/>
            <w:shd w:val="clear" w:color="auto" w:fill="CFF0FC"/>
          </w:tcPr>
          <w:p>
            <w:pPr>
              <w:spacing w:after="0" w:line="155" w:lineRule="exact"/>
              <w:rPr>
                <w:sz w:val="20"/>
                <w:szCs w:val="20"/>
                <w:color w:val="auto"/>
              </w:rPr>
            </w:pPr>
            <w:r>
              <w:rPr>
                <w:rFonts w:ascii="Arial" w:cs="Arial" w:eastAsia="Arial" w:hAnsi="Arial"/>
                <w:sz w:val="14"/>
                <w:szCs w:val="14"/>
                <w:color w:val="auto"/>
              </w:rPr>
              <w:t>EBITDA (non-GAAP basis)</w:t>
            </w:r>
          </w:p>
        </w:tc>
        <w:tc>
          <w:tcPr>
            <w:tcW w:w="1460" w:type="dxa"/>
            <w:vAlign w:val="bottom"/>
            <w:tcBorders>
              <w:bottom w:val="single" w:sz="8" w:color="auto"/>
            </w:tcBorders>
            <w:shd w:val="clear" w:color="auto" w:fill="CFF0FC"/>
          </w:tcPr>
          <w:p>
            <w:pPr>
              <w:jc w:val="right"/>
              <w:ind w:right="1342"/>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5.1</w:t>
            </w:r>
          </w:p>
        </w:tc>
        <w:tc>
          <w:tcPr>
            <w:tcW w:w="20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CFF0FC"/>
            </w:tcBorders>
            <w:shd w:val="clear" w:color="auto" w:fill="CFF0FC"/>
          </w:tcPr>
          <w:p>
            <w:pPr>
              <w:spacing w:after="0"/>
              <w:rPr>
                <w:sz w:val="13"/>
                <w:szCs w:val="13"/>
                <w:color w:val="auto"/>
              </w:rPr>
            </w:pPr>
          </w:p>
        </w:tc>
        <w:tc>
          <w:tcPr>
            <w:tcW w:w="660" w:type="dxa"/>
            <w:vAlign w:val="bottom"/>
            <w:tcBorders>
              <w:bottom w:val="single" w:sz="8" w:color="auto"/>
            </w:tcBorders>
            <w:shd w:val="clear" w:color="auto" w:fill="CFF0FC"/>
          </w:tcPr>
          <w:p>
            <w:pPr>
              <w:jc w:val="right"/>
              <w:ind w:right="508"/>
              <w:spacing w:after="0" w:line="155" w:lineRule="exact"/>
              <w:rPr>
                <w:sz w:val="20"/>
                <w:szCs w:val="20"/>
                <w:color w:val="auto"/>
              </w:rPr>
            </w:pPr>
            <w:r>
              <w:rPr>
                <w:rFonts w:ascii="Arial" w:cs="Arial" w:eastAsia="Arial" w:hAnsi="Arial"/>
                <w:sz w:val="14"/>
                <w:szCs w:val="14"/>
                <w:color w:val="auto"/>
                <w:w w:val="76"/>
              </w:rPr>
              <w:t>$</w:t>
            </w:r>
          </w:p>
        </w:tc>
        <w:tc>
          <w:tcPr>
            <w:tcW w:w="15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2.5</w:t>
            </w:r>
          </w:p>
        </w:tc>
        <w:tc>
          <w:tcPr>
            <w:tcW w:w="28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GAAP TO NON-GAAP RECONCILIATION OF FREE CASH FLOW</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760" w:type="dxa"/>
            <w:vAlign w:val="bottom"/>
            <w:gridSpan w:val="4"/>
          </w:tcPr>
          <w:p>
            <w:pPr>
              <w:jc w:val="right"/>
              <w:spacing w:after="0"/>
              <w:rPr>
                <w:sz w:val="20"/>
                <w:szCs w:val="20"/>
                <w:color w:val="auto"/>
              </w:rPr>
            </w:pPr>
            <w:r>
              <w:rPr>
                <w:rFonts w:ascii="Arial" w:cs="Arial" w:eastAsia="Arial" w:hAnsi="Arial"/>
                <w:sz w:val="14"/>
                <w:szCs w:val="14"/>
                <w:color w:val="auto"/>
              </w:rPr>
              <w:t>For the three months ended</w:t>
            </w: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640" w:type="dxa"/>
            <w:vAlign w:val="bottom"/>
            <w:tcBorders>
              <w:bottom w:val="single" w:sz="8" w:color="CFF0FC"/>
            </w:tcBorders>
          </w:tcPr>
          <w:p>
            <w:pPr>
              <w:spacing w:after="0"/>
              <w:rPr>
                <w:sz w:val="20"/>
                <w:szCs w:val="20"/>
                <w:color w:val="auto"/>
              </w:rPr>
            </w:pPr>
            <w:r>
              <w:rPr>
                <w:rFonts w:ascii="Arial" w:cs="Arial" w:eastAsia="Arial" w:hAnsi="Arial"/>
                <w:sz w:val="14"/>
                <w:szCs w:val="14"/>
                <w:i w:val="1"/>
                <w:iCs w:val="1"/>
                <w:color w:val="auto"/>
              </w:rPr>
              <w:t>(in millions)</w:t>
            </w:r>
          </w:p>
        </w:tc>
        <w:tc>
          <w:tcPr>
            <w:tcW w:w="38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tcPr>
          <w:p>
            <w:pPr>
              <w:ind w:left="320"/>
              <w:spacing w:after="0"/>
              <w:rPr>
                <w:sz w:val="20"/>
                <w:szCs w:val="20"/>
                <w:color w:val="auto"/>
              </w:rPr>
            </w:pPr>
            <w:r>
              <w:rPr>
                <w:rFonts w:ascii="Arial" w:cs="Arial" w:eastAsia="Arial" w:hAnsi="Arial"/>
                <w:sz w:val="14"/>
                <w:szCs w:val="14"/>
                <w:color w:val="auto"/>
              </w:rPr>
              <w:t>May 5, 2018</w:t>
            </w:r>
          </w:p>
        </w:tc>
        <w:tc>
          <w:tcPr>
            <w:tcW w:w="36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April 29, 2017</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64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Cash flow from operating activities (GAAP basis)</w:t>
            </w:r>
          </w:p>
        </w:tc>
        <w:tc>
          <w:tcPr>
            <w:tcW w:w="380" w:type="dxa"/>
            <w:vAlign w:val="bottom"/>
            <w:shd w:val="clear" w:color="auto" w:fill="CFF0FC"/>
          </w:tcPr>
          <w:p>
            <w:pPr>
              <w:jc w:val="right"/>
              <w:ind w:right="228"/>
              <w:spacing w:after="0" w:line="155" w:lineRule="exact"/>
              <w:rPr>
                <w:sz w:val="20"/>
                <w:szCs w:val="20"/>
                <w:color w:val="auto"/>
              </w:rPr>
            </w:pPr>
            <w:r>
              <w:rPr>
                <w:rFonts w:ascii="Arial" w:cs="Arial" w:eastAsia="Arial" w:hAnsi="Arial"/>
                <w:sz w:val="14"/>
                <w:szCs w:val="14"/>
                <w:color w:val="auto"/>
                <w:w w:val="76"/>
              </w:rPr>
              <w:t>$</w:t>
            </w:r>
          </w:p>
        </w:tc>
        <w:tc>
          <w:tcPr>
            <w:tcW w:w="2140" w:type="dxa"/>
            <w:vAlign w:val="bottom"/>
            <w:gridSpan w:val="2"/>
            <w:shd w:val="clear" w:color="auto" w:fill="CFF0FC"/>
          </w:tcPr>
          <w:p>
            <w:pPr>
              <w:jc w:val="right"/>
              <w:ind w:right="320"/>
              <w:spacing w:after="0" w:line="155" w:lineRule="exact"/>
              <w:rPr>
                <w:sz w:val="20"/>
                <w:szCs w:val="20"/>
                <w:color w:val="auto"/>
              </w:rPr>
            </w:pPr>
            <w:r>
              <w:rPr>
                <w:rFonts w:ascii="Arial" w:cs="Arial" w:eastAsia="Arial" w:hAnsi="Arial"/>
                <w:sz w:val="14"/>
                <w:szCs w:val="14"/>
                <w:color w:val="auto"/>
              </w:rPr>
              <w:t>(5.8)</w:t>
            </w:r>
          </w:p>
        </w:tc>
        <w:tc>
          <w:tcPr>
            <w:tcW w:w="20" w:type="dxa"/>
            <w:vAlign w:val="bottom"/>
            <w:shd w:val="clear" w:color="auto" w:fill="CFF0FC"/>
          </w:tcPr>
          <w:p>
            <w:pPr>
              <w:spacing w:after="0"/>
              <w:rPr>
                <w:sz w:val="13"/>
                <w:szCs w:val="13"/>
                <w:color w:val="auto"/>
              </w:rPr>
            </w:pPr>
          </w:p>
        </w:tc>
        <w:tc>
          <w:tcPr>
            <w:tcW w:w="600" w:type="dxa"/>
            <w:vAlign w:val="bottom"/>
            <w:shd w:val="clear" w:color="auto" w:fill="CFF0FC"/>
          </w:tcPr>
          <w:p>
            <w:pPr>
              <w:jc w:val="right"/>
              <w:ind w:right="534"/>
              <w:spacing w:after="0"/>
              <w:rPr>
                <w:sz w:val="20"/>
                <w:szCs w:val="20"/>
                <w:color w:val="auto"/>
              </w:rPr>
            </w:pPr>
            <w:r>
              <w:rPr>
                <w:rFonts w:ascii="Arial" w:cs="Arial" w:eastAsia="Arial" w:hAnsi="Arial"/>
                <w:sz w:val="5"/>
                <w:szCs w:val="5"/>
                <w:color w:val="auto"/>
                <w:w w:val="70"/>
              </w:rPr>
              <w:t>$</w:t>
            </w:r>
          </w:p>
        </w:tc>
        <w:tc>
          <w:tcPr>
            <w:tcW w:w="1640" w:type="dxa"/>
            <w:vAlign w:val="bottom"/>
            <w:gridSpan w:val="2"/>
            <w:shd w:val="clear" w:color="auto" w:fill="CFF0FC"/>
          </w:tcPr>
          <w:p>
            <w:pPr>
              <w:jc w:val="right"/>
              <w:ind w:right="60"/>
              <w:spacing w:after="0" w:line="155" w:lineRule="exact"/>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62"/>
        </w:trPr>
        <w:tc>
          <w:tcPr>
            <w:tcW w:w="6640" w:type="dxa"/>
            <w:vAlign w:val="bottom"/>
          </w:tcPr>
          <w:p>
            <w:pPr>
              <w:spacing w:after="0"/>
              <w:rPr>
                <w:sz w:val="20"/>
                <w:szCs w:val="20"/>
                <w:color w:val="auto"/>
              </w:rPr>
            </w:pPr>
            <w:r>
              <w:rPr>
                <w:rFonts w:ascii="Arial" w:cs="Arial" w:eastAsia="Arial" w:hAnsi="Arial"/>
                <w:sz w:val="14"/>
                <w:szCs w:val="14"/>
                <w:color w:val="auto"/>
              </w:rPr>
              <w:t>Capital expenditures, infrastructure projects</w:t>
            </w:r>
          </w:p>
        </w:tc>
        <w:tc>
          <w:tcPr>
            <w:tcW w:w="380" w:type="dxa"/>
            <w:vAlign w:val="bottom"/>
          </w:tcPr>
          <w:p>
            <w:pPr>
              <w:spacing w:after="0"/>
              <w:rPr>
                <w:sz w:val="14"/>
                <w:szCs w:val="14"/>
                <w:color w:val="auto"/>
              </w:rPr>
            </w:pPr>
          </w:p>
        </w:tc>
        <w:tc>
          <w:tcPr>
            <w:tcW w:w="2140" w:type="dxa"/>
            <w:vAlign w:val="bottom"/>
            <w:gridSpan w:val="2"/>
          </w:tcPr>
          <w:p>
            <w:pPr>
              <w:jc w:val="right"/>
              <w:ind w:right="320"/>
              <w:spacing w:after="0"/>
              <w:rPr>
                <w:sz w:val="20"/>
                <w:szCs w:val="20"/>
                <w:color w:val="auto"/>
              </w:rPr>
            </w:pPr>
            <w:r>
              <w:rPr>
                <w:rFonts w:ascii="Arial" w:cs="Arial" w:eastAsia="Arial" w:hAnsi="Arial"/>
                <w:sz w:val="14"/>
                <w:szCs w:val="14"/>
                <w:color w:val="auto"/>
              </w:rPr>
              <w:t>(1.9)</w:t>
            </w: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40" w:type="dxa"/>
            <w:vAlign w:val="bottom"/>
            <w:gridSpan w:val="2"/>
          </w:tcPr>
          <w:p>
            <w:pPr>
              <w:jc w:val="right"/>
              <w:ind w:right="60"/>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62"/>
        </w:trPr>
        <w:tc>
          <w:tcPr>
            <w:tcW w:w="6640" w:type="dxa"/>
            <w:vAlign w:val="bottom"/>
            <w:shd w:val="clear" w:color="auto" w:fill="CFF0FC"/>
          </w:tcPr>
          <w:p>
            <w:pPr>
              <w:spacing w:after="0"/>
              <w:rPr>
                <w:sz w:val="20"/>
                <w:szCs w:val="20"/>
                <w:color w:val="auto"/>
              </w:rPr>
            </w:pPr>
            <w:r>
              <w:rPr>
                <w:rFonts w:ascii="Arial" w:cs="Arial" w:eastAsia="Arial" w:hAnsi="Arial"/>
                <w:sz w:val="14"/>
                <w:szCs w:val="14"/>
                <w:color w:val="auto"/>
              </w:rPr>
              <w:t>Capital expenditures for DXL stores</w:t>
            </w:r>
          </w:p>
        </w:tc>
        <w:tc>
          <w:tcPr>
            <w:tcW w:w="380" w:type="dxa"/>
            <w:vAlign w:val="bottom"/>
            <w:shd w:val="clear" w:color="auto" w:fill="CFF0FC"/>
          </w:tcPr>
          <w:p>
            <w:pPr>
              <w:spacing w:after="0"/>
              <w:rPr>
                <w:sz w:val="14"/>
                <w:szCs w:val="14"/>
                <w:color w:val="auto"/>
              </w:rPr>
            </w:pPr>
          </w:p>
        </w:tc>
        <w:tc>
          <w:tcPr>
            <w:tcW w:w="2140" w:type="dxa"/>
            <w:vAlign w:val="bottom"/>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(1.4)</w:t>
            </w:r>
          </w:p>
        </w:tc>
        <w:tc>
          <w:tcPr>
            <w:tcW w:w="2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6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20"/>
        </w:trPr>
        <w:tc>
          <w:tcPr>
            <w:tcW w:w="6640" w:type="dxa"/>
            <w:vAlign w:val="bottom"/>
            <w:vMerge w:val="restart"/>
          </w:tcPr>
          <w:p>
            <w:pPr>
              <w:ind w:left="120"/>
              <w:spacing w:after="0"/>
              <w:rPr>
                <w:sz w:val="20"/>
                <w:szCs w:val="20"/>
                <w:color w:val="auto"/>
              </w:rPr>
            </w:pPr>
            <w:r>
              <w:rPr>
                <w:rFonts w:ascii="Arial" w:cs="Arial" w:eastAsia="Arial" w:hAnsi="Arial"/>
                <w:sz w:val="14"/>
                <w:szCs w:val="14"/>
                <w:color w:val="auto"/>
              </w:rPr>
              <w:t>Free Cash Flow (non-GAAP basis)</w:t>
            </w:r>
          </w:p>
        </w:tc>
        <w:tc>
          <w:tcPr>
            <w:tcW w:w="38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40" w:type="dxa"/>
            <w:vAlign w:val="bottom"/>
            <w:vMerge w:val="continue"/>
          </w:tcPr>
          <w:p>
            <w:pPr>
              <w:spacing w:after="0"/>
              <w:rPr>
                <w:sz w:val="13"/>
                <w:szCs w:val="13"/>
                <w:color w:val="auto"/>
              </w:rPr>
            </w:pPr>
          </w:p>
        </w:tc>
        <w:tc>
          <w:tcPr>
            <w:tcW w:w="380" w:type="dxa"/>
            <w:vAlign w:val="bottom"/>
          </w:tcPr>
          <w:p>
            <w:pPr>
              <w:jc w:val="right"/>
              <w:ind w:right="228"/>
              <w:spacing w:after="0" w:line="155" w:lineRule="exact"/>
              <w:rPr>
                <w:sz w:val="20"/>
                <w:szCs w:val="20"/>
                <w:color w:val="auto"/>
              </w:rPr>
            </w:pPr>
            <w:r>
              <w:rPr>
                <w:rFonts w:ascii="Arial" w:cs="Arial" w:eastAsia="Arial" w:hAnsi="Arial"/>
                <w:sz w:val="14"/>
                <w:szCs w:val="14"/>
                <w:color w:val="auto"/>
                <w:w w:val="76"/>
              </w:rPr>
              <w:t>$</w:t>
            </w:r>
          </w:p>
        </w:tc>
        <w:tc>
          <w:tcPr>
            <w:tcW w:w="2140" w:type="dxa"/>
            <w:vAlign w:val="bottom"/>
            <w:gridSpan w:val="2"/>
          </w:tcPr>
          <w:p>
            <w:pPr>
              <w:jc w:val="right"/>
              <w:ind w:right="320"/>
              <w:spacing w:after="0" w:line="155" w:lineRule="exact"/>
              <w:rPr>
                <w:sz w:val="20"/>
                <w:szCs w:val="20"/>
                <w:color w:val="auto"/>
              </w:rPr>
            </w:pPr>
            <w:r>
              <w:rPr>
                <w:rFonts w:ascii="Arial" w:cs="Arial" w:eastAsia="Arial" w:hAnsi="Arial"/>
                <w:sz w:val="14"/>
                <w:szCs w:val="14"/>
                <w:color w:val="auto"/>
              </w:rPr>
              <w:t>(9.1)</w:t>
            </w:r>
          </w:p>
        </w:tc>
        <w:tc>
          <w:tcPr>
            <w:tcW w:w="20" w:type="dxa"/>
            <w:vAlign w:val="bottom"/>
            <w:vMerge w:val="continue"/>
          </w:tcPr>
          <w:p>
            <w:pPr>
              <w:spacing w:after="0"/>
              <w:rPr>
                <w:sz w:val="13"/>
                <w:szCs w:val="13"/>
                <w:color w:val="auto"/>
              </w:rPr>
            </w:pPr>
          </w:p>
        </w:tc>
        <w:tc>
          <w:tcPr>
            <w:tcW w:w="600" w:type="dxa"/>
            <w:vAlign w:val="bottom"/>
          </w:tcPr>
          <w:p>
            <w:pPr>
              <w:jc w:val="right"/>
              <w:ind w:right="534"/>
              <w:spacing w:after="0"/>
              <w:rPr>
                <w:sz w:val="20"/>
                <w:szCs w:val="20"/>
                <w:color w:val="auto"/>
              </w:rPr>
            </w:pPr>
            <w:r>
              <w:rPr>
                <w:rFonts w:ascii="Arial" w:cs="Arial" w:eastAsia="Arial" w:hAnsi="Arial"/>
                <w:sz w:val="5"/>
                <w:szCs w:val="5"/>
                <w:color w:val="auto"/>
                <w:w w:val="70"/>
              </w:rPr>
              <w:t>$</w:t>
            </w:r>
          </w:p>
        </w:tc>
        <w:tc>
          <w:tcPr>
            <w:tcW w:w="164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(11.5)</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56"/>
        </w:trPr>
        <w:tc>
          <w:tcPr>
            <w:tcW w:w="2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7520" w:type="dxa"/>
            <w:vAlign w:val="bottom"/>
            <w:gridSpan w:val="3"/>
          </w:tcPr>
          <w:p>
            <w:pPr>
              <w:jc w:val="right"/>
              <w:ind w:right="988"/>
              <w:spacing w:after="0"/>
              <w:rPr>
                <w:sz w:val="20"/>
                <w:szCs w:val="20"/>
                <w:color w:val="auto"/>
              </w:rPr>
            </w:pPr>
            <w:r>
              <w:rPr>
                <w:rFonts w:ascii="Arial" w:cs="Arial" w:eastAsia="Arial" w:hAnsi="Arial"/>
                <w:sz w:val="20"/>
                <w:szCs w:val="20"/>
                <w:b w:val="1"/>
                <w:bCs w:val="1"/>
                <w:color w:val="auto"/>
              </w:rPr>
              <w:t>2018 FORECAST GAAP TO NON-GAAP RECONCILIATIONS</w:t>
            </w:r>
          </w:p>
        </w:tc>
        <w:tc>
          <w:tcPr>
            <w:tcW w:w="1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1"/>
        </w:trPr>
        <w:tc>
          <w:tcPr>
            <w:tcW w:w="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840" w:type="dxa"/>
            <w:vAlign w:val="bottom"/>
          </w:tcPr>
          <w:p>
            <w:pPr>
              <w:jc w:val="right"/>
              <w:ind w:right="208"/>
              <w:spacing w:after="0"/>
              <w:rPr>
                <w:sz w:val="20"/>
                <w:szCs w:val="20"/>
                <w:color w:val="auto"/>
              </w:rPr>
            </w:pPr>
            <w:r>
              <w:rPr>
                <w:rFonts w:ascii="Arial" w:cs="Arial" w:eastAsia="Arial" w:hAnsi="Arial"/>
                <w:sz w:val="14"/>
                <w:szCs w:val="14"/>
                <w:color w:val="auto"/>
                <w:w w:val="91"/>
              </w:rPr>
              <w:t>Projected</w:t>
            </w: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2960" w:type="dxa"/>
            <w:vAlign w:val="bottom"/>
            <w:tcBorders>
              <w:bottom w:val="single" w:sz="8" w:color="auto"/>
            </w:tcBorders>
            <w:gridSpan w:val="2"/>
          </w:tcPr>
          <w:p>
            <w:pPr>
              <w:jc w:val="right"/>
              <w:ind w:right="148"/>
              <w:spacing w:after="0"/>
              <w:rPr>
                <w:sz w:val="20"/>
                <w:szCs w:val="20"/>
                <w:color w:val="auto"/>
              </w:rPr>
            </w:pPr>
            <w:r>
              <w:rPr>
                <w:rFonts w:ascii="Arial" w:cs="Arial" w:eastAsia="Arial" w:hAnsi="Arial"/>
                <w:sz w:val="14"/>
                <w:szCs w:val="14"/>
                <w:color w:val="auto"/>
              </w:rPr>
              <w:t>Fiscal 2018</w:t>
            </w:r>
          </w:p>
        </w:tc>
        <w:tc>
          <w:tcPr>
            <w:tcW w:w="18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580" w:type="dxa"/>
            <w:vAlign w:val="bottom"/>
            <w:gridSpan w:val="3"/>
          </w:tcPr>
          <w:p>
            <w:pPr>
              <w:spacing w:after="0" w:line="155" w:lineRule="exact"/>
              <w:rPr>
                <w:sz w:val="20"/>
                <w:szCs w:val="20"/>
                <w:color w:val="auto"/>
              </w:rPr>
            </w:pPr>
            <w:r>
              <w:rPr>
                <w:rFonts w:ascii="Arial" w:cs="Arial" w:eastAsia="Arial" w:hAnsi="Arial"/>
                <w:sz w:val="14"/>
                <w:szCs w:val="14"/>
                <w:i w:val="1"/>
                <w:iCs w:val="1"/>
                <w:color w:val="auto"/>
              </w:rPr>
              <w:t>(in millions, except per share data)</w:t>
            </w:r>
          </w:p>
        </w:tc>
        <w:tc>
          <w:tcPr>
            <w:tcW w:w="2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80" w:type="dxa"/>
            <w:vAlign w:val="bottom"/>
          </w:tcPr>
          <w:p>
            <w:pPr>
              <w:jc w:val="right"/>
              <w:ind w:right="628"/>
              <w:spacing w:after="0" w:line="155" w:lineRule="exact"/>
              <w:rPr>
                <w:sz w:val="20"/>
                <w:szCs w:val="20"/>
                <w:color w:val="auto"/>
              </w:rPr>
            </w:pPr>
            <w:r>
              <w:rPr>
                <w:rFonts w:ascii="Arial" w:cs="Arial" w:eastAsia="Arial" w:hAnsi="Arial"/>
                <w:sz w:val="14"/>
                <w:szCs w:val="14"/>
                <w:i w:val="1"/>
                <w:iCs w:val="1"/>
                <w:color w:val="auto"/>
              </w:rPr>
              <w:t>per diluted share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0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Net loss (GAAP basis)</w:t>
            </w:r>
          </w:p>
        </w:tc>
        <w:tc>
          <w:tcPr>
            <w:tcW w:w="4560" w:type="dxa"/>
            <w:vAlign w:val="bottom"/>
            <w:shd w:val="clear" w:color="auto" w:fill="CFF0FC"/>
          </w:tcPr>
          <w:p>
            <w:pPr>
              <w:spacing w:after="0"/>
              <w:rPr>
                <w:sz w:val="13"/>
                <w:szCs w:val="13"/>
                <w:color w:val="auto"/>
              </w:rPr>
            </w:pPr>
          </w:p>
        </w:tc>
        <w:tc>
          <w:tcPr>
            <w:tcW w:w="21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$(13.2)-$(18.2)</w:t>
            </w:r>
          </w:p>
        </w:tc>
        <w:tc>
          <w:tcPr>
            <w:tcW w:w="840" w:type="dxa"/>
            <w:vAlign w:val="bottom"/>
            <w:shd w:val="clear" w:color="auto" w:fill="CFF0FC"/>
          </w:tcPr>
          <w:p>
            <w:pPr>
              <w:spacing w:after="0"/>
              <w:rPr>
                <w:sz w:val="13"/>
                <w:szCs w:val="13"/>
                <w:color w:val="auto"/>
              </w:rPr>
            </w:pPr>
          </w:p>
        </w:tc>
        <w:tc>
          <w:tcPr>
            <w:tcW w:w="18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60" w:type="dxa"/>
            <w:vAlign w:val="bottom"/>
            <w:gridSpan w:val="2"/>
          </w:tcPr>
          <w:p>
            <w:pPr>
              <w:spacing w:after="0"/>
              <w:rPr>
                <w:sz w:val="20"/>
                <w:szCs w:val="20"/>
                <w:color w:val="auto"/>
              </w:rPr>
            </w:pPr>
            <w:r>
              <w:rPr>
                <w:rFonts w:ascii="Arial" w:cs="Arial" w:eastAsia="Arial" w:hAnsi="Arial"/>
                <w:sz w:val="14"/>
                <w:szCs w:val="14"/>
                <w:color w:val="auto"/>
              </w:rPr>
              <w:t>Add back:</w:t>
            </w:r>
          </w:p>
        </w:tc>
        <w:tc>
          <w:tcPr>
            <w:tcW w:w="2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6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Restructuring charge and CEO transition costs</w:t>
            </w:r>
          </w:p>
        </w:tc>
        <w:tc>
          <w:tcPr>
            <w:tcW w:w="2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w:t>
            </w:r>
          </w:p>
        </w:tc>
        <w:tc>
          <w:tcPr>
            <w:tcW w:w="840" w:type="dxa"/>
            <w:vAlign w:val="bottom"/>
            <w:shd w:val="clear" w:color="auto" w:fill="CFF0FC"/>
          </w:tcPr>
          <w:p>
            <w:pPr>
              <w:spacing w:after="0"/>
              <w:rPr>
                <w:sz w:val="14"/>
                <w:szCs w:val="14"/>
                <w:color w:val="auto"/>
              </w:rPr>
            </w:pPr>
          </w:p>
        </w:tc>
        <w:tc>
          <w:tcPr>
            <w:tcW w:w="18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60" w:type="dxa"/>
            <w:vAlign w:val="bottom"/>
            <w:gridSpan w:val="2"/>
          </w:tcPr>
          <w:p>
            <w:pPr>
              <w:spacing w:after="0"/>
              <w:rPr>
                <w:sz w:val="20"/>
                <w:szCs w:val="20"/>
                <w:color w:val="auto"/>
              </w:rPr>
            </w:pPr>
            <w:r>
              <w:rPr>
                <w:rFonts w:ascii="Arial" w:cs="Arial" w:eastAsia="Arial" w:hAnsi="Arial"/>
                <w:sz w:val="14"/>
                <w:szCs w:val="14"/>
                <w:color w:val="auto"/>
              </w:rPr>
              <w:t>Provision for income taxes</w:t>
            </w:r>
          </w:p>
        </w:tc>
        <w:tc>
          <w:tcPr>
            <w:tcW w:w="2120" w:type="dxa"/>
            <w:vAlign w:val="bottom"/>
          </w:tcPr>
          <w:p>
            <w:pPr>
              <w:jc w:val="right"/>
              <w:spacing w:after="0"/>
              <w:rPr>
                <w:sz w:val="20"/>
                <w:szCs w:val="20"/>
                <w:color w:val="auto"/>
              </w:rPr>
            </w:pPr>
            <w:r>
              <w:rPr>
                <w:rFonts w:ascii="Arial" w:cs="Arial" w:eastAsia="Arial" w:hAnsi="Arial"/>
                <w:sz w:val="14"/>
                <w:szCs w:val="14"/>
                <w:color w:val="auto"/>
              </w:rPr>
              <w:t>0.1</w:t>
            </w:r>
          </w:p>
        </w:tc>
        <w:tc>
          <w:tcPr>
            <w:tcW w:w="8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6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Interest expense</w:t>
            </w:r>
          </w:p>
        </w:tc>
        <w:tc>
          <w:tcPr>
            <w:tcW w:w="2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w:t>
            </w:r>
          </w:p>
        </w:tc>
        <w:tc>
          <w:tcPr>
            <w:tcW w:w="840" w:type="dxa"/>
            <w:vAlign w:val="bottom"/>
            <w:shd w:val="clear" w:color="auto" w:fill="CFF0FC"/>
          </w:tcPr>
          <w:p>
            <w:pPr>
              <w:spacing w:after="0"/>
              <w:rPr>
                <w:sz w:val="14"/>
                <w:szCs w:val="14"/>
                <w:color w:val="auto"/>
              </w:rPr>
            </w:pPr>
          </w:p>
        </w:tc>
        <w:tc>
          <w:tcPr>
            <w:tcW w:w="18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60" w:type="dxa"/>
            <w:vAlign w:val="bottom"/>
            <w:tcBorders>
              <w:bottom w:val="single" w:sz="8" w:color="CFF0FC"/>
            </w:tcBorders>
            <w:gridSpan w:val="2"/>
          </w:tcPr>
          <w:p>
            <w:pPr>
              <w:spacing w:after="0"/>
              <w:rPr>
                <w:sz w:val="20"/>
                <w:szCs w:val="20"/>
                <w:color w:val="auto"/>
              </w:rPr>
            </w:pPr>
            <w:r>
              <w:rPr>
                <w:rFonts w:ascii="Arial" w:cs="Arial" w:eastAsia="Arial" w:hAnsi="Arial"/>
                <w:sz w:val="14"/>
                <w:szCs w:val="14"/>
                <w:color w:val="auto"/>
              </w:rPr>
              <w:t>Depreciation and amortization</w:t>
            </w: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29.1</w:t>
            </w:r>
          </w:p>
        </w:tc>
        <w:tc>
          <w:tcPr>
            <w:tcW w:w="840" w:type="dxa"/>
            <w:vAlign w:val="bottom"/>
            <w:tcBorders>
              <w:bottom w:val="single" w:sz="8" w:color="CFF0FC"/>
            </w:tcBorders>
          </w:tcPr>
          <w:p>
            <w:pPr>
              <w:spacing w:after="0"/>
              <w:rPr>
                <w:sz w:val="14"/>
                <w:szCs w:val="14"/>
                <w:color w:val="auto"/>
              </w:rPr>
            </w:pPr>
          </w:p>
        </w:tc>
        <w:tc>
          <w:tcPr>
            <w:tcW w:w="18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560" w:type="dxa"/>
            <w:vAlign w:val="bottom"/>
            <w:tcBorders>
              <w:bottom w:val="single" w:sz="8" w:color="CFF0FC"/>
            </w:tcBorders>
            <w:gridSpan w:val="2"/>
            <w:shd w:val="clear" w:color="auto" w:fill="CFF0FC"/>
          </w:tcPr>
          <w:p>
            <w:pPr>
              <w:spacing w:after="0" w:line="155" w:lineRule="exact"/>
              <w:rPr>
                <w:sz w:val="20"/>
                <w:szCs w:val="20"/>
                <w:color w:val="auto"/>
              </w:rPr>
            </w:pPr>
            <w:r>
              <w:rPr>
                <w:rFonts w:ascii="Arial" w:cs="Arial" w:eastAsia="Arial" w:hAnsi="Arial"/>
                <w:sz w:val="14"/>
                <w:szCs w:val="14"/>
                <w:color w:val="auto"/>
              </w:rPr>
              <w:t>Adjusted EBITDA (non-GAAP basis)</w:t>
            </w:r>
          </w:p>
        </w:tc>
        <w:tc>
          <w:tcPr>
            <w:tcW w:w="21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$20.0-$25.0</w:t>
            </w:r>
          </w:p>
        </w:tc>
        <w:tc>
          <w:tcPr>
            <w:tcW w:w="840" w:type="dxa"/>
            <w:vAlign w:val="bottom"/>
            <w:tcBorders>
              <w:bottom w:val="single" w:sz="8" w:color="CFF0FC"/>
            </w:tcBorders>
            <w:shd w:val="clear" w:color="auto" w:fill="CFF0FC"/>
          </w:tcPr>
          <w:p>
            <w:pPr>
              <w:spacing w:after="0"/>
              <w:rPr>
                <w:sz w:val="13"/>
                <w:szCs w:val="13"/>
                <w:color w:val="auto"/>
              </w:rPr>
            </w:pPr>
          </w:p>
        </w:tc>
        <w:tc>
          <w:tcPr>
            <w:tcW w:w="188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restart"/>
          </w:tcPr>
          <w:p>
            <w:pPr>
              <w:spacing w:after="0"/>
              <w:rPr>
                <w:sz w:val="12"/>
                <w:szCs w:val="12"/>
                <w:color w:val="auto"/>
              </w:rPr>
            </w:pPr>
          </w:p>
        </w:tc>
        <w:tc>
          <w:tcPr>
            <w:tcW w:w="200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656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Net loss (GAAP basis)</w:t>
            </w:r>
          </w:p>
        </w:tc>
        <w:tc>
          <w:tcPr>
            <w:tcW w:w="2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$(13.2)-$(18.2)</w:t>
            </w:r>
          </w:p>
        </w:tc>
        <w:tc>
          <w:tcPr>
            <w:tcW w:w="840" w:type="dxa"/>
            <w:vAlign w:val="bottom"/>
            <w:shd w:val="clear" w:color="auto" w:fill="CFF0FC"/>
          </w:tcPr>
          <w:p>
            <w:pPr>
              <w:spacing w:after="0"/>
              <w:rPr>
                <w:sz w:val="14"/>
                <w:szCs w:val="14"/>
                <w:color w:val="auto"/>
              </w:rPr>
            </w:pPr>
          </w:p>
        </w:tc>
        <w:tc>
          <w:tcPr>
            <w:tcW w:w="1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$(0.27)-$(0.37)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60" w:type="dxa"/>
            <w:vAlign w:val="bottom"/>
            <w:gridSpan w:val="2"/>
          </w:tcPr>
          <w:p>
            <w:pPr>
              <w:spacing w:after="0"/>
              <w:rPr>
                <w:sz w:val="20"/>
                <w:szCs w:val="20"/>
                <w:color w:val="auto"/>
              </w:rPr>
            </w:pPr>
            <w:r>
              <w:rPr>
                <w:rFonts w:ascii="Arial" w:cs="Arial" w:eastAsia="Arial" w:hAnsi="Arial"/>
                <w:sz w:val="14"/>
                <w:szCs w:val="14"/>
                <w:color w:val="auto"/>
              </w:rPr>
              <w:t>Add back restructuring charge and CEO transition costs</w:t>
            </w:r>
          </w:p>
        </w:tc>
        <w:tc>
          <w:tcPr>
            <w:tcW w:w="2120" w:type="dxa"/>
            <w:vAlign w:val="bottom"/>
          </w:tcPr>
          <w:p>
            <w:pPr>
              <w:jc w:val="right"/>
              <w:spacing w:after="0"/>
              <w:rPr>
                <w:sz w:val="20"/>
                <w:szCs w:val="20"/>
                <w:color w:val="auto"/>
              </w:rPr>
            </w:pPr>
            <w:r>
              <w:rPr>
                <w:rFonts w:ascii="Arial" w:cs="Arial" w:eastAsia="Arial" w:hAnsi="Arial"/>
                <w:sz w:val="14"/>
                <w:szCs w:val="14"/>
                <w:color w:val="auto"/>
              </w:rPr>
              <w:t>5.9</w:t>
            </w:r>
          </w:p>
        </w:tc>
        <w:tc>
          <w:tcPr>
            <w:tcW w:w="840" w:type="dxa"/>
            <w:vAlign w:val="bottom"/>
          </w:tcPr>
          <w:p>
            <w:pPr>
              <w:spacing w:after="0"/>
              <w:rPr>
                <w:sz w:val="14"/>
                <w:szCs w:val="14"/>
                <w:color w:val="auto"/>
              </w:rPr>
            </w:pPr>
          </w:p>
        </w:tc>
        <w:tc>
          <w:tcPr>
            <w:tcW w:w="1880" w:type="dxa"/>
            <w:vAlign w:val="bottom"/>
          </w:tcPr>
          <w:p>
            <w:pPr>
              <w:jc w:val="right"/>
              <w:spacing w:after="0"/>
              <w:rPr>
                <w:sz w:val="20"/>
                <w:szCs w:val="20"/>
                <w:color w:val="auto"/>
              </w:rPr>
            </w:pPr>
            <w:r>
              <w:rPr>
                <w:rFonts w:ascii="Arial" w:cs="Arial" w:eastAsia="Arial" w:hAnsi="Arial"/>
                <w:sz w:val="14"/>
                <w:szCs w:val="14"/>
                <w:color w:val="auto"/>
              </w:rPr>
              <w:t>$0.12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6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Add back tax provision and record benefit assuming 26%</w:t>
            </w:r>
          </w:p>
        </w:tc>
        <w:tc>
          <w:tcPr>
            <w:tcW w:w="2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2.0 - 3.2</w:t>
            </w:r>
          </w:p>
        </w:tc>
        <w:tc>
          <w:tcPr>
            <w:tcW w:w="840" w:type="dxa"/>
            <w:vAlign w:val="bottom"/>
            <w:shd w:val="clear" w:color="auto" w:fill="CFF0FC"/>
          </w:tcPr>
          <w:p>
            <w:pPr>
              <w:spacing w:after="0"/>
              <w:rPr>
                <w:sz w:val="14"/>
                <w:szCs w:val="14"/>
                <w:color w:val="auto"/>
              </w:rPr>
            </w:pPr>
          </w:p>
        </w:tc>
        <w:tc>
          <w:tcPr>
            <w:tcW w:w="1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$0.04-$0.07</w:t>
            </w:r>
          </w:p>
        </w:tc>
        <w:tc>
          <w:tcPr>
            <w:tcW w:w="0" w:type="dxa"/>
            <w:vAlign w:val="bottom"/>
          </w:tcPr>
          <w:p>
            <w:pPr>
              <w:spacing w:after="0"/>
              <w:rPr>
                <w:sz w:val="1"/>
                <w:szCs w:val="1"/>
                <w:color w:val="auto"/>
              </w:rPr>
            </w:pPr>
          </w:p>
        </w:tc>
      </w:tr>
      <w:tr>
        <w:trPr>
          <w:trHeight w:val="196"/>
        </w:trPr>
        <w:tc>
          <w:tcPr>
            <w:tcW w:w="6580" w:type="dxa"/>
            <w:vAlign w:val="bottom"/>
            <w:gridSpan w:val="3"/>
          </w:tcPr>
          <w:p>
            <w:pPr>
              <w:spacing w:after="0" w:line="155" w:lineRule="exact"/>
              <w:rPr>
                <w:sz w:val="20"/>
                <w:szCs w:val="20"/>
                <w:color w:val="auto"/>
              </w:rPr>
            </w:pPr>
            <w:r>
              <w:rPr>
                <w:rFonts w:ascii="Arial" w:cs="Arial" w:eastAsia="Arial" w:hAnsi="Arial"/>
                <w:sz w:val="14"/>
                <w:szCs w:val="14"/>
                <w:color w:val="auto"/>
              </w:rPr>
              <w:t>Adjusted net loss (non-GAAP basis)</w:t>
            </w:r>
          </w:p>
        </w:tc>
        <w:tc>
          <w:tcPr>
            <w:tcW w:w="2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$(5.3) -$(9.1)</w:t>
            </w:r>
          </w:p>
        </w:tc>
        <w:tc>
          <w:tcPr>
            <w:tcW w:w="840" w:type="dxa"/>
            <w:vAlign w:val="bottom"/>
          </w:tcPr>
          <w:p>
            <w:pPr>
              <w:spacing w:after="0"/>
              <w:rPr>
                <w:sz w:val="17"/>
                <w:szCs w:val="17"/>
                <w:color w:val="auto"/>
              </w:rPr>
            </w:pPr>
          </w:p>
        </w:tc>
        <w:tc>
          <w:tcPr>
            <w:tcW w:w="1880" w:type="dxa"/>
            <w:vAlign w:val="bottom"/>
          </w:tcPr>
          <w:p>
            <w:pPr>
              <w:jc w:val="right"/>
              <w:spacing w:after="0" w:line="155" w:lineRule="exact"/>
              <w:rPr>
                <w:sz w:val="20"/>
                <w:szCs w:val="20"/>
                <w:color w:val="auto"/>
              </w:rPr>
            </w:pPr>
            <w:r>
              <w:rPr>
                <w:rFonts w:ascii="Arial" w:cs="Arial" w:eastAsia="Arial" w:hAnsi="Arial"/>
                <w:sz w:val="14"/>
                <w:szCs w:val="14"/>
                <w:color w:val="auto"/>
              </w:rPr>
              <w:t>$(0.11)-$(0.18)</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560" w:type="dxa"/>
            <w:vAlign w:val="bottom"/>
            <w:tcBorders>
              <w:top w:val="single" w:sz="8" w:color="CFF0FC"/>
            </w:tcBorders>
            <w:gridSpan w:val="2"/>
            <w:shd w:val="clear" w:color="auto" w:fill="CFF0FC"/>
          </w:tcPr>
          <w:p>
            <w:pPr>
              <w:spacing w:after="0" w:line="143" w:lineRule="exact"/>
              <w:rPr>
                <w:sz w:val="20"/>
                <w:szCs w:val="20"/>
                <w:color w:val="auto"/>
              </w:rPr>
            </w:pPr>
            <w:r>
              <w:rPr>
                <w:rFonts w:ascii="Arial" w:cs="Arial" w:eastAsia="Arial" w:hAnsi="Arial"/>
                <w:sz w:val="14"/>
                <w:szCs w:val="14"/>
                <w:color w:val="auto"/>
              </w:rPr>
              <w:t>Weighted average common shares outstanding - diluted</w:t>
            </w:r>
          </w:p>
        </w:tc>
        <w:tc>
          <w:tcPr>
            <w:tcW w:w="212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49.1</w:t>
            </w:r>
          </w:p>
        </w:tc>
        <w:tc>
          <w:tcPr>
            <w:tcW w:w="840" w:type="dxa"/>
            <w:vAlign w:val="bottom"/>
            <w:tcBorders>
              <w:top w:val="single" w:sz="8" w:color="CFF0FC"/>
            </w:tcBorders>
            <w:shd w:val="clear" w:color="auto" w:fill="CFF0FC"/>
          </w:tcPr>
          <w:p>
            <w:pPr>
              <w:spacing w:after="0"/>
              <w:rPr>
                <w:sz w:val="12"/>
                <w:szCs w:val="12"/>
                <w:color w:val="auto"/>
              </w:rPr>
            </w:pPr>
          </w:p>
        </w:tc>
        <w:tc>
          <w:tcPr>
            <w:tcW w:w="188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200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656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Cash flow from operating activities (GAAP basis)</w:t>
            </w:r>
          </w:p>
        </w:tc>
        <w:tc>
          <w:tcPr>
            <w:tcW w:w="2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$20.5 -$26.5</w:t>
            </w:r>
          </w:p>
        </w:tc>
        <w:tc>
          <w:tcPr>
            <w:tcW w:w="840" w:type="dxa"/>
            <w:vAlign w:val="bottom"/>
            <w:shd w:val="clear" w:color="auto" w:fill="CFF0FC"/>
          </w:tcPr>
          <w:p>
            <w:pPr>
              <w:spacing w:after="0"/>
              <w:rPr>
                <w:sz w:val="14"/>
                <w:szCs w:val="14"/>
                <w:color w:val="auto"/>
              </w:rPr>
            </w:pPr>
          </w:p>
        </w:tc>
        <w:tc>
          <w:tcPr>
            <w:tcW w:w="18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60" w:type="dxa"/>
            <w:vAlign w:val="bottom"/>
            <w:gridSpan w:val="2"/>
          </w:tcPr>
          <w:p>
            <w:pPr>
              <w:spacing w:after="0"/>
              <w:rPr>
                <w:sz w:val="20"/>
                <w:szCs w:val="20"/>
                <w:color w:val="auto"/>
              </w:rPr>
            </w:pPr>
            <w:r>
              <w:rPr>
                <w:rFonts w:ascii="Arial" w:cs="Arial" w:eastAsia="Arial" w:hAnsi="Arial"/>
                <w:sz w:val="14"/>
                <w:szCs w:val="14"/>
                <w:color w:val="auto"/>
              </w:rPr>
              <w:t>Capital expenditures, infrastructure projects</w:t>
            </w:r>
          </w:p>
        </w:tc>
        <w:tc>
          <w:tcPr>
            <w:tcW w:w="2960" w:type="dxa"/>
            <w:vAlign w:val="bottom"/>
            <w:gridSpan w:val="2"/>
          </w:tcPr>
          <w:p>
            <w:pPr>
              <w:jc w:val="right"/>
              <w:ind w:right="728"/>
              <w:spacing w:after="0"/>
              <w:rPr>
                <w:sz w:val="20"/>
                <w:szCs w:val="20"/>
                <w:color w:val="auto"/>
              </w:rPr>
            </w:pPr>
            <w:r>
              <w:rPr>
                <w:rFonts w:ascii="Arial" w:cs="Arial" w:eastAsia="Arial" w:hAnsi="Arial"/>
                <w:sz w:val="14"/>
                <w:szCs w:val="14"/>
                <w:color w:val="auto"/>
              </w:rPr>
              <w:t>(9.3)</w:t>
            </w:r>
          </w:p>
        </w:tc>
        <w:tc>
          <w:tcPr>
            <w:tcW w:w="1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6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Capital expenditures for DXL stores</w:t>
            </w:r>
          </w:p>
        </w:tc>
        <w:tc>
          <w:tcPr>
            <w:tcW w:w="2960" w:type="dxa"/>
            <w:vAlign w:val="bottom"/>
            <w:gridSpan w:val="2"/>
            <w:shd w:val="clear" w:color="auto" w:fill="CFF0FC"/>
          </w:tcPr>
          <w:p>
            <w:pPr>
              <w:jc w:val="right"/>
              <w:ind w:right="728"/>
              <w:spacing w:after="0"/>
              <w:rPr>
                <w:sz w:val="20"/>
                <w:szCs w:val="20"/>
                <w:color w:val="auto"/>
              </w:rPr>
            </w:pPr>
            <w:r>
              <w:rPr>
                <w:rFonts w:ascii="Arial" w:cs="Arial" w:eastAsia="Arial" w:hAnsi="Arial"/>
                <w:sz w:val="14"/>
                <w:szCs w:val="14"/>
                <w:color w:val="auto"/>
              </w:rPr>
              <w:t>(2.1)</w:t>
            </w:r>
          </w:p>
        </w:tc>
        <w:tc>
          <w:tcPr>
            <w:tcW w:w="18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560" w:type="dxa"/>
            <w:vAlign w:val="bottom"/>
            <w:gridSpan w:val="2"/>
          </w:tcPr>
          <w:p>
            <w:pPr>
              <w:ind w:left="100"/>
              <w:spacing w:after="0" w:line="155" w:lineRule="exact"/>
              <w:rPr>
                <w:sz w:val="20"/>
                <w:szCs w:val="20"/>
                <w:color w:val="auto"/>
              </w:rPr>
            </w:pPr>
            <w:r>
              <w:rPr>
                <w:rFonts w:ascii="Arial" w:cs="Arial" w:eastAsia="Arial" w:hAnsi="Arial"/>
                <w:sz w:val="14"/>
                <w:szCs w:val="14"/>
                <w:color w:val="auto"/>
              </w:rPr>
              <w:t>Free Cash Flow (non-GAAP basis)</w:t>
            </w:r>
          </w:p>
        </w:tc>
        <w:tc>
          <w:tcPr>
            <w:tcW w:w="2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$9.1-$15.1</w:t>
            </w:r>
          </w:p>
        </w:tc>
        <w:tc>
          <w:tcPr>
            <w:tcW w:w="84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2019-12-28T21:36:11Z</dcterms:created>
  <dcterms:modified xsi:type="dcterms:W3CDTF">2019-12-28T21:36:11Z</dcterms:modified>
</cp:coreProperties>
</file>