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798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9869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MESDAG WILLEM</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20"/>
        <w:spacing w:after="0" w:line="275" w:lineRule="auto"/>
        <w:rPr>
          <w:sz w:val="20"/>
          <w:szCs w:val="20"/>
          <w:color w:val="auto"/>
        </w:rPr>
      </w:pPr>
      <w:r>
        <w:rPr>
          <w:rFonts w:ascii="Times New Roman" w:cs="Times New Roman" w:eastAsia="Times New Roman" w:hAnsi="Times New Roman"/>
          <w:sz w:val="17"/>
          <w:szCs w:val="17"/>
          <w:color w:val="0000FF"/>
        </w:rPr>
        <w:t>C/O RED MOUNTAIN CAPITAL MANAGEMENT, INC</w:t>
      </w:r>
    </w:p>
    <w:p>
      <w:pPr>
        <w:spacing w:after="0" w:line="1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10100 SANTA MONICA BOULEVARD, SUITE 925</w:t>
      </w:r>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00" w:type="dxa"/>
            <w:vAlign w:val="bottom"/>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r>
      <w:tr>
        <w:trPr>
          <w:trHeight w:val="227"/>
        </w:trPr>
        <w:tc>
          <w:tcPr>
            <w:tcW w:w="2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LOS ANGELES  CA</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90067</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7"/>
        </w:trPr>
        <w:tc>
          <w:tcPr>
            <w:tcW w:w="3840" w:type="dxa"/>
            <w:vAlign w:val="bottom"/>
            <w:gridSpan w:val="4"/>
          </w:tcPr>
          <w:p>
            <w:pPr>
              <w:ind w:left="60"/>
              <w:spacing w:after="0" w:line="21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48"/>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8" w:lineRule="exact"/>
              <w:rPr>
                <w:sz w:val="20"/>
                <w:szCs w:val="20"/>
                <w:color w:val="auto"/>
              </w:rPr>
            </w:pPr>
            <w:r>
              <w:rPr>
                <w:rFonts w:ascii="Arial" w:cs="Arial" w:eastAsia="Arial" w:hAnsi="Arial"/>
                <w:sz w:val="13"/>
                <w:szCs w:val="13"/>
                <w:color w:val="auto"/>
              </w:rPr>
              <w:t>10% Owner</w:t>
            </w:r>
          </w:p>
        </w:tc>
      </w:tr>
      <w:tr>
        <w:trPr>
          <w:trHeight w:val="170"/>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7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05/04/2026</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720" w:space="120"/>
            <w:col w:w="7240"/>
          </w:cols>
          <w:pgMar w:left="460" w:top="216" w:right="359" w:bottom="1440" w:gutter="0" w:footer="0" w:header="0"/>
          <w:type w:val="continuous"/>
        </w:sectPr>
      </w:pPr>
    </w:p>
    <w:p>
      <w:pPr>
        <w:spacing w:after="0" w:line="4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2,593,758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06"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0.621</w:t>
            </w:r>
            <w:r>
              <w:rPr>
                <w:rFonts w:ascii="Times New Roman" w:cs="Times New Roman" w:eastAsia="Times New Roman" w:hAnsi="Times New Roman"/>
                <w:sz w:val="21"/>
                <w:szCs w:val="21"/>
                <w:color w:val="008000"/>
                <w:vertAlign w:val="superscript"/>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58,373</w:t>
            </w:r>
            <w:r>
              <w:rPr>
                <w:rFonts w:ascii="Times New Roman" w:cs="Times New Roman" w:eastAsia="Times New Roman" w:hAnsi="Times New Roman"/>
                <w:sz w:val="21"/>
                <w:szCs w:val="21"/>
                <w:color w:val="008000"/>
                <w:vertAlign w:val="superscript"/>
              </w:rPr>
              <w:t>(4)</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58,373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3"/>
                <w:szCs w:val="13"/>
                <w:color w:val="auto"/>
              </w:rPr>
            </w:pP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05/04/2026</w:t>
            </w:r>
          </w:p>
        </w:tc>
        <w:tc>
          <w:tcPr>
            <w:tcW w:w="1100" w:type="dxa"/>
            <w:vAlign w:val="bottom"/>
          </w:tcPr>
          <w:p>
            <w:pPr>
              <w:spacing w:after="0"/>
              <w:rPr>
                <w:sz w:val="13"/>
                <w:szCs w:val="13"/>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700,804</w:t>
            </w:r>
          </w:p>
        </w:tc>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-1843405</wp:posOffset>
            </wp:positionV>
            <wp:extent cx="29210" cy="1849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91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jc w:val="both"/>
        <w:ind w:left="40" w:right="280"/>
        <w:spacing w:after="0" w:line="23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(DSUs) issued pursuant to the Director's elected form of compensation for quarterly annual retainer and committee chairperson fee.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 share value is determined by the closing price of the Company's common stock on May 1, 2026.</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DSU is credited to the Reporting Person under the Company's Director Plan (the "Director Plan"). Each DSU represents ownership equivalent to one share of the Company's common stock.</w:t>
      </w:r>
    </w:p>
    <w:p>
      <w:pPr>
        <w:spacing w:after="0" w:line="41" w:lineRule="exact"/>
        <w:rPr>
          <w:rFonts w:ascii="Times New Roman" w:cs="Times New Roman" w:eastAsia="Times New Roman" w:hAnsi="Times New Roman"/>
          <w:sz w:val="13"/>
          <w:szCs w:val="13"/>
          <w:color w:val="008000"/>
        </w:rPr>
      </w:pPr>
    </w:p>
    <w:p>
      <w:pPr>
        <w:ind w:left="40" w:right="62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DSUs credited under the Director Plan are payable in the form elected or provided under the Director Plan on the earlier of (i) the Reporting Person's date of separation of service, or (ii) upon death, disability or change in control as defined in the Director Plan.</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Willem Mesdag (on behalf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242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himself and the Other</w:t>
      </w:r>
      <w:r>
        <w:rPr>
          <w:sz w:val="20"/>
          <w:szCs w:val="20"/>
          <w:color w:val="auto"/>
        </w:rPr>
        <w:tab/>
      </w:r>
      <w:r>
        <w:rPr>
          <w:rFonts w:ascii="Times New Roman" w:cs="Times New Roman" w:eastAsia="Times New Roman" w:hAnsi="Times New Roman"/>
          <w:sz w:val="16"/>
          <w:szCs w:val="16"/>
          <w:color w:val="0000FF"/>
        </w:rPr>
        <w:t>05/06/2026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73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810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1026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4566"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2026-05-06T15:28:08Z</dcterms:created>
  <dcterms:modified xsi:type="dcterms:W3CDTF">2026-05-06T15:28:08Z</dcterms:modified>
</cp:coreProperties>
</file>