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December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67" w:lineRule="exact"/>
        <w:rPr>
          <w:sz w:val="24"/>
          <w:szCs w:val="24"/>
          <w:color w:val="auto"/>
        </w:rPr>
      </w:pPr>
    </w:p>
    <w:tbl>
      <w:tblPr>
        <w:tblLayout w:type="fixed"/>
        <w:tblInd w:w="1160" w:type="dxa"/>
        <w:tblCellMar>
          <w:top w:w="0" w:type="dxa"/>
          <w:left w:w="0" w:type="dxa"/>
          <w:bottom w:w="0" w:type="dxa"/>
          <w:right w:w="0" w:type="dxa"/>
        </w:tblCellMar>
      </w:tblPr>
      <w:tr>
        <w:trPr>
          <w:trHeight w:val="248"/>
        </w:trPr>
        <w:tc>
          <w:tcPr>
            <w:tcW w:w="3340" w:type="dxa"/>
            <w:vAlign w:val="bottom"/>
          </w:tcPr>
          <w:p>
            <w:pPr>
              <w:jc w:val="center"/>
              <w:ind w:right="941"/>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681"/>
              <w:spacing w:after="0"/>
              <w:rPr>
                <w:sz w:val="20"/>
                <w:szCs w:val="20"/>
                <w:color w:val="auto"/>
              </w:rPr>
            </w:pPr>
            <w:r>
              <w:rPr>
                <w:rFonts w:ascii="Arial" w:cs="Arial" w:eastAsia="Arial" w:hAnsi="Arial"/>
                <w:sz w:val="18"/>
                <w:szCs w:val="18"/>
                <w:b w:val="1"/>
                <w:bCs w:val="1"/>
                <w:color w:val="auto"/>
              </w:rPr>
              <w:t>01-34219</w:t>
            </w:r>
          </w:p>
        </w:tc>
        <w:tc>
          <w:tcPr>
            <w:tcW w:w="2720" w:type="dxa"/>
            <w:vAlign w:val="bottom"/>
          </w:tcPr>
          <w:p>
            <w:pPr>
              <w:jc w:val="right"/>
              <w:ind w:right="4"/>
              <w:spacing w:after="0"/>
              <w:rPr>
                <w:sz w:val="20"/>
                <w:szCs w:val="20"/>
                <w:color w:val="auto"/>
              </w:rPr>
            </w:pPr>
            <w:r>
              <w:rPr>
                <w:rFonts w:ascii="Arial" w:cs="Arial" w:eastAsia="Arial" w:hAnsi="Arial"/>
                <w:sz w:val="18"/>
                <w:szCs w:val="18"/>
                <w:b w:val="1"/>
                <w:bCs w:val="1"/>
                <w:color w:val="auto"/>
              </w:rPr>
              <w:t>04-2623104</w:t>
            </w:r>
          </w:p>
        </w:tc>
      </w:tr>
      <w:tr>
        <w:trPr>
          <w:trHeight w:val="184"/>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5"/>
              </w:rPr>
              <w:t>(Commission File Number)</w:t>
            </w:r>
          </w:p>
        </w:tc>
        <w:tc>
          <w:tcPr>
            <w:tcW w:w="2720" w:type="dxa"/>
            <w:vAlign w:val="bottom"/>
          </w:tcPr>
          <w:p>
            <w:pPr>
              <w:jc w:val="center"/>
              <w:ind w:left="1604"/>
              <w:spacing w:after="0"/>
              <w:rPr>
                <w:sz w:val="20"/>
                <w:szCs w:val="20"/>
                <w:color w:val="auto"/>
              </w:rPr>
            </w:pPr>
            <w:r>
              <w:rPr>
                <w:rFonts w:ascii="Arial" w:cs="Arial" w:eastAsia="Arial" w:hAnsi="Arial"/>
                <w:sz w:val="13"/>
                <w:szCs w:val="13"/>
                <w:b w:val="1"/>
                <w:bCs w:val="1"/>
                <w:color w:val="auto"/>
                <w:w w:val="98"/>
              </w:rPr>
              <w:t>(IRS Employer</w:t>
            </w:r>
          </w:p>
        </w:tc>
      </w:tr>
      <w:tr>
        <w:trPr>
          <w:trHeight w:val="175"/>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20" w:type="dxa"/>
            <w:vAlign w:val="bottom"/>
          </w:tcPr>
          <w:p>
            <w:pPr>
              <w:jc w:val="center"/>
              <w:ind w:left="1584"/>
              <w:spacing w:after="0"/>
              <w:rPr>
                <w:sz w:val="20"/>
                <w:szCs w:val="20"/>
                <w:color w:val="auto"/>
              </w:rPr>
            </w:pPr>
            <w:r>
              <w:rPr>
                <w:rFonts w:ascii="Arial" w:cs="Arial" w:eastAsia="Arial" w:hAnsi="Arial"/>
                <w:sz w:val="13"/>
                <w:szCs w:val="13"/>
                <w:b w:val="1"/>
                <w:bCs w:val="1"/>
                <w:color w:val="auto"/>
                <w:w w:val="96"/>
              </w:rPr>
              <w:t>Identification No.)</w:t>
            </w:r>
          </w:p>
        </w:tc>
      </w:tr>
      <w:tr>
        <w:trPr>
          <w:trHeight w:val="487"/>
        </w:trPr>
        <w:tc>
          <w:tcPr>
            <w:tcW w:w="3340" w:type="dxa"/>
            <w:vAlign w:val="bottom"/>
          </w:tcPr>
          <w:p>
            <w:pPr>
              <w:jc w:val="center"/>
              <w:ind w:right="941"/>
              <w:spacing w:after="0"/>
              <w:rPr>
                <w:sz w:val="20"/>
                <w:szCs w:val="20"/>
                <w:color w:val="auto"/>
              </w:rPr>
            </w:pPr>
            <w:r>
              <w:rPr>
                <w:rFonts w:ascii="Arial" w:cs="Arial" w:eastAsia="Arial" w:hAnsi="Arial"/>
                <w:sz w:val="18"/>
                <w:szCs w:val="18"/>
                <w:b w:val="1"/>
                <w:bCs w:val="1"/>
                <w:color w:val="auto"/>
                <w:w w:val="90"/>
              </w:rPr>
              <w:t>555 Turnpike Street</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43"/>
        </w:trPr>
        <w:tc>
          <w:tcPr>
            <w:tcW w:w="3340" w:type="dxa"/>
            <w:vAlign w:val="bottom"/>
          </w:tcPr>
          <w:p>
            <w:pPr>
              <w:jc w:val="center"/>
              <w:ind w:right="941"/>
              <w:spacing w:after="0"/>
              <w:rPr>
                <w:sz w:val="20"/>
                <w:szCs w:val="20"/>
                <w:color w:val="auto"/>
              </w:rPr>
            </w:pPr>
            <w:r>
              <w:rPr>
                <w:rFonts w:ascii="Arial" w:cs="Arial" w:eastAsia="Arial" w:hAnsi="Arial"/>
                <w:sz w:val="18"/>
                <w:szCs w:val="18"/>
                <w:b w:val="1"/>
                <w:bCs w:val="1"/>
                <w:color w:val="auto"/>
                <w:w w:val="87"/>
              </w:rPr>
              <w:t>Canton, Massachusetts</w:t>
            </w:r>
          </w:p>
        </w:tc>
        <w:tc>
          <w:tcPr>
            <w:tcW w:w="2240" w:type="dxa"/>
            <w:vAlign w:val="bottom"/>
          </w:tcPr>
          <w:p>
            <w:pPr>
              <w:spacing w:after="0"/>
              <w:rPr>
                <w:sz w:val="21"/>
                <w:szCs w:val="21"/>
                <w:color w:val="auto"/>
              </w:rPr>
            </w:pPr>
          </w:p>
        </w:tc>
        <w:tc>
          <w:tcPr>
            <w:tcW w:w="2720" w:type="dxa"/>
            <w:vAlign w:val="bottom"/>
          </w:tcPr>
          <w:p>
            <w:pPr>
              <w:jc w:val="right"/>
              <w:ind w:right="224"/>
              <w:spacing w:after="0"/>
              <w:rPr>
                <w:sz w:val="20"/>
                <w:szCs w:val="20"/>
                <w:color w:val="auto"/>
              </w:rPr>
            </w:pPr>
            <w:r>
              <w:rPr>
                <w:rFonts w:ascii="Arial" w:cs="Arial" w:eastAsia="Arial" w:hAnsi="Arial"/>
                <w:sz w:val="18"/>
                <w:szCs w:val="18"/>
                <w:b w:val="1"/>
                <w:bCs w:val="1"/>
                <w:color w:val="auto"/>
              </w:rPr>
              <w:t>02021</w:t>
            </w:r>
          </w:p>
        </w:tc>
      </w:tr>
      <w:tr>
        <w:trPr>
          <w:trHeight w:val="188"/>
        </w:trPr>
        <w:tc>
          <w:tcPr>
            <w:tcW w:w="3340" w:type="dxa"/>
            <w:vAlign w:val="bottom"/>
          </w:tcPr>
          <w:p>
            <w:pPr>
              <w:jc w:val="center"/>
              <w:ind w:right="94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6"/>
                <w:szCs w:val="16"/>
                <w:color w:val="auto"/>
              </w:rPr>
            </w:pPr>
          </w:p>
        </w:tc>
        <w:tc>
          <w:tcPr>
            <w:tcW w:w="2720" w:type="dxa"/>
            <w:vAlign w:val="bottom"/>
          </w:tcPr>
          <w:p>
            <w:pPr>
              <w:jc w:val="center"/>
              <w:ind w:left="1604"/>
              <w:spacing w:after="0"/>
              <w:rPr>
                <w:sz w:val="20"/>
                <w:szCs w:val="20"/>
                <w:color w:val="auto"/>
              </w:rPr>
            </w:pPr>
            <w:r>
              <w:rPr>
                <w:rFonts w:ascii="Arial" w:cs="Arial" w:eastAsia="Arial" w:hAnsi="Arial"/>
                <w:sz w:val="13"/>
                <w:szCs w:val="13"/>
                <w:b w:val="1"/>
                <w:bCs w:val="1"/>
                <w:color w:val="auto"/>
                <w:w w:val="99"/>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5" w:lineRule="exact"/>
        <w:rPr>
          <w:sz w:val="24"/>
          <w:szCs w:val="24"/>
          <w:color w:val="auto"/>
        </w:rPr>
      </w:pPr>
    </w:p>
    <w:p>
      <w:pPr>
        <w:ind w:right="6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3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28" w:lineRule="exact"/>
        <w:rPr>
          <w:sz w:val="24"/>
          <w:szCs w:val="24"/>
          <w:color w:val="auto"/>
        </w:rPr>
      </w:pPr>
    </w:p>
    <w:p>
      <w:pPr>
        <w:ind w:right="48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35" w:lineRule="exact"/>
        <w:rPr>
          <w:sz w:val="20"/>
          <w:szCs w:val="20"/>
          <w:color w:val="auto"/>
        </w:rPr>
      </w:pPr>
    </w:p>
    <w:p>
      <w:pPr>
        <w:jc w:val="both"/>
        <w:ind w:right="40"/>
        <w:spacing w:after="0" w:line="319" w:lineRule="auto"/>
        <w:rPr>
          <w:sz w:val="20"/>
          <w:szCs w:val="20"/>
          <w:color w:val="auto"/>
        </w:rPr>
      </w:pPr>
      <w:r>
        <w:rPr>
          <w:rFonts w:ascii="Arial" w:cs="Arial" w:eastAsia="Arial" w:hAnsi="Arial"/>
          <w:sz w:val="16"/>
          <w:szCs w:val="16"/>
          <w:color w:val="auto"/>
        </w:rPr>
        <w:t>Harvey Kanter, President and Chief Executive Officer of Destination XL Group, Inc. (the “Company”), has entered into a stock trading plan (the “Trading Plan”), in accordance with Rule 10b5-1 under the Securities Exchange Act of 1934, as amended (the “Exchange Act”), and the Company’s insider trading policy. Under Rule 10b5–1, directors, officers and other employees of public companies who are not in possession of material non–public information may adopt a pre–arranged plan or contract providing for the sale of their company’s securities under specified conditions and at specified times.</w:t>
      </w:r>
    </w:p>
    <w:p>
      <w:pPr>
        <w:spacing w:after="0" w:line="169"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Trading Plan pertains only to the remaining unvested tranche of the performance share units (“PSUs”) awarded to Mr. Kanter when he joined the Company, which is 240,000 PSUs. The Trading Plan is solely for the sale of up to 240,000 shares of the Company’s common stock that may be received upon vesting of the remaining PSUs, and is effective until March 16, 2022, unless earlier terminated pursuant to its terms. Transactions made under the Trading Plan will be disclosed publicly by Mr. Kanter through Form 4 filings with the Securities and Exchange Commission. The Company does not undertake any obligation to report any trading plans that may be adopted by any officers or directors in the future, or to report any modification or termination of the Trading Plan or any other trading plan, whether or not the trading plan was publicly announced, except to the extent required by law.</w:t>
      </w:r>
    </w:p>
    <w:p>
      <w:pPr>
        <w:spacing w:after="0" w:line="176"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In addition, Mr. Kanter gifted 605,673 shares of the Company’s common stock to an irrevocable trust for the benefit of his family (the “Trust”). Mr. Kanter did not retain any ownership, dominion or control over the shares transferred to the Trust, and he is not a trustee or beneficiary of the Trust. Mr. Kanter transferred shares to the Trust and adopted the Trading Plan for estate and financial planning purposes and long-term investment diversification.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Destination XL Group, Inc.</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Robert S. Molloy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2021-12-10T15:37:01Z</dcterms:created>
  <dcterms:modified xsi:type="dcterms:W3CDTF">2021-12-10T15:37:01Z</dcterms:modified>
</cp:coreProperties>
</file>