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158750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186690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July 31, 2004</w:t>
      </w:r>
    </w:p>
    <w:p>
      <w:pPr>
        <w:spacing w:after="0" w:line="15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Number 0-15898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177800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CASUAL MALE RETAIL GROUP, INC.</w:t>
      </w:r>
    </w:p>
    <w:p>
      <w:pPr>
        <w:spacing w:after="0" w:line="49"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154940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1500" w:type="dxa"/>
        <w:tblCellMar>
          <w:top w:w="0" w:type="dxa"/>
          <w:left w:w="0" w:type="dxa"/>
          <w:bottom w:w="0" w:type="dxa"/>
          <w:right w:w="0" w:type="dxa"/>
        </w:tblCellMar>
      </w:tblPr>
      <w:tr>
        <w:trPr>
          <w:trHeight w:val="218"/>
        </w:trPr>
        <w:tc>
          <w:tcPr>
            <w:tcW w:w="2600" w:type="dxa"/>
            <w:vAlign w:val="bottom"/>
          </w:tcPr>
          <w:p>
            <w:pPr>
              <w:jc w:val="center"/>
              <w:ind w:right="24"/>
              <w:spacing w:after="0"/>
              <w:rPr>
                <w:sz w:val="20"/>
                <w:szCs w:val="20"/>
                <w:color w:val="auto"/>
              </w:rPr>
            </w:pPr>
            <w:r>
              <w:rPr>
                <w:rFonts w:ascii="Arial" w:cs="Arial" w:eastAsia="Arial" w:hAnsi="Arial"/>
                <w:sz w:val="18"/>
                <w:szCs w:val="18"/>
                <w:b w:val="1"/>
                <w:bCs w:val="1"/>
                <w:color w:val="auto"/>
                <w:w w:val="88"/>
              </w:rPr>
              <w:t>Delaware</w:t>
            </w:r>
          </w:p>
        </w:tc>
        <w:tc>
          <w:tcPr>
            <w:tcW w:w="5160" w:type="dxa"/>
            <w:vAlign w:val="bottom"/>
          </w:tcPr>
          <w:p>
            <w:pPr>
              <w:jc w:val="right"/>
              <w:ind w:right="24"/>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26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160" w:type="dxa"/>
            <w:vAlign w:val="bottom"/>
          </w:tcPr>
          <w:p>
            <w:pPr>
              <w:jc w:val="center"/>
              <w:ind w:left="40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600" w:type="dxa"/>
            <w:vAlign w:val="bottom"/>
          </w:tcPr>
          <w:p>
            <w:pPr>
              <w:jc w:val="center"/>
              <w:ind w:right="24"/>
              <w:spacing w:after="0"/>
              <w:rPr>
                <w:sz w:val="20"/>
                <w:szCs w:val="20"/>
                <w:color w:val="auto"/>
              </w:rPr>
            </w:pPr>
            <w:r>
              <w:rPr>
                <w:rFonts w:ascii="Arial" w:cs="Arial" w:eastAsia="Arial" w:hAnsi="Arial"/>
                <w:sz w:val="14"/>
                <w:szCs w:val="14"/>
                <w:b w:val="1"/>
                <w:bCs w:val="1"/>
                <w:color w:val="auto"/>
                <w:w w:val="89"/>
              </w:rPr>
              <w:t>incorporation or organization)</w:t>
            </w:r>
          </w:p>
        </w:tc>
        <w:tc>
          <w:tcPr>
            <w:tcW w:w="5160" w:type="dxa"/>
            <w:vAlign w:val="bottom"/>
          </w:tcPr>
          <w:p>
            <w:pPr>
              <w:jc w:val="center"/>
              <w:ind w:left="4044"/>
              <w:spacing w:after="0"/>
              <w:rPr>
                <w:sz w:val="20"/>
                <w:szCs w:val="20"/>
                <w:color w:val="auto"/>
              </w:rPr>
            </w:pPr>
            <w:r>
              <w:rPr>
                <w:rFonts w:ascii="Arial" w:cs="Arial" w:eastAsia="Arial" w:hAnsi="Arial"/>
                <w:sz w:val="14"/>
                <w:szCs w:val="14"/>
                <w:b w:val="1"/>
                <w:bCs w:val="1"/>
                <w:color w:val="auto"/>
                <w:w w:val="87"/>
              </w:rPr>
              <w:t>Identification No.)</w:t>
            </w:r>
          </w:p>
        </w:tc>
      </w:tr>
      <w:tr>
        <w:trPr>
          <w:trHeight w:val="352"/>
        </w:trPr>
        <w:tc>
          <w:tcPr>
            <w:tcW w:w="2600" w:type="dxa"/>
            <w:vAlign w:val="bottom"/>
          </w:tcPr>
          <w:p>
            <w:pPr>
              <w:jc w:val="center"/>
              <w:ind w:right="24"/>
              <w:spacing w:after="0"/>
              <w:rPr>
                <w:sz w:val="20"/>
                <w:szCs w:val="20"/>
                <w:color w:val="auto"/>
              </w:rPr>
            </w:pPr>
            <w:r>
              <w:rPr>
                <w:rFonts w:ascii="Arial" w:cs="Arial" w:eastAsia="Arial" w:hAnsi="Arial"/>
                <w:sz w:val="18"/>
                <w:szCs w:val="18"/>
                <w:b w:val="1"/>
                <w:bCs w:val="1"/>
                <w:color w:val="auto"/>
                <w:w w:val="90"/>
              </w:rPr>
              <w:t>555 Turnpike Street, Canton, MA</w:t>
            </w:r>
          </w:p>
        </w:tc>
        <w:tc>
          <w:tcPr>
            <w:tcW w:w="5160" w:type="dxa"/>
            <w:vAlign w:val="bottom"/>
          </w:tcPr>
          <w:p>
            <w:pPr>
              <w:jc w:val="right"/>
              <w:ind w:right="224"/>
              <w:spacing w:after="0"/>
              <w:rPr>
                <w:sz w:val="20"/>
                <w:szCs w:val="20"/>
                <w:color w:val="auto"/>
              </w:rPr>
            </w:pPr>
            <w:r>
              <w:rPr>
                <w:rFonts w:ascii="Arial" w:cs="Arial" w:eastAsia="Arial" w:hAnsi="Arial"/>
                <w:sz w:val="18"/>
                <w:szCs w:val="18"/>
                <w:b w:val="1"/>
                <w:bCs w:val="1"/>
                <w:color w:val="auto"/>
              </w:rPr>
              <w:t>02021</w:t>
            </w:r>
          </w:p>
        </w:tc>
      </w:tr>
      <w:tr>
        <w:trPr>
          <w:trHeight w:val="174"/>
        </w:trPr>
        <w:tc>
          <w:tcPr>
            <w:tcW w:w="2600" w:type="dxa"/>
            <w:vAlign w:val="bottom"/>
          </w:tcPr>
          <w:p>
            <w:pPr>
              <w:jc w:val="center"/>
              <w:ind w:right="24"/>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5160" w:type="dxa"/>
            <w:vAlign w:val="bottom"/>
          </w:tcPr>
          <w:p>
            <w:pPr>
              <w:jc w:val="center"/>
              <w:ind w:left="4044"/>
              <w:spacing w:after="0"/>
              <w:rPr>
                <w:sz w:val="20"/>
                <w:szCs w:val="20"/>
                <w:color w:val="auto"/>
              </w:rPr>
            </w:pPr>
            <w:r>
              <w:rPr>
                <w:rFonts w:ascii="Arial" w:cs="Arial" w:eastAsia="Arial" w:hAnsi="Arial"/>
                <w:sz w:val="14"/>
                <w:szCs w:val="14"/>
                <w:b w:val="1"/>
                <w:bCs w:val="1"/>
                <w:color w:val="auto"/>
                <w:w w:val="92"/>
              </w:rPr>
              <w:t>(Zip Code)</w:t>
            </w:r>
          </w:p>
        </w:tc>
      </w:tr>
      <w:tr>
        <w:trPr>
          <w:trHeight w:val="339"/>
        </w:trPr>
        <w:tc>
          <w:tcPr>
            <w:tcW w:w="2600" w:type="dxa"/>
            <w:vAlign w:val="bottom"/>
          </w:tcPr>
          <w:p>
            <w:pPr>
              <w:spacing w:after="0"/>
              <w:rPr>
                <w:sz w:val="24"/>
                <w:szCs w:val="24"/>
                <w:color w:val="auto"/>
              </w:rPr>
            </w:pPr>
          </w:p>
        </w:tc>
        <w:tc>
          <w:tcPr>
            <w:tcW w:w="5160" w:type="dxa"/>
            <w:vAlign w:val="bottom"/>
          </w:tcPr>
          <w:p>
            <w:pPr>
              <w:jc w:val="right"/>
              <w:ind w:right="2924"/>
              <w:spacing w:after="0"/>
              <w:rPr>
                <w:sz w:val="20"/>
                <w:szCs w:val="20"/>
                <w:color w:val="auto"/>
              </w:rPr>
            </w:pPr>
            <w:r>
              <w:rPr>
                <w:rFonts w:ascii="Arial" w:cs="Arial" w:eastAsia="Arial" w:hAnsi="Arial"/>
                <w:sz w:val="18"/>
                <w:szCs w:val="18"/>
                <w:b w:val="1"/>
                <w:bCs w:val="1"/>
                <w:color w:val="auto"/>
              </w:rPr>
              <w:t>(781) 828-9300</w:t>
            </w:r>
          </w:p>
        </w:tc>
      </w:tr>
      <w:tr>
        <w:trPr>
          <w:trHeight w:val="174"/>
        </w:trPr>
        <w:tc>
          <w:tcPr>
            <w:tcW w:w="2600" w:type="dxa"/>
            <w:vAlign w:val="bottom"/>
          </w:tcPr>
          <w:p>
            <w:pPr>
              <w:spacing w:after="0"/>
              <w:rPr>
                <w:sz w:val="15"/>
                <w:szCs w:val="15"/>
                <w:color w:val="auto"/>
              </w:rPr>
            </w:pPr>
          </w:p>
        </w:tc>
        <w:tc>
          <w:tcPr>
            <w:tcW w:w="5160" w:type="dxa"/>
            <w:vAlign w:val="bottom"/>
          </w:tcPr>
          <w:p>
            <w:pPr>
              <w:jc w:val="center"/>
              <w:ind w:right="186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154940</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spacing w:after="0" w:line="225" w:lineRule="exact"/>
        <w:rPr>
          <w:sz w:val="20"/>
          <w:szCs w:val="20"/>
          <w:color w:val="auto"/>
        </w:rPr>
      </w:pPr>
      <w:r>
        <w:rPr>
          <w:rFonts w:ascii="Arial" w:cs="Arial" w:eastAsia="Arial" w:hAnsi="Arial"/>
          <w:sz w:val="18"/>
          <w:szCs w:val="18"/>
          <w:color w:val="auto"/>
        </w:rPr>
        <w:t xml:space="preserve">Indicate by “X”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2" w:lineRule="exact"/>
        <w:rPr>
          <w:sz w:val="24"/>
          <w:szCs w:val="24"/>
          <w:color w:val="auto"/>
        </w:rPr>
      </w:pPr>
    </w:p>
    <w:p>
      <w:pPr>
        <w:ind w:right="2260"/>
        <w:spacing w:after="0" w:line="310" w:lineRule="exact"/>
        <w:rPr>
          <w:sz w:val="20"/>
          <w:szCs w:val="20"/>
          <w:color w:val="auto"/>
        </w:rPr>
      </w:pPr>
      <w:r>
        <w:rPr>
          <w:rFonts w:ascii="Arial" w:cs="Arial" w:eastAsia="Arial" w:hAnsi="Arial"/>
          <w:sz w:val="18"/>
          <w:szCs w:val="18"/>
          <w:color w:val="auto"/>
        </w:rPr>
        <w:t xml:space="preserve">Indicate by “X” whether the registrant is an accelerated filer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of common stock outstanding as of September 1, 2004 was 34,208,094.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20"/>
          </w:cols>
          <w:pgMar w:left="240" w:top="355" w:right="439" w:bottom="1440" w:gutter="0" w:footer="0" w:header="0"/>
        </w:sectPr>
      </w:pPr>
    </w:p>
    <w:bookmarkStart w:id="1" w:name="page2"/>
    <w:bookmarkEnd w:id="1"/>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 FINANCIAL INFORMATION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1. Financial Statements.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700" w:type="dxa"/>
            <w:vAlign w:val="bottom"/>
          </w:tcPr>
          <w:p>
            <w:pPr>
              <w:spacing w:after="0"/>
              <w:rPr>
                <w:sz w:val="15"/>
                <w:szCs w:val="15"/>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July 31, 2004</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6"/>
              </w:rPr>
              <w:t>January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0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8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600" w:type="dxa"/>
            <w:vAlign w:val="bottom"/>
            <w:gridSpan w:val="3"/>
          </w:tcPr>
          <w:p>
            <w:pPr>
              <w:ind w:left="40"/>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87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Current assets: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5,832</w:t>
            </w:r>
          </w:p>
        </w:tc>
        <w:tc>
          <w:tcPr>
            <w:tcW w:w="8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5,158</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Notes receivable</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6,470</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87,452</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5,779</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110,691</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720" w:type="dxa"/>
            <w:vAlign w:val="bottom"/>
            <w:gridSpan w:val="2"/>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66,713</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68,345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assets: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50,677</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50,677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intangible assets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30,579</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8,664</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267,324</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20,700</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21,504</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Accrued liabilities for severance and store closings</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2,645</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Notes payable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33,878</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82,481</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Long-term liabilities: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114,071</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122,374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long-term liabilities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114,539</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720" w:type="dxa"/>
            <w:vAlign w:val="bottom"/>
            <w:gridSpan w:val="2"/>
          </w:tcPr>
          <w:p>
            <w:pPr>
              <w:spacing w:after="0"/>
              <w:rPr>
                <w:sz w:val="20"/>
                <w:szCs w:val="20"/>
                <w:color w:val="auto"/>
              </w:rPr>
            </w:pPr>
            <w:r>
              <w:rPr>
                <w:rFonts w:ascii="Arial" w:cs="Arial" w:eastAsia="Arial" w:hAnsi="Arial"/>
                <w:sz w:val="18"/>
                <w:szCs w:val="18"/>
                <w:i w:val="1"/>
                <w:iCs w:val="1"/>
                <w:color w:val="auto"/>
              </w:rPr>
              <w:t>Stockholders’ equity:</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$0.01 par value, 1,000,000 shares authorized, none outstanding at July 31, 2004 and</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January 31, 2004</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w w:val="97"/>
              </w:rPr>
              <w:t>Common stock, $0.01 par value, 75,000,000 shares authorized, 39,379,038 and 39,246,364 shares issued</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640"/>
              <w:spacing w:after="0"/>
              <w:rPr>
                <w:sz w:val="20"/>
                <w:szCs w:val="20"/>
                <w:color w:val="auto"/>
              </w:rPr>
            </w:pPr>
            <w:r>
              <w:rPr>
                <w:rFonts w:ascii="Arial" w:cs="Arial" w:eastAsia="Arial" w:hAnsi="Arial"/>
                <w:sz w:val="18"/>
                <w:szCs w:val="18"/>
                <w:color w:val="auto"/>
              </w:rPr>
              <w:t>at July 31, 2004 and January 31, 2004, respectively</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394</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154,432</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480" w:type="dxa"/>
            <w:vAlign w:val="bottom"/>
            <w:gridSpan w:val="2"/>
          </w:tcPr>
          <w:p>
            <w:pPr>
              <w:jc w:val="right"/>
              <w:ind w:right="800"/>
              <w:spacing w:after="0"/>
              <w:rPr>
                <w:sz w:val="20"/>
                <w:szCs w:val="20"/>
                <w:color w:val="auto"/>
              </w:rPr>
            </w:pPr>
            <w:r>
              <w:rPr>
                <w:rFonts w:ascii="Arial" w:cs="Arial" w:eastAsia="Arial" w:hAnsi="Arial"/>
                <w:sz w:val="18"/>
                <w:szCs w:val="18"/>
                <w:color w:val="auto"/>
                <w:w w:val="98"/>
              </w:rPr>
              <w:t>(61,160)</w:t>
            </w: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(56,165)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Treasury stock at cost, 5,171,930 and 4,171,930 shares at July 31, 2004 and January 31, 2004, respectively</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8"/>
              </w:rPr>
              <w:t>(23,362)</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(17,036)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70,304</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267,324</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5534660</wp:posOffset>
            </wp:positionH>
            <wp:positionV relativeFrom="paragraph">
              <wp:posOffset>-4291330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-4291330</wp:posOffset>
            </wp:positionV>
            <wp:extent cx="2159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-4291330</wp:posOffset>
            </wp:positionV>
            <wp:extent cx="3873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-4291330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-4291330</wp:posOffset>
            </wp:positionV>
            <wp:extent cx="2159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-4291330</wp:posOffset>
            </wp:positionV>
            <wp:extent cx="3873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2159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3873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2159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2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00" w:type="dxa"/>
            <w:vAlign w:val="bottom"/>
            <w:gridSpan w:val="5"/>
          </w:tcPr>
          <w:p>
            <w:pPr>
              <w:jc w:val="right"/>
              <w:ind w:right="12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5"/>
                <w:szCs w:val="15"/>
                <w:color w:val="auto"/>
              </w:rPr>
            </w:pPr>
          </w:p>
        </w:tc>
        <w:tc>
          <w:tcPr>
            <w:tcW w:w="1580" w:type="dxa"/>
            <w:vAlign w:val="bottom"/>
            <w:gridSpan w:val="3"/>
          </w:tcPr>
          <w:p>
            <w:pPr>
              <w:ind w:left="480"/>
              <w:spacing w:after="0"/>
              <w:rPr>
                <w:sz w:val="20"/>
                <w:szCs w:val="20"/>
                <w:color w:val="auto"/>
              </w:rPr>
            </w:pPr>
            <w:r>
              <w:rPr>
                <w:rFonts w:ascii="Arial" w:cs="Arial" w:eastAsia="Arial" w:hAnsi="Arial"/>
                <w:sz w:val="14"/>
                <w:szCs w:val="14"/>
                <w:b w:val="1"/>
                <w:bCs w:val="1"/>
                <w:color w:val="auto"/>
                <w:w w:val="88"/>
              </w:rPr>
              <w:t>Six Months Ended</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960" w:type="dxa"/>
            <w:vAlign w:val="bottom"/>
          </w:tcPr>
          <w:p>
            <w:pPr>
              <w:spacing w:after="0"/>
              <w:rPr>
                <w:sz w:val="22"/>
                <w:szCs w:val="22"/>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July 31, 2004</w:t>
            </w: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August 2, 2003</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July 31, 2004</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5"/>
              </w:rPr>
              <w:t>August 2,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106,569</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100,530</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207,576</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190,651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Cost of goods sold, including occupancy</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66,362</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63,146</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130,514</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119,603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40,207</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37,384</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77,062</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98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34,962</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31,392</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71,516</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2,807</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2,043</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5,294</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37,769</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33,435</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76,810</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3,949</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98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308</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308</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(1,977)</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(2,976)</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(4,157)</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(5,861)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minority interest and</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(3,597)</w:t>
            </w:r>
          </w:p>
        </w:tc>
        <w:tc>
          <w:tcPr>
            <w:tcW w:w="2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323"/>
        </w:trPr>
        <w:tc>
          <w:tcPr>
            <w:tcW w:w="598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120" w:type="dxa"/>
            <w:vAlign w:val="bottom"/>
          </w:tcPr>
          <w:p>
            <w:pPr>
              <w:spacing w:after="0"/>
              <w:rPr>
                <w:sz w:val="24"/>
                <w:szCs w:val="24"/>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(354)</w:t>
            </w:r>
          </w:p>
        </w:tc>
        <w:tc>
          <w:tcPr>
            <w:tcW w:w="160" w:type="dxa"/>
            <w:vAlign w:val="bottom"/>
          </w:tcPr>
          <w:p>
            <w:pPr>
              <w:spacing w:after="0"/>
              <w:rPr>
                <w:sz w:val="24"/>
                <w:szCs w:val="2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4"/>
                <w:szCs w:val="2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(701)</w:t>
            </w:r>
          </w:p>
        </w:tc>
        <w:tc>
          <w:tcPr>
            <w:tcW w:w="26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(2,896)</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322"/>
        </w:trPr>
        <w:tc>
          <w:tcPr>
            <w:tcW w:w="5980" w:type="dxa"/>
            <w:vAlign w:val="bottom"/>
            <w:gridSpan w:val="2"/>
          </w:tcPr>
          <w:p>
            <w:pPr>
              <w:spacing w:after="0"/>
              <w:rPr>
                <w:sz w:val="20"/>
                <w:szCs w:val="20"/>
                <w:color w:val="auto"/>
              </w:rPr>
            </w:pPr>
            <w:r>
              <w:rPr>
                <w:rFonts w:ascii="Arial" w:cs="Arial" w:eastAsia="Arial" w:hAnsi="Arial"/>
                <w:sz w:val="18"/>
                <w:szCs w:val="18"/>
                <w:color w:val="auto"/>
              </w:rPr>
              <w:t>Loss from discontinued operations</w:t>
            </w:r>
          </w:p>
        </w:tc>
        <w:tc>
          <w:tcPr>
            <w:tcW w:w="120" w:type="dxa"/>
            <w:vAlign w:val="bottom"/>
          </w:tcPr>
          <w:p>
            <w:pPr>
              <w:spacing w:after="0"/>
              <w:rPr>
                <w:sz w:val="24"/>
                <w:szCs w:val="24"/>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(1,024)</w:t>
            </w:r>
          </w:p>
        </w:tc>
        <w:tc>
          <w:tcPr>
            <w:tcW w:w="160" w:type="dxa"/>
            <w:vAlign w:val="bottom"/>
          </w:tcPr>
          <w:p>
            <w:pPr>
              <w:spacing w:after="0"/>
              <w:rPr>
                <w:sz w:val="24"/>
                <w:szCs w:val="2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(335)</w:t>
            </w:r>
          </w:p>
        </w:tc>
        <w:tc>
          <w:tcPr>
            <w:tcW w:w="140" w:type="dxa"/>
            <w:vAlign w:val="bottom"/>
          </w:tcPr>
          <w:p>
            <w:pPr>
              <w:spacing w:after="0"/>
              <w:rPr>
                <w:sz w:val="24"/>
                <w:szCs w:val="2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(2,099)</w:t>
            </w:r>
          </w:p>
        </w:tc>
        <w:tc>
          <w:tcPr>
            <w:tcW w:w="26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(4,995)</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 basic and diluted</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Income (loss) from continuing operations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0.03</w:t>
            </w:r>
          </w:p>
        </w:tc>
        <w:tc>
          <w:tcPr>
            <w:tcW w:w="7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0.03</w:t>
            </w:r>
          </w:p>
        </w:tc>
        <w:tc>
          <w:tcPr>
            <w:tcW w:w="7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(0.08)</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discontinued operations</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(0.03)</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(0.06)</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(0.14)</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 Basic</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34,485</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35,839</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34,805</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35,796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Diluted</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36,103</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36,891</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34,805</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3793490</wp:posOffset>
            </wp:positionH>
            <wp:positionV relativeFrom="paragraph">
              <wp:posOffset>-1365250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-1365250</wp:posOffset>
            </wp:positionV>
            <wp:extent cx="2159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-1365250</wp:posOffset>
            </wp:positionV>
            <wp:extent cx="3873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-1365250</wp:posOffset>
            </wp:positionV>
            <wp:extent cx="57023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023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-1365250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-1365250</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-1365250</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-1365250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-1365250</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-1365250</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-507365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-507365</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-507365</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-507365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-507365</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-507365</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-507365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-507365</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-507365</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-507365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-507365</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-507365</wp:posOffset>
            </wp:positionV>
            <wp:extent cx="3873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720" w:type="dxa"/>
            <w:vAlign w:val="bottom"/>
          </w:tcPr>
          <w:p>
            <w:pPr>
              <w:spacing w:after="0"/>
              <w:rPr>
                <w:sz w:val="15"/>
                <w:szCs w:val="15"/>
                <w:color w:val="auto"/>
              </w:rPr>
            </w:pPr>
          </w:p>
        </w:tc>
        <w:tc>
          <w:tcPr>
            <w:tcW w:w="190" w:type="dxa"/>
            <w:vAlign w:val="bottom"/>
          </w:tcPr>
          <w:p>
            <w:pPr>
              <w:spacing w:after="0"/>
              <w:rPr>
                <w:sz w:val="15"/>
                <w:szCs w:val="15"/>
                <w:color w:val="auto"/>
              </w:rPr>
            </w:pPr>
          </w:p>
        </w:tc>
        <w:tc>
          <w:tcPr>
            <w:tcW w:w="1790" w:type="dxa"/>
            <w:vAlign w:val="bottom"/>
            <w:gridSpan w:val="3"/>
          </w:tcPr>
          <w:p>
            <w:pPr>
              <w:ind w:left="570"/>
              <w:spacing w:after="0"/>
              <w:rPr>
                <w:sz w:val="20"/>
                <w:szCs w:val="20"/>
                <w:color w:val="auto"/>
              </w:rPr>
            </w:pPr>
            <w:r>
              <w:rPr>
                <w:rFonts w:ascii="Arial" w:cs="Arial" w:eastAsia="Arial" w:hAnsi="Arial"/>
                <w:sz w:val="14"/>
                <w:szCs w:val="14"/>
                <w:b w:val="1"/>
                <w:bCs w:val="1"/>
                <w:color w:val="auto"/>
                <w:w w:val="98"/>
              </w:rPr>
              <w:t>Six Months Ended</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19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720" w:type="dxa"/>
            <w:vAlign w:val="bottom"/>
          </w:tcPr>
          <w:p>
            <w:pPr>
              <w:spacing w:after="0"/>
              <w:rPr>
                <w:sz w:val="22"/>
                <w:szCs w:val="22"/>
                <w:color w:val="auto"/>
              </w:rPr>
            </w:pP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July 31, 2004</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August 2,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19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20" w:type="dxa"/>
            <w:vAlign w:val="bottom"/>
          </w:tcPr>
          <w:p>
            <w:pPr>
              <w:spacing w:after="0"/>
              <w:rPr>
                <w:sz w:val="8"/>
                <w:szCs w:val="8"/>
                <w:color w:val="auto"/>
              </w:rPr>
            </w:pPr>
          </w:p>
        </w:tc>
        <w:tc>
          <w:tcPr>
            <w:tcW w:w="190" w:type="dxa"/>
            <w:vAlign w:val="bottom"/>
          </w:tcPr>
          <w:p>
            <w:pPr>
              <w:spacing w:after="0"/>
              <w:rPr>
                <w:sz w:val="8"/>
                <w:szCs w:val="8"/>
                <w:color w:val="auto"/>
              </w:rPr>
            </w:pPr>
          </w:p>
        </w:tc>
        <w:tc>
          <w:tcPr>
            <w:tcW w:w="570" w:type="dxa"/>
            <w:vAlign w:val="bottom"/>
          </w:tcPr>
          <w:p>
            <w:pPr>
              <w:spacing w:after="0"/>
              <w:rPr>
                <w:sz w:val="8"/>
                <w:szCs w:val="8"/>
                <w:color w:val="auto"/>
              </w:rPr>
            </w:pPr>
          </w:p>
        </w:tc>
        <w:tc>
          <w:tcPr>
            <w:tcW w:w="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9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90" w:type="dxa"/>
            <w:vAlign w:val="bottom"/>
          </w:tcPr>
          <w:p>
            <w:pPr>
              <w:spacing w:after="0"/>
              <w:rPr>
                <w:sz w:val="20"/>
                <w:szCs w:val="20"/>
                <w:color w:val="auto"/>
              </w:rPr>
            </w:pPr>
            <w:r>
              <w:rPr>
                <w:rFonts w:ascii="Arial" w:cs="Arial" w:eastAsia="Arial" w:hAnsi="Arial"/>
                <w:sz w:val="18"/>
                <w:szCs w:val="18"/>
                <w:color w:val="auto"/>
              </w:rPr>
              <w:t>$</w:t>
            </w:r>
          </w:p>
        </w:tc>
        <w:tc>
          <w:tcPr>
            <w:tcW w:w="1510" w:type="dxa"/>
            <w:vAlign w:val="bottom"/>
            <w:gridSpan w:val="2"/>
          </w:tcPr>
          <w:p>
            <w:pPr>
              <w:jc w:val="right"/>
              <w:ind w:right="880"/>
              <w:spacing w:after="0"/>
              <w:rPr>
                <w:sz w:val="20"/>
                <w:szCs w:val="20"/>
                <w:color w:val="auto"/>
              </w:rPr>
            </w:pPr>
            <w:r>
              <w:rPr>
                <w:rFonts w:ascii="Arial" w:cs="Arial" w:eastAsia="Arial" w:hAnsi="Arial"/>
                <w:sz w:val="18"/>
                <w:szCs w:val="18"/>
                <w:color w:val="auto"/>
              </w:rPr>
              <w:t>(4,995)</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(used for) provided by operating activities:</w:t>
            </w:r>
          </w:p>
        </w:tc>
        <w:tc>
          <w:tcPr>
            <w:tcW w:w="19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860"/>
              <w:spacing w:after="0"/>
              <w:rPr>
                <w:sz w:val="20"/>
                <w:szCs w:val="20"/>
                <w:color w:val="auto"/>
              </w:rPr>
            </w:pPr>
            <w:r>
              <w:rPr>
                <w:rFonts w:ascii="Arial" w:cs="Arial" w:eastAsia="Arial" w:hAnsi="Arial"/>
                <w:sz w:val="18"/>
                <w:szCs w:val="18"/>
                <w:color w:val="auto"/>
              </w:rPr>
              <w:t>Loss from discontinued operations</w:t>
            </w:r>
          </w:p>
        </w:tc>
        <w:tc>
          <w:tcPr>
            <w:tcW w:w="19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2,099</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19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5,294</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860"/>
              <w:spacing w:after="0"/>
              <w:rPr>
                <w:sz w:val="20"/>
                <w:szCs w:val="20"/>
                <w:color w:val="auto"/>
              </w:rPr>
            </w:pPr>
            <w:r>
              <w:rPr>
                <w:rFonts w:ascii="Arial" w:cs="Arial" w:eastAsia="Arial" w:hAnsi="Arial"/>
                <w:sz w:val="18"/>
                <w:szCs w:val="18"/>
                <w:color w:val="auto"/>
              </w:rPr>
              <w:t>Other expenses, principally related to debt redemption costs</w:t>
            </w:r>
          </w:p>
        </w:tc>
        <w:tc>
          <w:tcPr>
            <w:tcW w:w="19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2,832</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on sale of investment in joint venture</w:t>
            </w:r>
          </w:p>
        </w:tc>
        <w:tc>
          <w:tcPr>
            <w:tcW w:w="190" w:type="dxa"/>
            <w:vAlign w:val="bottom"/>
            <w:shd w:val="clear" w:color="auto" w:fill="CCEEFF"/>
          </w:tcPr>
          <w:p>
            <w:pPr>
              <w:spacing w:after="0"/>
              <w:rPr>
                <w:sz w:val="18"/>
                <w:szCs w:val="18"/>
                <w:color w:val="auto"/>
              </w:rPr>
            </w:pPr>
          </w:p>
        </w:tc>
        <w:tc>
          <w:tcPr>
            <w:tcW w:w="151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(3,140)</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860"/>
              <w:spacing w:after="0"/>
              <w:rPr>
                <w:sz w:val="20"/>
                <w:szCs w:val="20"/>
                <w:color w:val="auto"/>
              </w:rPr>
            </w:pPr>
            <w:r>
              <w:rPr>
                <w:rFonts w:ascii="Arial" w:cs="Arial" w:eastAsia="Arial" w:hAnsi="Arial"/>
                <w:sz w:val="18"/>
                <w:szCs w:val="18"/>
                <w:color w:val="auto"/>
              </w:rPr>
              <w:t>Accretion of warrants</w:t>
            </w:r>
          </w:p>
        </w:tc>
        <w:tc>
          <w:tcPr>
            <w:tcW w:w="19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103</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Issuance of common stock to related party</w:t>
            </w:r>
          </w:p>
        </w:tc>
        <w:tc>
          <w:tcPr>
            <w:tcW w:w="19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860"/>
              <w:spacing w:after="0"/>
              <w:rPr>
                <w:sz w:val="20"/>
                <w:szCs w:val="20"/>
                <w:color w:val="auto"/>
              </w:rPr>
            </w:pPr>
            <w:r>
              <w:rPr>
                <w:rFonts w:ascii="Arial" w:cs="Arial" w:eastAsia="Arial" w:hAnsi="Arial"/>
                <w:sz w:val="18"/>
                <w:szCs w:val="18"/>
                <w:color w:val="auto"/>
              </w:rPr>
              <w:t>Issuance of common stock to Board of Directors</w:t>
            </w:r>
          </w:p>
        </w:tc>
        <w:tc>
          <w:tcPr>
            <w:tcW w:w="19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48</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Minority interest</w:t>
            </w:r>
          </w:p>
        </w:tc>
        <w:tc>
          <w:tcPr>
            <w:tcW w:w="190" w:type="dxa"/>
            <w:vAlign w:val="bottom"/>
            <w:shd w:val="clear" w:color="auto" w:fill="CCEEFF"/>
          </w:tcPr>
          <w:p>
            <w:pPr>
              <w:spacing w:after="0"/>
              <w:rPr>
                <w:sz w:val="18"/>
                <w:szCs w:val="18"/>
                <w:color w:val="auto"/>
              </w:rPr>
            </w:pPr>
          </w:p>
        </w:tc>
        <w:tc>
          <w:tcPr>
            <w:tcW w:w="151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(701)</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20" w:type="dxa"/>
            <w:vAlign w:val="bottom"/>
          </w:tcPr>
          <w:p>
            <w:pPr>
              <w:ind w:left="860"/>
              <w:spacing w:after="0"/>
              <w:rPr>
                <w:sz w:val="20"/>
                <w:szCs w:val="20"/>
                <w:color w:val="auto"/>
              </w:rPr>
            </w:pPr>
            <w:r>
              <w:rPr>
                <w:rFonts w:ascii="Arial" w:cs="Arial" w:eastAsia="Arial" w:hAnsi="Arial"/>
                <w:sz w:val="18"/>
                <w:szCs w:val="18"/>
                <w:color w:val="auto"/>
              </w:rPr>
              <w:t>Loss on disposal of fixed assets</w:t>
            </w:r>
          </w:p>
        </w:tc>
        <w:tc>
          <w:tcPr>
            <w:tcW w:w="190" w:type="dxa"/>
            <w:vAlign w:val="bottom"/>
          </w:tcPr>
          <w:p>
            <w:pPr>
              <w:spacing w:after="0"/>
              <w:rPr>
                <w:sz w:val="19"/>
                <w:szCs w:val="19"/>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69</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20" w:type="dxa"/>
            <w:vAlign w:val="bottom"/>
          </w:tcPr>
          <w:p>
            <w:pPr>
              <w:spacing w:after="0"/>
              <w:rPr>
                <w:sz w:val="8"/>
                <w:szCs w:val="8"/>
                <w:color w:val="auto"/>
              </w:rPr>
            </w:pPr>
          </w:p>
        </w:tc>
        <w:tc>
          <w:tcPr>
            <w:tcW w:w="190" w:type="dxa"/>
            <w:vAlign w:val="bottom"/>
          </w:tcPr>
          <w:p>
            <w:pPr>
              <w:spacing w:after="0"/>
              <w:rPr>
                <w:sz w:val="8"/>
                <w:szCs w:val="8"/>
                <w:color w:val="auto"/>
              </w:rPr>
            </w:pPr>
          </w:p>
        </w:tc>
        <w:tc>
          <w:tcPr>
            <w:tcW w:w="570" w:type="dxa"/>
            <w:vAlign w:val="bottom"/>
          </w:tcPr>
          <w:p>
            <w:pPr>
              <w:spacing w:after="0"/>
              <w:rPr>
                <w:sz w:val="8"/>
                <w:szCs w:val="8"/>
                <w:color w:val="auto"/>
              </w:rPr>
            </w:pPr>
          </w:p>
        </w:tc>
        <w:tc>
          <w:tcPr>
            <w:tcW w:w="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9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9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327</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9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7,608</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190" w:type="dxa"/>
            <w:vAlign w:val="bottom"/>
          </w:tcPr>
          <w:p>
            <w:pPr>
              <w:spacing w:after="0"/>
              <w:rPr>
                <w:sz w:val="18"/>
                <w:szCs w:val="18"/>
                <w:color w:val="auto"/>
              </w:rPr>
            </w:pPr>
          </w:p>
        </w:tc>
        <w:tc>
          <w:tcPr>
            <w:tcW w:w="1510" w:type="dxa"/>
            <w:vAlign w:val="bottom"/>
            <w:gridSpan w:val="2"/>
          </w:tcPr>
          <w:p>
            <w:pPr>
              <w:jc w:val="right"/>
              <w:ind w:right="880"/>
              <w:spacing w:after="0"/>
              <w:rPr>
                <w:sz w:val="20"/>
                <w:szCs w:val="20"/>
                <w:color w:val="auto"/>
              </w:rPr>
            </w:pPr>
            <w:r>
              <w:rPr>
                <w:rFonts w:ascii="Arial" w:cs="Arial" w:eastAsia="Arial" w:hAnsi="Arial"/>
                <w:sz w:val="18"/>
                <w:szCs w:val="18"/>
                <w:color w:val="auto"/>
              </w:rPr>
              <w:t>(1,535)</w:t>
            </w:r>
          </w:p>
        </w:tc>
        <w:tc>
          <w:tcPr>
            <w:tcW w:w="2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90" w:type="dxa"/>
            <w:vAlign w:val="bottom"/>
            <w:shd w:val="clear" w:color="auto" w:fill="CCEEFF"/>
          </w:tcPr>
          <w:p>
            <w:pPr>
              <w:spacing w:after="0"/>
              <w:rPr>
                <w:sz w:val="18"/>
                <w:szCs w:val="18"/>
                <w:color w:val="auto"/>
              </w:rPr>
            </w:pPr>
          </w:p>
        </w:tc>
        <w:tc>
          <w:tcPr>
            <w:tcW w:w="151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(158)</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Reserve for severance and store closings</w:t>
            </w:r>
          </w:p>
        </w:tc>
        <w:tc>
          <w:tcPr>
            <w:tcW w:w="190" w:type="dxa"/>
            <w:vAlign w:val="bottom"/>
          </w:tcPr>
          <w:p>
            <w:pPr>
              <w:spacing w:after="0"/>
              <w:rPr>
                <w:sz w:val="18"/>
                <w:szCs w:val="18"/>
                <w:color w:val="auto"/>
              </w:rPr>
            </w:pPr>
          </w:p>
        </w:tc>
        <w:tc>
          <w:tcPr>
            <w:tcW w:w="1510" w:type="dxa"/>
            <w:vAlign w:val="bottom"/>
            <w:gridSpan w:val="2"/>
          </w:tcPr>
          <w:p>
            <w:pPr>
              <w:jc w:val="right"/>
              <w:ind w:right="880"/>
              <w:spacing w:after="0"/>
              <w:rPr>
                <w:sz w:val="20"/>
                <w:szCs w:val="20"/>
                <w:color w:val="auto"/>
              </w:rPr>
            </w:pPr>
            <w:r>
              <w:rPr>
                <w:rFonts w:ascii="Arial" w:cs="Arial" w:eastAsia="Arial" w:hAnsi="Arial"/>
                <w:sz w:val="18"/>
                <w:szCs w:val="18"/>
                <w:color w:val="auto"/>
              </w:rPr>
              <w:t>(300)</w:t>
            </w:r>
          </w:p>
        </w:tc>
        <w:tc>
          <w:tcPr>
            <w:tcW w:w="2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90" w:type="dxa"/>
            <w:vAlign w:val="bottom"/>
            <w:shd w:val="clear" w:color="auto" w:fill="CCEEFF"/>
          </w:tcPr>
          <w:p>
            <w:pPr>
              <w:spacing w:after="0"/>
              <w:rPr>
                <w:sz w:val="18"/>
                <w:szCs w:val="18"/>
                <w:color w:val="auto"/>
              </w:rPr>
            </w:pPr>
          </w:p>
        </w:tc>
        <w:tc>
          <w:tcPr>
            <w:tcW w:w="151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w w:val="89"/>
              </w:rPr>
              <w:t>(10,058)</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90" w:type="dxa"/>
            <w:vAlign w:val="bottom"/>
          </w:tcPr>
          <w:p>
            <w:pPr>
              <w:spacing w:after="0"/>
              <w:rPr>
                <w:sz w:val="19"/>
                <w:szCs w:val="19"/>
                <w:color w:val="auto"/>
              </w:rPr>
            </w:pPr>
          </w:p>
        </w:tc>
        <w:tc>
          <w:tcPr>
            <w:tcW w:w="1510" w:type="dxa"/>
            <w:vAlign w:val="bottom"/>
            <w:gridSpan w:val="2"/>
          </w:tcPr>
          <w:p>
            <w:pPr>
              <w:jc w:val="right"/>
              <w:ind w:right="880"/>
              <w:spacing w:after="0"/>
              <w:rPr>
                <w:sz w:val="20"/>
                <w:szCs w:val="20"/>
                <w:color w:val="auto"/>
              </w:rPr>
            </w:pPr>
            <w:r>
              <w:rPr>
                <w:rFonts w:ascii="Arial" w:cs="Arial" w:eastAsia="Arial" w:hAnsi="Arial"/>
                <w:sz w:val="18"/>
                <w:szCs w:val="18"/>
                <w:color w:val="auto"/>
              </w:rPr>
              <w:t>(2,707)</w:t>
            </w:r>
          </w:p>
        </w:tc>
        <w:tc>
          <w:tcPr>
            <w:tcW w:w="2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(3,945)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19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20" w:type="dxa"/>
            <w:vAlign w:val="bottom"/>
          </w:tcPr>
          <w:p>
            <w:pPr>
              <w:spacing w:after="0"/>
              <w:rPr>
                <w:sz w:val="8"/>
                <w:szCs w:val="8"/>
                <w:color w:val="auto"/>
              </w:rPr>
            </w:pPr>
          </w:p>
        </w:tc>
        <w:tc>
          <w:tcPr>
            <w:tcW w:w="190" w:type="dxa"/>
            <w:vAlign w:val="bottom"/>
          </w:tcPr>
          <w:p>
            <w:pPr>
              <w:spacing w:after="0"/>
              <w:rPr>
                <w:sz w:val="8"/>
                <w:szCs w:val="8"/>
                <w:color w:val="auto"/>
              </w:rPr>
            </w:pPr>
          </w:p>
        </w:tc>
        <w:tc>
          <w:tcPr>
            <w:tcW w:w="570" w:type="dxa"/>
            <w:vAlign w:val="bottom"/>
          </w:tcPr>
          <w:p>
            <w:pPr>
              <w:spacing w:after="0"/>
              <w:rPr>
                <w:sz w:val="8"/>
                <w:szCs w:val="8"/>
                <w:color w:val="auto"/>
              </w:rPr>
            </w:pPr>
          </w:p>
        </w:tc>
        <w:tc>
          <w:tcPr>
            <w:tcW w:w="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provided by operating activities</w:t>
            </w:r>
          </w:p>
        </w:tc>
        <w:tc>
          <w:tcPr>
            <w:tcW w:w="190" w:type="dxa"/>
            <w:vAlign w:val="bottom"/>
            <w:shd w:val="clear" w:color="auto" w:fill="CCEEFF"/>
          </w:tcPr>
          <w:p>
            <w:pPr>
              <w:spacing w:after="0"/>
              <w:rPr>
                <w:sz w:val="18"/>
                <w:szCs w:val="18"/>
                <w:color w:val="auto"/>
              </w:rPr>
            </w:pPr>
          </w:p>
        </w:tc>
        <w:tc>
          <w:tcPr>
            <w:tcW w:w="151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(5,113)</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20" w:type="dxa"/>
            <w:vAlign w:val="bottom"/>
          </w:tcPr>
          <w:p>
            <w:pPr>
              <w:spacing w:after="0"/>
              <w:rPr>
                <w:sz w:val="9"/>
                <w:szCs w:val="9"/>
                <w:color w:val="auto"/>
              </w:rPr>
            </w:pPr>
          </w:p>
        </w:tc>
        <w:tc>
          <w:tcPr>
            <w:tcW w:w="19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20" w:type="dxa"/>
            <w:vAlign w:val="bottom"/>
          </w:tcPr>
          <w:p>
            <w:pPr>
              <w:spacing w:after="0"/>
              <w:rPr>
                <w:sz w:val="8"/>
                <w:szCs w:val="8"/>
                <w:color w:val="auto"/>
              </w:rPr>
            </w:pPr>
          </w:p>
        </w:tc>
        <w:tc>
          <w:tcPr>
            <w:tcW w:w="190" w:type="dxa"/>
            <w:vAlign w:val="bottom"/>
          </w:tcPr>
          <w:p>
            <w:pPr>
              <w:spacing w:after="0"/>
              <w:rPr>
                <w:sz w:val="8"/>
                <w:szCs w:val="8"/>
                <w:color w:val="auto"/>
              </w:rPr>
            </w:pPr>
          </w:p>
        </w:tc>
        <w:tc>
          <w:tcPr>
            <w:tcW w:w="570" w:type="dxa"/>
            <w:vAlign w:val="bottom"/>
          </w:tcPr>
          <w:p>
            <w:pPr>
              <w:spacing w:after="0"/>
              <w:rPr>
                <w:sz w:val="8"/>
                <w:szCs w:val="8"/>
                <w:color w:val="auto"/>
              </w:rPr>
            </w:pPr>
          </w:p>
        </w:tc>
        <w:tc>
          <w:tcPr>
            <w:tcW w:w="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9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Additions to property and equipment</w:t>
            </w:r>
          </w:p>
        </w:tc>
        <w:tc>
          <w:tcPr>
            <w:tcW w:w="190" w:type="dxa"/>
            <w:vAlign w:val="bottom"/>
          </w:tcPr>
          <w:p>
            <w:pPr>
              <w:spacing w:after="0"/>
              <w:rPr>
                <w:sz w:val="18"/>
                <w:szCs w:val="18"/>
                <w:color w:val="auto"/>
              </w:rPr>
            </w:pPr>
          </w:p>
        </w:tc>
        <w:tc>
          <w:tcPr>
            <w:tcW w:w="1510" w:type="dxa"/>
            <w:vAlign w:val="bottom"/>
            <w:gridSpan w:val="2"/>
          </w:tcPr>
          <w:p>
            <w:pPr>
              <w:jc w:val="right"/>
              <w:ind w:right="880"/>
              <w:spacing w:after="0"/>
              <w:rPr>
                <w:sz w:val="20"/>
                <w:szCs w:val="20"/>
                <w:color w:val="auto"/>
              </w:rPr>
            </w:pPr>
            <w:r>
              <w:rPr>
                <w:rFonts w:ascii="Arial" w:cs="Arial" w:eastAsia="Arial" w:hAnsi="Arial"/>
                <w:sz w:val="18"/>
                <w:szCs w:val="18"/>
                <w:color w:val="auto"/>
              </w:rPr>
              <w:t>(9,363)</w:t>
            </w:r>
          </w:p>
        </w:tc>
        <w:tc>
          <w:tcPr>
            <w:tcW w:w="2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investment in joint venture</w:t>
            </w:r>
          </w:p>
        </w:tc>
        <w:tc>
          <w:tcPr>
            <w:tcW w:w="19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20" w:type="dxa"/>
            <w:vAlign w:val="bottom"/>
          </w:tcPr>
          <w:p>
            <w:pPr>
              <w:spacing w:after="0"/>
              <w:rPr>
                <w:sz w:val="9"/>
                <w:szCs w:val="9"/>
                <w:color w:val="auto"/>
              </w:rPr>
            </w:pPr>
          </w:p>
        </w:tc>
        <w:tc>
          <w:tcPr>
            <w:tcW w:w="19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20" w:type="dxa"/>
            <w:vAlign w:val="bottom"/>
          </w:tcPr>
          <w:p>
            <w:pPr>
              <w:spacing w:after="0"/>
              <w:rPr>
                <w:sz w:val="8"/>
                <w:szCs w:val="8"/>
                <w:color w:val="auto"/>
              </w:rPr>
            </w:pPr>
          </w:p>
        </w:tc>
        <w:tc>
          <w:tcPr>
            <w:tcW w:w="190" w:type="dxa"/>
            <w:vAlign w:val="bottom"/>
          </w:tcPr>
          <w:p>
            <w:pPr>
              <w:spacing w:after="0"/>
              <w:rPr>
                <w:sz w:val="8"/>
                <w:szCs w:val="8"/>
                <w:color w:val="auto"/>
              </w:rPr>
            </w:pPr>
          </w:p>
        </w:tc>
        <w:tc>
          <w:tcPr>
            <w:tcW w:w="570" w:type="dxa"/>
            <w:vAlign w:val="bottom"/>
          </w:tcPr>
          <w:p>
            <w:pPr>
              <w:spacing w:after="0"/>
              <w:rPr>
                <w:sz w:val="8"/>
                <w:szCs w:val="8"/>
                <w:color w:val="auto"/>
              </w:rPr>
            </w:pPr>
          </w:p>
        </w:tc>
        <w:tc>
          <w:tcPr>
            <w:tcW w:w="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investing activities</w:t>
            </w:r>
          </w:p>
        </w:tc>
        <w:tc>
          <w:tcPr>
            <w:tcW w:w="190" w:type="dxa"/>
            <w:vAlign w:val="bottom"/>
            <w:shd w:val="clear" w:color="auto" w:fill="CCEEFF"/>
          </w:tcPr>
          <w:p>
            <w:pPr>
              <w:spacing w:after="0"/>
              <w:rPr>
                <w:sz w:val="18"/>
                <w:szCs w:val="18"/>
                <w:color w:val="auto"/>
              </w:rPr>
            </w:pPr>
          </w:p>
        </w:tc>
        <w:tc>
          <w:tcPr>
            <w:tcW w:w="151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(7,833)</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20" w:type="dxa"/>
            <w:vAlign w:val="bottom"/>
          </w:tcPr>
          <w:p>
            <w:pPr>
              <w:spacing w:after="0"/>
              <w:rPr>
                <w:sz w:val="9"/>
                <w:szCs w:val="9"/>
                <w:color w:val="auto"/>
              </w:rPr>
            </w:pPr>
          </w:p>
        </w:tc>
        <w:tc>
          <w:tcPr>
            <w:tcW w:w="19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20" w:type="dxa"/>
            <w:vAlign w:val="bottom"/>
          </w:tcPr>
          <w:p>
            <w:pPr>
              <w:spacing w:after="0"/>
              <w:rPr>
                <w:sz w:val="8"/>
                <w:szCs w:val="8"/>
                <w:color w:val="auto"/>
              </w:rPr>
            </w:pPr>
          </w:p>
        </w:tc>
        <w:tc>
          <w:tcPr>
            <w:tcW w:w="190" w:type="dxa"/>
            <w:vAlign w:val="bottom"/>
          </w:tcPr>
          <w:p>
            <w:pPr>
              <w:spacing w:after="0"/>
              <w:rPr>
                <w:sz w:val="8"/>
                <w:szCs w:val="8"/>
                <w:color w:val="auto"/>
              </w:rPr>
            </w:pPr>
          </w:p>
        </w:tc>
        <w:tc>
          <w:tcPr>
            <w:tcW w:w="570" w:type="dxa"/>
            <w:vAlign w:val="bottom"/>
          </w:tcPr>
          <w:p>
            <w:pPr>
              <w:spacing w:after="0"/>
              <w:rPr>
                <w:sz w:val="8"/>
                <w:szCs w:val="8"/>
                <w:color w:val="auto"/>
              </w:rPr>
            </w:pPr>
          </w:p>
        </w:tc>
        <w:tc>
          <w:tcPr>
            <w:tcW w:w="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9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Net borrowings (repayments) under credit facility</w:t>
            </w:r>
          </w:p>
        </w:tc>
        <w:tc>
          <w:tcPr>
            <w:tcW w:w="19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w w:val="98"/>
              </w:rPr>
              <w:t>30,255</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190" w:type="dxa"/>
            <w:vAlign w:val="bottom"/>
            <w:shd w:val="clear" w:color="auto" w:fill="CCEEFF"/>
          </w:tcPr>
          <w:p>
            <w:pPr>
              <w:spacing w:after="0"/>
              <w:rPr>
                <w:sz w:val="18"/>
                <w:szCs w:val="18"/>
                <w:color w:val="auto"/>
              </w:rPr>
            </w:pPr>
          </w:p>
        </w:tc>
        <w:tc>
          <w:tcPr>
            <w:tcW w:w="151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(9,654)</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Payment of premiums associated with prepayment of long-term debt</w:t>
            </w:r>
          </w:p>
        </w:tc>
        <w:tc>
          <w:tcPr>
            <w:tcW w:w="190" w:type="dxa"/>
            <w:vAlign w:val="bottom"/>
          </w:tcPr>
          <w:p>
            <w:pPr>
              <w:spacing w:after="0"/>
              <w:rPr>
                <w:sz w:val="18"/>
                <w:szCs w:val="18"/>
                <w:color w:val="auto"/>
              </w:rPr>
            </w:pPr>
          </w:p>
        </w:tc>
        <w:tc>
          <w:tcPr>
            <w:tcW w:w="1510" w:type="dxa"/>
            <w:vAlign w:val="bottom"/>
            <w:gridSpan w:val="2"/>
          </w:tcPr>
          <w:p>
            <w:pPr>
              <w:jc w:val="right"/>
              <w:ind w:right="880"/>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 net of discount</w:t>
            </w:r>
          </w:p>
        </w:tc>
        <w:tc>
          <w:tcPr>
            <w:tcW w:w="190" w:type="dxa"/>
            <w:vAlign w:val="bottom"/>
            <w:shd w:val="clear" w:color="auto" w:fill="CCEEFF"/>
          </w:tcPr>
          <w:p>
            <w:pPr>
              <w:spacing w:after="0"/>
              <w:rPr>
                <w:sz w:val="18"/>
                <w:szCs w:val="18"/>
                <w:color w:val="auto"/>
              </w:rPr>
            </w:pPr>
          </w:p>
        </w:tc>
        <w:tc>
          <w:tcPr>
            <w:tcW w:w="151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Proceeds from issuance of warrants</w:t>
            </w:r>
          </w:p>
        </w:tc>
        <w:tc>
          <w:tcPr>
            <w:tcW w:w="190" w:type="dxa"/>
            <w:vAlign w:val="bottom"/>
          </w:tcPr>
          <w:p>
            <w:pPr>
              <w:spacing w:after="0"/>
              <w:rPr>
                <w:sz w:val="18"/>
                <w:szCs w:val="18"/>
                <w:color w:val="auto"/>
              </w:rPr>
            </w:pPr>
          </w:p>
        </w:tc>
        <w:tc>
          <w:tcPr>
            <w:tcW w:w="151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 of common stock</w:t>
            </w:r>
          </w:p>
        </w:tc>
        <w:tc>
          <w:tcPr>
            <w:tcW w:w="190" w:type="dxa"/>
            <w:vAlign w:val="bottom"/>
            <w:shd w:val="clear" w:color="auto" w:fill="CCEEFF"/>
          </w:tcPr>
          <w:p>
            <w:pPr>
              <w:spacing w:after="0"/>
              <w:rPr>
                <w:sz w:val="18"/>
                <w:szCs w:val="18"/>
                <w:color w:val="auto"/>
              </w:rPr>
            </w:pPr>
          </w:p>
        </w:tc>
        <w:tc>
          <w:tcPr>
            <w:tcW w:w="151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(6,326)</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Issuance of common stock under option program and warrants</w:t>
            </w:r>
          </w:p>
        </w:tc>
        <w:tc>
          <w:tcPr>
            <w:tcW w:w="190" w:type="dxa"/>
            <w:vAlign w:val="bottom"/>
          </w:tcPr>
          <w:p>
            <w:pPr>
              <w:spacing w:after="0"/>
              <w:rPr>
                <w:sz w:val="19"/>
                <w:szCs w:val="19"/>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636</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19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20" w:type="dxa"/>
            <w:vAlign w:val="bottom"/>
          </w:tcPr>
          <w:p>
            <w:pPr>
              <w:spacing w:after="0"/>
              <w:rPr>
                <w:sz w:val="8"/>
                <w:szCs w:val="8"/>
                <w:color w:val="auto"/>
              </w:rPr>
            </w:pPr>
          </w:p>
        </w:tc>
        <w:tc>
          <w:tcPr>
            <w:tcW w:w="190" w:type="dxa"/>
            <w:vAlign w:val="bottom"/>
          </w:tcPr>
          <w:p>
            <w:pPr>
              <w:spacing w:after="0"/>
              <w:rPr>
                <w:sz w:val="8"/>
                <w:szCs w:val="8"/>
                <w:color w:val="auto"/>
              </w:rPr>
            </w:pPr>
          </w:p>
        </w:tc>
        <w:tc>
          <w:tcPr>
            <w:tcW w:w="570" w:type="dxa"/>
            <w:vAlign w:val="bottom"/>
          </w:tcPr>
          <w:p>
            <w:pPr>
              <w:spacing w:after="0"/>
              <w:rPr>
                <w:sz w:val="8"/>
                <w:szCs w:val="8"/>
                <w:color w:val="auto"/>
              </w:rPr>
            </w:pPr>
          </w:p>
        </w:tc>
        <w:tc>
          <w:tcPr>
            <w:tcW w:w="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9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14,599</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20" w:type="dxa"/>
            <w:vAlign w:val="bottom"/>
          </w:tcPr>
          <w:p>
            <w:pPr>
              <w:spacing w:after="0"/>
              <w:rPr>
                <w:sz w:val="9"/>
                <w:szCs w:val="9"/>
                <w:color w:val="auto"/>
              </w:rPr>
            </w:pPr>
          </w:p>
        </w:tc>
        <w:tc>
          <w:tcPr>
            <w:tcW w:w="19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20" w:type="dxa"/>
            <w:vAlign w:val="bottom"/>
          </w:tcPr>
          <w:p>
            <w:pPr>
              <w:spacing w:after="0"/>
              <w:rPr>
                <w:sz w:val="8"/>
                <w:szCs w:val="8"/>
                <w:color w:val="auto"/>
              </w:rPr>
            </w:pPr>
          </w:p>
        </w:tc>
        <w:tc>
          <w:tcPr>
            <w:tcW w:w="190" w:type="dxa"/>
            <w:vAlign w:val="bottom"/>
          </w:tcPr>
          <w:p>
            <w:pPr>
              <w:spacing w:after="0"/>
              <w:rPr>
                <w:sz w:val="8"/>
                <w:szCs w:val="8"/>
                <w:color w:val="auto"/>
              </w:rPr>
            </w:pPr>
          </w:p>
        </w:tc>
        <w:tc>
          <w:tcPr>
            <w:tcW w:w="570" w:type="dxa"/>
            <w:vAlign w:val="bottom"/>
          </w:tcPr>
          <w:p>
            <w:pPr>
              <w:spacing w:after="0"/>
              <w:rPr>
                <w:sz w:val="8"/>
                <w:szCs w:val="8"/>
                <w:color w:val="auto"/>
              </w:rPr>
            </w:pPr>
          </w:p>
        </w:tc>
        <w:tc>
          <w:tcPr>
            <w:tcW w:w="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9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90" w:type="dxa"/>
            <w:vAlign w:val="bottom"/>
          </w:tcPr>
          <w:p>
            <w:pPr>
              <w:spacing w:after="0"/>
              <w:rPr>
                <w:sz w:val="18"/>
                <w:szCs w:val="18"/>
                <w:color w:val="auto"/>
              </w:rPr>
            </w:pPr>
          </w:p>
        </w:tc>
        <w:tc>
          <w:tcPr>
            <w:tcW w:w="57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Beginning of the period</w:t>
            </w:r>
          </w:p>
        </w:tc>
        <w:tc>
          <w:tcPr>
            <w:tcW w:w="19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20" w:type="dxa"/>
            <w:vAlign w:val="bottom"/>
          </w:tcPr>
          <w:p>
            <w:pPr>
              <w:spacing w:after="0"/>
              <w:rPr>
                <w:sz w:val="9"/>
                <w:szCs w:val="9"/>
                <w:color w:val="auto"/>
              </w:rPr>
            </w:pPr>
          </w:p>
        </w:tc>
        <w:tc>
          <w:tcPr>
            <w:tcW w:w="19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190" w:type="dxa"/>
            <w:vAlign w:val="bottom"/>
          </w:tcPr>
          <w:p>
            <w:pPr>
              <w:spacing w:after="0"/>
              <w:rPr>
                <w:sz w:val="8"/>
                <w:szCs w:val="8"/>
                <w:color w:val="auto"/>
              </w:rPr>
            </w:pPr>
          </w:p>
        </w:tc>
        <w:tc>
          <w:tcPr>
            <w:tcW w:w="570" w:type="dxa"/>
            <w:vAlign w:val="bottom"/>
          </w:tcPr>
          <w:p>
            <w:pPr>
              <w:spacing w:after="0"/>
              <w:rPr>
                <w:sz w:val="8"/>
                <w:szCs w:val="8"/>
                <w:color w:val="auto"/>
              </w:rPr>
            </w:pPr>
          </w:p>
        </w:tc>
        <w:tc>
          <w:tcPr>
            <w:tcW w:w="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End of the period</w:t>
            </w:r>
          </w:p>
        </w:tc>
        <w:tc>
          <w:tcPr>
            <w:tcW w:w="19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5,832</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19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5551805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274"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8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the opinion of management of Casual Male Retail Group, Inc., a Delaware corporation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January 31, 2004 (included in the Company’s Annual Report on Form 10-K, which was filed with the Securities and Exchange Commission on April 15, 2004).</w:t>
      </w:r>
    </w:p>
    <w:p>
      <w:pPr>
        <w:spacing w:after="0" w:line="129"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0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Certain amounts for the three and six months ended August 2, 2003 have been reclassified to conform to the presentation for the three and six months ended July 31, 2004. These adjustments relate to the reclassification for discontinued operations in accordance with the provisions of Statement of Financial Accounting Standards (“SFAS”) No. 144, </w:t>
      </w:r>
      <w:r>
        <w:rPr>
          <w:rFonts w:ascii="Arial" w:cs="Arial" w:eastAsia="Arial" w:hAnsi="Arial"/>
          <w:sz w:val="18"/>
          <w:szCs w:val="18"/>
          <w:i w:val="1"/>
          <w:iCs w:val="1"/>
          <w:color w:val="auto"/>
        </w:rPr>
        <w:t>Accounting for the Impairment or Disposal of Long-Lived Assets</w:t>
      </w:r>
      <w:r>
        <w:rPr>
          <w:rFonts w:ascii="Arial" w:cs="Arial" w:eastAsia="Arial" w:hAnsi="Arial"/>
          <w:sz w:val="18"/>
          <w:szCs w:val="18"/>
          <w:color w:val="auto"/>
        </w:rPr>
        <w:t xml:space="preserve"> (“SFAS 144”). For further discussion regarding discontinued operations, see Note 5 below.</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auto"/>
        </w:rPr>
        <w:t>The Company’s fiscal year is a 52- or 53- week period ending on the Saturday closest to January 31. Fiscal 2004 is a 52-week period ending on January 29, 2005.</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Debt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Agreement with Fleet Retail Finance, Inc</w:t>
      </w:r>
      <w:r>
        <w:rPr>
          <w:rFonts w:ascii="Arial" w:cs="Arial" w:eastAsia="Arial" w:hAnsi="Arial"/>
          <w:sz w:val="18"/>
          <w:szCs w:val="18"/>
          <w:i w:val="1"/>
          <w:iCs w:val="1"/>
          <w:color w:val="auto"/>
        </w:rPr>
        <w:t>.</w:t>
      </w:r>
    </w:p>
    <w:p>
      <w:pPr>
        <w:spacing w:after="0" w:line="7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has a credit facility (as amended from time to time, the “Credit Facility”) with Fleet Retail Finance Inc., (“Fleet”) which was most recently amended on November 3, 2003. The total commitment under the Credit Facility is $90.0 million, with a $20.0 million carve-out for standby and documentary letters of credit. Borrowings under the Credit Facility bear interest at variable rates based on FleetBoston, N.A.’s prime rate or the London Interbank Offering Rate (“LIBOR”) and vary depending on the Company’s levels of excess availability. The Company’s ability to borrow under the Credit Facility is determined using an availability formula based on eligible assets, with increased advance rates based on seasonality. Under the terms of the Credit Facility, which will expire on May 14, 2006, the Company is subject to prepayment penalties through May 14, 2005.</w:t>
      </w:r>
    </w:p>
    <w:p>
      <w:pPr>
        <w:spacing w:after="0" w:line="10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Company’s obligations under the Credit Facility are secured by a lien on all of its assets. The Credit Facility includes certain covenants and events of default customary for credit facilities of this nature, including change of control provisions and limitations on payment of dividends by the Company. The Company is also subject to a financial covenant requiring minimum levels of EBITDA if certain minimum excess availability levels are not met. The Company was in compliance with all debt covenants under the Credit Facility at July 31, 2004.</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July 31, 2004, the Company had borrowings outstanding under the Credit Facility of $33.9 million and outstanding standby letters of credit of $2.0 million and documentary letters of credit of $0.4 million. Average borrowings outstanding under this facility during the first six months of fiscal 2004 were approximately $19.2 million, resulting in an average unused excess availability of approximately $42.8 million.</w:t>
      </w:r>
    </w:p>
    <w:p>
      <w:pPr>
        <w:spacing w:after="0" w:line="12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fair value of amounts outstanding under the Credit Facility approximate the carrying value at July 31, 2004. At the Company’s option, any portion of the outstanding borrowings can be converted to LIBOR-based contracts; the remainder bears interest based on prime. At July 31, 2004, the prime-based borrowings interest rate was 4.25% and the LIBOR contracts had interest rates which ranged from 3.38% to 3.60%.</w:t>
      </w:r>
    </w:p>
    <w:p>
      <w:pPr>
        <w:sectPr>
          <w:pgSz w:w="11900" w:h="16838" w:orient="portrait"/>
          <w:cols w:equalWidth="0" w:num="1">
            <w:col w:w="11400"/>
          </w:cols>
          <w:pgMar w:left="240" w:top="274"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Long-Term Debt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Components of other long-term debt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700" w:type="dxa"/>
            <w:vAlign w:val="bottom"/>
          </w:tcPr>
          <w:p>
            <w:pPr>
              <w:spacing w:after="0"/>
              <w:rPr>
                <w:sz w:val="15"/>
                <w:szCs w:val="15"/>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July 31, 2004</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6"/>
              </w:rPr>
              <w:t>January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 convertible senior subordinated notes due 2024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100,000</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12% senior subordinated notes due 2010</w:t>
            </w:r>
          </w:p>
        </w:tc>
        <w:tc>
          <w:tcPr>
            <w:tcW w:w="140" w:type="dxa"/>
            <w:vAlign w:val="bottom"/>
          </w:tcPr>
          <w:p>
            <w:pPr>
              <w:spacing w:after="0"/>
              <w:rPr>
                <w:sz w:val="18"/>
                <w:szCs w:val="18"/>
                <w:color w:val="auto"/>
              </w:rPr>
            </w:pPr>
          </w:p>
        </w:tc>
        <w:tc>
          <w:tcPr>
            <w:tcW w:w="146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 senior subordinated notes due 2007</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7,563</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Mortgage note</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10,262</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Total other long-term debt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w w:val="89"/>
              </w:rPr>
              <w:t>117,825</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140" w:type="dxa"/>
            <w:vAlign w:val="bottom"/>
          </w:tcPr>
          <w:p>
            <w:pPr>
              <w:spacing w:after="0"/>
              <w:rPr>
                <w:sz w:val="19"/>
                <w:szCs w:val="19"/>
                <w:color w:val="auto"/>
              </w:rPr>
            </w:pPr>
          </w:p>
        </w:tc>
        <w:tc>
          <w:tcPr>
            <w:tcW w:w="1460" w:type="dxa"/>
            <w:vAlign w:val="bottom"/>
            <w:gridSpan w:val="2"/>
          </w:tcPr>
          <w:p>
            <w:pPr>
              <w:jc w:val="right"/>
              <w:ind w:right="800"/>
              <w:spacing w:after="0"/>
              <w:rPr>
                <w:sz w:val="20"/>
                <w:szCs w:val="20"/>
                <w:color w:val="auto"/>
              </w:rPr>
            </w:pPr>
            <w:r>
              <w:rPr>
                <w:rFonts w:ascii="Arial" w:cs="Arial" w:eastAsia="Arial" w:hAnsi="Arial"/>
                <w:sz w:val="18"/>
                <w:szCs w:val="18"/>
                <w:color w:val="auto"/>
              </w:rPr>
              <w:t>(3,754)</w:t>
            </w:r>
          </w:p>
        </w:tc>
        <w:tc>
          <w:tcPr>
            <w:tcW w:w="26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(3,710)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 less current portion</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w w:val="89"/>
              </w:rPr>
              <w:t>114,071</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5534660</wp:posOffset>
            </wp:positionH>
            <wp:positionV relativeFrom="paragraph">
              <wp:posOffset>-29210</wp:posOffset>
            </wp:positionV>
            <wp:extent cx="50165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12% senior subordinated notes due 2010</w:t>
      </w:r>
    </w:p>
    <w:p>
      <w:pPr>
        <w:spacing w:after="0" w:line="77"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During fiscal 2003, the Company issued through private placements approximately $29.6 million principal amount of 12% senior subordinated notes due 2010. Interest on such notes was paid semi-annually. Together with these notes, the Company also issued, through such private placements, detachable warrants to purchase 1,182,400 million shares of Common Stock at exercise prices ranging from $4.76 to $7.32 per share. The assigned value of $5.6 million for these warrants was reflected as a component of stockholder’s equity to be amortized over the seven-year life of the notes as additional interest expense. Although the Company’s 12% senior subordinated notes due 2010 were not redeemable until July 3, 2004, the Company sought early redemption from the respective note holders in the fourth quarter of fiscal 2003. As a result, the Company prepaid approximately $21.8 million of such notes through the end of fiscal 2003.</w:t>
      </w:r>
    </w:p>
    <w:p>
      <w:pPr>
        <w:spacing w:after="0" w:line="10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During the second quarter of fiscal 2004, the Company prepaid the remaining $7.8 million outstanding on the notes. In connection with the early redemption, the Company incurred $1.9 million of additional expense related to prepayment charges and the write-off of remaining deferred costs associated with the warrants. The $1.9 million is included in the Consolidated Statement of Operations for the three and six months ended July 31, 2004 as a component of “Other income, net.”</w:t>
      </w:r>
    </w:p>
    <w:p>
      <w:pPr>
        <w:spacing w:after="0" w:line="124" w:lineRule="exact"/>
        <w:rPr>
          <w:sz w:val="20"/>
          <w:szCs w:val="20"/>
          <w:color w:val="auto"/>
        </w:rPr>
      </w:pPr>
    </w:p>
    <w:p>
      <w:pPr>
        <w:ind w:right="10060" w:firstLine="8"/>
        <w:spacing w:after="0" w:line="373" w:lineRule="auto"/>
        <w:tabs>
          <w:tab w:leader="none" w:pos="176"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Equity </w:t>
      </w:r>
      <w:r>
        <w:rPr>
          <w:rFonts w:ascii="Arial" w:cs="Arial" w:eastAsia="Arial" w:hAnsi="Arial"/>
          <w:sz w:val="16"/>
          <w:szCs w:val="16"/>
          <w:u w:val="single" w:color="auto"/>
          <w:color w:val="auto"/>
        </w:rPr>
        <w:t>Earnings Per Share</w:t>
      </w:r>
    </w:p>
    <w:p>
      <w:pPr>
        <w:spacing w:after="0" w:line="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SFAS No. 128,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requires the computation of basic and diluted earnings per share. Basic earnings per share is computed by dividing net income (loss) by the weighted average number of shares of Common Stock outstanding during the respective period. Diluted earnings per share is determined by giving effect to the exercise of stock options and certain warrants using the treasury stock method. The following table provides a reconciliation of the number of shares outstanding for basic and diluted earnings per share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980" w:type="dxa"/>
            <w:vAlign w:val="bottom"/>
          </w:tcPr>
          <w:p>
            <w:pPr>
              <w:spacing w:after="0"/>
              <w:rPr>
                <w:sz w:val="15"/>
                <w:szCs w:val="15"/>
                <w:color w:val="auto"/>
              </w:rPr>
            </w:pPr>
          </w:p>
        </w:tc>
        <w:tc>
          <w:tcPr>
            <w:tcW w:w="1620" w:type="dxa"/>
            <w:vAlign w:val="bottom"/>
            <w:gridSpan w:val="3"/>
          </w:tcPr>
          <w:p>
            <w:pPr>
              <w:jc w:val="right"/>
              <w:ind w:right="117"/>
              <w:spacing w:after="0"/>
              <w:rPr>
                <w:sz w:val="20"/>
                <w:szCs w:val="20"/>
                <w:color w:val="auto"/>
              </w:rPr>
            </w:pPr>
            <w:r>
              <w:rPr>
                <w:rFonts w:ascii="Arial" w:cs="Arial" w:eastAsia="Arial" w:hAnsi="Arial"/>
                <w:sz w:val="14"/>
                <w:szCs w:val="14"/>
                <w:b w:val="1"/>
                <w:bCs w:val="1"/>
                <w:color w:val="auto"/>
                <w:w w:val="99"/>
              </w:rPr>
              <w:t>For the three months</w:t>
            </w:r>
          </w:p>
        </w:tc>
        <w:tc>
          <w:tcPr>
            <w:tcW w:w="220" w:type="dxa"/>
            <w:vAlign w:val="bottom"/>
          </w:tcPr>
          <w:p>
            <w:pPr>
              <w:spacing w:after="0"/>
              <w:rPr>
                <w:sz w:val="15"/>
                <w:szCs w:val="15"/>
                <w:color w:val="auto"/>
              </w:rPr>
            </w:pPr>
          </w:p>
        </w:tc>
        <w:tc>
          <w:tcPr>
            <w:tcW w:w="1600" w:type="dxa"/>
            <w:vAlign w:val="bottom"/>
            <w:gridSpan w:val="4"/>
          </w:tcPr>
          <w:p>
            <w:pPr>
              <w:ind w:left="260"/>
              <w:spacing w:after="0"/>
              <w:rPr>
                <w:sz w:val="20"/>
                <w:szCs w:val="20"/>
                <w:color w:val="auto"/>
              </w:rPr>
            </w:pPr>
            <w:r>
              <w:rPr>
                <w:rFonts w:ascii="Arial" w:cs="Arial" w:eastAsia="Arial" w:hAnsi="Arial"/>
                <w:sz w:val="14"/>
                <w:szCs w:val="14"/>
                <w:b w:val="1"/>
                <w:bCs w:val="1"/>
                <w:color w:val="auto"/>
              </w:rPr>
              <w:t>For the six months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9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980" w:type="dxa"/>
            <w:vAlign w:val="bottom"/>
          </w:tcPr>
          <w:p>
            <w:pPr>
              <w:spacing w:after="0"/>
              <w:rPr>
                <w:sz w:val="22"/>
                <w:szCs w:val="22"/>
                <w:color w:val="auto"/>
              </w:rPr>
            </w:pPr>
          </w:p>
        </w:tc>
        <w:tc>
          <w:tcPr>
            <w:tcW w:w="700" w:type="dxa"/>
            <w:vAlign w:val="bottom"/>
          </w:tcPr>
          <w:p>
            <w:pPr>
              <w:jc w:val="right"/>
              <w:ind w:right="60"/>
              <w:spacing w:after="0"/>
              <w:rPr>
                <w:sz w:val="20"/>
                <w:szCs w:val="20"/>
                <w:color w:val="auto"/>
              </w:rPr>
            </w:pPr>
            <w:r>
              <w:rPr>
                <w:rFonts w:ascii="Arial" w:cs="Arial" w:eastAsia="Arial" w:hAnsi="Arial"/>
                <w:sz w:val="14"/>
                <w:szCs w:val="14"/>
                <w:b w:val="1"/>
                <w:bCs w:val="1"/>
                <w:color w:val="auto"/>
              </w:rPr>
              <w:t>7/31/04</w:t>
            </w:r>
          </w:p>
        </w:tc>
        <w:tc>
          <w:tcPr>
            <w:tcW w:w="220" w:type="dxa"/>
            <w:vAlign w:val="bottom"/>
          </w:tcPr>
          <w:p>
            <w:pPr>
              <w:spacing w:after="0"/>
              <w:rPr>
                <w:sz w:val="22"/>
                <w:szCs w:val="22"/>
                <w:color w:val="auto"/>
              </w:rPr>
            </w:pPr>
          </w:p>
        </w:tc>
        <w:tc>
          <w:tcPr>
            <w:tcW w:w="700" w:type="dxa"/>
            <w:vAlign w:val="bottom"/>
          </w:tcPr>
          <w:p>
            <w:pPr>
              <w:jc w:val="right"/>
              <w:ind w:right="97"/>
              <w:spacing w:after="0"/>
              <w:rPr>
                <w:sz w:val="20"/>
                <w:szCs w:val="20"/>
                <w:color w:val="auto"/>
              </w:rPr>
            </w:pPr>
            <w:r>
              <w:rPr>
                <w:rFonts w:ascii="Arial" w:cs="Arial" w:eastAsia="Arial" w:hAnsi="Arial"/>
                <w:sz w:val="14"/>
                <w:szCs w:val="14"/>
                <w:b w:val="1"/>
                <w:bCs w:val="1"/>
                <w:color w:val="auto"/>
              </w:rPr>
              <w:t>8/2/03</w:t>
            </w:r>
          </w:p>
        </w:tc>
        <w:tc>
          <w:tcPr>
            <w:tcW w:w="900" w:type="dxa"/>
            <w:vAlign w:val="bottom"/>
            <w:gridSpan w:val="2"/>
          </w:tcPr>
          <w:p>
            <w:pPr>
              <w:jc w:val="right"/>
              <w:ind w:right="42"/>
              <w:spacing w:after="0"/>
              <w:rPr>
                <w:sz w:val="20"/>
                <w:szCs w:val="20"/>
                <w:color w:val="auto"/>
              </w:rPr>
            </w:pPr>
            <w:r>
              <w:rPr>
                <w:rFonts w:ascii="Arial" w:cs="Arial" w:eastAsia="Arial" w:hAnsi="Arial"/>
                <w:sz w:val="14"/>
                <w:szCs w:val="14"/>
                <w:b w:val="1"/>
                <w:bCs w:val="1"/>
                <w:color w:val="auto"/>
              </w:rPr>
              <w:t>7/31/04</w:t>
            </w:r>
          </w:p>
        </w:tc>
        <w:tc>
          <w:tcPr>
            <w:tcW w:w="9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8/2/03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9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shares outstanding</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34,485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34,805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2"/>
              </w:rPr>
              <w:t>Stock options, excluding the effect of anti-dilutive options and warrants totaling 1,897 shares and 787 shares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80" w:type="dxa"/>
            <w:vAlign w:val="bottom"/>
          </w:tcPr>
          <w:p>
            <w:pPr>
              <w:ind w:left="200"/>
              <w:spacing w:after="0"/>
              <w:rPr>
                <w:sz w:val="20"/>
                <w:szCs w:val="20"/>
                <w:color w:val="auto"/>
              </w:rPr>
            </w:pPr>
            <w:r>
              <w:rPr>
                <w:rFonts w:ascii="Arial" w:cs="Arial" w:eastAsia="Arial" w:hAnsi="Arial"/>
                <w:sz w:val="18"/>
                <w:szCs w:val="18"/>
                <w:color w:val="auto"/>
              </w:rPr>
              <w:t>for the six months ended July 31, 2004 and August 2, 2003</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1,618</w:t>
            </w:r>
          </w:p>
        </w:tc>
        <w:tc>
          <w:tcPr>
            <w:tcW w:w="700" w:type="dxa"/>
            <w:vAlign w:val="bottom"/>
          </w:tcPr>
          <w:p>
            <w:pPr>
              <w:jc w:val="right"/>
              <w:spacing w:after="0"/>
              <w:rPr>
                <w:sz w:val="20"/>
                <w:szCs w:val="20"/>
                <w:color w:val="auto"/>
              </w:rPr>
            </w:pPr>
            <w:r>
              <w:rPr>
                <w:rFonts w:ascii="Arial" w:cs="Arial" w:eastAsia="Arial" w:hAnsi="Arial"/>
                <w:sz w:val="18"/>
                <w:szCs w:val="18"/>
                <w:color w:val="auto"/>
              </w:rPr>
              <w:t>1,052</w:t>
            </w:r>
          </w:p>
        </w:tc>
        <w:tc>
          <w:tcPr>
            <w:tcW w:w="220" w:type="dxa"/>
            <w:vAlign w:val="bottom"/>
          </w:tcPr>
          <w:p>
            <w:pPr>
              <w:spacing w:after="0"/>
              <w:rPr>
                <w:sz w:val="19"/>
                <w:szCs w:val="19"/>
                <w:color w:val="auto"/>
              </w:rPr>
            </w:pPr>
          </w:p>
        </w:tc>
        <w:tc>
          <w:tcPr>
            <w:tcW w:w="68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98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common shares outstanding</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36,103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36,891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34,805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6" w:name="page7"/>
    <w:bookmarkEnd w:id="6"/>
    <w:p>
      <w:pPr>
        <w:ind w:right="8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the following potential Common Stock equivalents were also excluded from the computation of diluted earnings per share in each period because the exercise price of such options, warrants and convertible notes was greater than the average market price per share of Common Stock for the respective periods: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2720" w:type="dxa"/>
            <w:vAlign w:val="bottom"/>
            <w:gridSpan w:val="3"/>
          </w:tcPr>
          <w:p>
            <w:pPr>
              <w:ind w:left="560"/>
              <w:spacing w:after="0"/>
              <w:rPr>
                <w:sz w:val="20"/>
                <w:szCs w:val="20"/>
                <w:color w:val="auto"/>
              </w:rPr>
            </w:pPr>
            <w:r>
              <w:rPr>
                <w:rFonts w:ascii="Arial" w:cs="Arial" w:eastAsia="Arial" w:hAnsi="Arial"/>
                <w:sz w:val="14"/>
                <w:szCs w:val="14"/>
                <w:b w:val="1"/>
                <w:bCs w:val="1"/>
                <w:color w:val="auto"/>
              </w:rPr>
              <w:t>For the three months ended</w:t>
            </w:r>
          </w:p>
        </w:tc>
        <w:tc>
          <w:tcPr>
            <w:tcW w:w="360" w:type="dxa"/>
            <w:vAlign w:val="bottom"/>
          </w:tcPr>
          <w:p>
            <w:pPr>
              <w:spacing w:after="0"/>
              <w:rPr>
                <w:sz w:val="15"/>
                <w:szCs w:val="15"/>
                <w:color w:val="auto"/>
              </w:rPr>
            </w:pPr>
          </w:p>
        </w:tc>
        <w:tc>
          <w:tcPr>
            <w:tcW w:w="2740" w:type="dxa"/>
            <w:vAlign w:val="bottom"/>
            <w:gridSpan w:val="3"/>
          </w:tcPr>
          <w:p>
            <w:pPr>
              <w:ind w:left="64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6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180" w:type="dxa"/>
            <w:vAlign w:val="bottom"/>
          </w:tcPr>
          <w:p>
            <w:pPr>
              <w:ind w:left="220"/>
              <w:spacing w:after="0"/>
              <w:rPr>
                <w:sz w:val="20"/>
                <w:szCs w:val="20"/>
                <w:color w:val="auto"/>
              </w:rPr>
            </w:pPr>
            <w:r>
              <w:rPr>
                <w:rFonts w:ascii="Arial" w:cs="Arial" w:eastAsia="Arial" w:hAnsi="Arial"/>
                <w:sz w:val="14"/>
                <w:szCs w:val="14"/>
                <w:b w:val="1"/>
                <w:bCs w:val="1"/>
                <w:color w:val="auto"/>
              </w:rPr>
              <w:t>July 31, 2004</w:t>
            </w:r>
          </w:p>
        </w:tc>
        <w:tc>
          <w:tcPr>
            <w:tcW w:w="360" w:type="dxa"/>
            <w:vAlign w:val="bottom"/>
          </w:tcPr>
          <w:p>
            <w:pPr>
              <w:spacing w:after="0"/>
              <w:rPr>
                <w:sz w:val="22"/>
                <w:szCs w:val="22"/>
                <w:color w:val="auto"/>
              </w:rPr>
            </w:pPr>
          </w:p>
        </w:tc>
        <w:tc>
          <w:tcPr>
            <w:tcW w:w="1180" w:type="dxa"/>
            <w:vAlign w:val="bottom"/>
          </w:tcPr>
          <w:p>
            <w:pPr>
              <w:ind w:left="160"/>
              <w:spacing w:after="0"/>
              <w:rPr>
                <w:sz w:val="20"/>
                <w:szCs w:val="20"/>
                <w:color w:val="auto"/>
              </w:rPr>
            </w:pPr>
            <w:r>
              <w:rPr>
                <w:rFonts w:ascii="Arial" w:cs="Arial" w:eastAsia="Arial" w:hAnsi="Arial"/>
                <w:sz w:val="14"/>
                <w:szCs w:val="14"/>
                <w:b w:val="1"/>
                <w:bCs w:val="1"/>
                <w:color w:val="auto"/>
              </w:rPr>
              <w:t>August 2, 2003</w:t>
            </w:r>
          </w:p>
        </w:tc>
        <w:tc>
          <w:tcPr>
            <w:tcW w:w="360" w:type="dxa"/>
            <w:vAlign w:val="bottom"/>
          </w:tcPr>
          <w:p>
            <w:pPr>
              <w:spacing w:after="0"/>
              <w:rPr>
                <w:sz w:val="22"/>
                <w:szCs w:val="22"/>
                <w:color w:val="auto"/>
              </w:rPr>
            </w:pPr>
          </w:p>
        </w:tc>
        <w:tc>
          <w:tcPr>
            <w:tcW w:w="1180" w:type="dxa"/>
            <w:vAlign w:val="bottom"/>
          </w:tcPr>
          <w:p>
            <w:pPr>
              <w:ind w:left="220"/>
              <w:spacing w:after="0"/>
              <w:rPr>
                <w:sz w:val="20"/>
                <w:szCs w:val="20"/>
                <w:color w:val="auto"/>
              </w:rPr>
            </w:pPr>
            <w:r>
              <w:rPr>
                <w:rFonts w:ascii="Arial" w:cs="Arial" w:eastAsia="Arial" w:hAnsi="Arial"/>
                <w:sz w:val="14"/>
                <w:szCs w:val="14"/>
                <w:b w:val="1"/>
                <w:bCs w:val="1"/>
                <w:color w:val="auto"/>
              </w:rPr>
              <w:t>July 31, 2004</w:t>
            </w:r>
          </w:p>
        </w:tc>
        <w:tc>
          <w:tcPr>
            <w:tcW w:w="360" w:type="dxa"/>
            <w:vAlign w:val="bottom"/>
          </w:tcPr>
          <w:p>
            <w:pPr>
              <w:spacing w:after="0"/>
              <w:rPr>
                <w:sz w:val="22"/>
                <w:szCs w:val="22"/>
                <w:color w:val="auto"/>
              </w:rPr>
            </w:pPr>
          </w:p>
        </w:tc>
        <w:tc>
          <w:tcPr>
            <w:tcW w:w="1200" w:type="dxa"/>
            <w:vAlign w:val="bottom"/>
          </w:tcPr>
          <w:p>
            <w:pPr>
              <w:ind w:left="180"/>
              <w:spacing w:after="0"/>
              <w:rPr>
                <w:sz w:val="20"/>
                <w:szCs w:val="20"/>
                <w:color w:val="auto"/>
              </w:rPr>
            </w:pPr>
            <w:r>
              <w:rPr>
                <w:rFonts w:ascii="Arial" w:cs="Arial" w:eastAsia="Arial" w:hAnsi="Arial"/>
                <w:sz w:val="14"/>
                <w:szCs w:val="14"/>
                <w:b w:val="1"/>
                <w:bCs w:val="1"/>
                <w:color w:val="auto"/>
              </w:rPr>
              <w:t>August 2, 2003</w:t>
            </w:r>
          </w:p>
        </w:tc>
        <w:tc>
          <w:tcPr>
            <w:tcW w:w="0" w:type="dxa"/>
            <w:vAlign w:val="bottom"/>
          </w:tcPr>
          <w:p>
            <w:pPr>
              <w:spacing w:after="0"/>
              <w:rPr>
                <w:sz w:val="1"/>
                <w:szCs w:val="1"/>
                <w:color w:val="auto"/>
              </w:rPr>
            </w:pPr>
          </w:p>
        </w:tc>
      </w:tr>
      <w:tr>
        <w:trPr>
          <w:trHeight w:val="95"/>
        </w:trPr>
        <w:tc>
          <w:tcPr>
            <w:tcW w:w="5600" w:type="dxa"/>
            <w:vAlign w:val="bottom"/>
            <w:gridSpan w:val="2"/>
            <w:vMerge w:val="continue"/>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5600" w:type="dxa"/>
            <w:vAlign w:val="bottom"/>
            <w:gridSpan w:val="2"/>
            <w:vMerge w:val="continue"/>
          </w:tcPr>
          <w:p>
            <w:pPr>
              <w:spacing w:after="0"/>
              <w:rPr>
                <w:sz w:val="4"/>
                <w:szCs w:val="4"/>
                <w:color w:val="auto"/>
              </w:rPr>
            </w:pPr>
          </w:p>
        </w:tc>
        <w:tc>
          <w:tcPr>
            <w:tcW w:w="1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5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762</w:t>
            </w:r>
          </w:p>
        </w:tc>
        <w:tc>
          <w:tcPr>
            <w:tcW w:w="154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6"/>
              </w:rPr>
              <w:t>220</w:t>
            </w:r>
          </w:p>
        </w:tc>
        <w:tc>
          <w:tcPr>
            <w:tcW w:w="154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6"/>
              </w:rPr>
              <w:t>507</w:t>
            </w:r>
          </w:p>
        </w:tc>
        <w:tc>
          <w:tcPr>
            <w:tcW w:w="156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8"/>
              </w:rPr>
              <w:t>1,688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Warrants</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1,482</w:t>
            </w:r>
          </w:p>
        </w:tc>
        <w:tc>
          <w:tcPr>
            <w:tcW w:w="1540" w:type="dxa"/>
            <w:vAlign w:val="bottom"/>
            <w:gridSpan w:val="2"/>
          </w:tcPr>
          <w:p>
            <w:pPr>
              <w:jc w:val="center"/>
              <w:ind w:left="292"/>
              <w:spacing w:after="0"/>
              <w:rPr>
                <w:sz w:val="20"/>
                <w:szCs w:val="20"/>
                <w:color w:val="auto"/>
              </w:rPr>
            </w:pPr>
            <w:r>
              <w:rPr>
                <w:rFonts w:ascii="Arial" w:cs="Arial" w:eastAsia="Arial" w:hAnsi="Arial"/>
                <w:sz w:val="18"/>
                <w:szCs w:val="18"/>
                <w:color w:val="auto"/>
                <w:w w:val="88"/>
              </w:rPr>
              <w:t>1,176</w:t>
            </w:r>
          </w:p>
        </w:tc>
        <w:tc>
          <w:tcPr>
            <w:tcW w:w="1540" w:type="dxa"/>
            <w:vAlign w:val="bottom"/>
            <w:gridSpan w:val="2"/>
          </w:tcPr>
          <w:p>
            <w:pPr>
              <w:jc w:val="center"/>
              <w:ind w:left="292"/>
              <w:spacing w:after="0"/>
              <w:rPr>
                <w:sz w:val="20"/>
                <w:szCs w:val="20"/>
                <w:color w:val="auto"/>
              </w:rPr>
            </w:pPr>
            <w:r>
              <w:rPr>
                <w:rFonts w:ascii="Arial" w:cs="Arial" w:eastAsia="Arial" w:hAnsi="Arial"/>
                <w:sz w:val="18"/>
                <w:szCs w:val="18"/>
                <w:color w:val="auto"/>
                <w:w w:val="88"/>
              </w:rPr>
              <w:t>1,176</w:t>
            </w:r>
          </w:p>
        </w:tc>
        <w:tc>
          <w:tcPr>
            <w:tcW w:w="1560" w:type="dxa"/>
            <w:vAlign w:val="bottom"/>
            <w:gridSpan w:val="2"/>
          </w:tcPr>
          <w:p>
            <w:pPr>
              <w:jc w:val="center"/>
              <w:ind w:left="272"/>
              <w:spacing w:after="0"/>
              <w:rPr>
                <w:sz w:val="20"/>
                <w:szCs w:val="20"/>
                <w:color w:val="auto"/>
              </w:rPr>
            </w:pPr>
            <w:r>
              <w:rPr>
                <w:rFonts w:ascii="Arial" w:cs="Arial" w:eastAsia="Arial" w:hAnsi="Arial"/>
                <w:sz w:val="18"/>
                <w:szCs w:val="18"/>
                <w:color w:val="auto"/>
                <w:w w:val="88"/>
              </w:rPr>
              <w:t>1,676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at $10.65 per share</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9,390</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88"/>
              </w:rPr>
              <w:t>9,390</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w w:val="95"/>
              </w:rPr>
              <w:t>Range of exercise prices of such options, warrants and convertible notes</w:t>
            </w: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$7.11 - $10.65</w:t>
            </w:r>
          </w:p>
        </w:tc>
        <w:tc>
          <w:tcPr>
            <w:tcW w:w="1540" w:type="dxa"/>
            <w:vAlign w:val="bottom"/>
            <w:gridSpan w:val="2"/>
          </w:tcPr>
          <w:p>
            <w:pPr>
              <w:jc w:val="center"/>
              <w:ind w:left="272"/>
              <w:spacing w:after="0"/>
              <w:rPr>
                <w:sz w:val="20"/>
                <w:szCs w:val="20"/>
                <w:color w:val="auto"/>
              </w:rPr>
            </w:pPr>
            <w:r>
              <w:rPr>
                <w:rFonts w:ascii="Arial" w:cs="Arial" w:eastAsia="Arial" w:hAnsi="Arial"/>
                <w:sz w:val="18"/>
                <w:szCs w:val="18"/>
                <w:color w:val="auto"/>
                <w:w w:val="87"/>
              </w:rPr>
              <w:t>$5.24 - $17.75</w:t>
            </w:r>
          </w:p>
        </w:tc>
        <w:tc>
          <w:tcPr>
            <w:tcW w:w="1540" w:type="dxa"/>
            <w:vAlign w:val="bottom"/>
            <w:gridSpan w:val="2"/>
          </w:tcPr>
          <w:p>
            <w:pPr>
              <w:jc w:val="center"/>
              <w:ind w:left="272"/>
              <w:spacing w:after="0"/>
              <w:rPr>
                <w:sz w:val="20"/>
                <w:szCs w:val="20"/>
                <w:color w:val="auto"/>
              </w:rPr>
            </w:pPr>
            <w:r>
              <w:rPr>
                <w:rFonts w:ascii="Arial" w:cs="Arial" w:eastAsia="Arial" w:hAnsi="Arial"/>
                <w:sz w:val="18"/>
                <w:szCs w:val="18"/>
                <w:color w:val="auto"/>
                <w:w w:val="87"/>
              </w:rPr>
              <w:t>$8.50 - $10.65</w:t>
            </w:r>
          </w:p>
        </w:tc>
        <w:tc>
          <w:tcPr>
            <w:tcW w:w="1560" w:type="dxa"/>
            <w:vAlign w:val="bottom"/>
            <w:gridSpan w:val="2"/>
          </w:tcPr>
          <w:p>
            <w:pPr>
              <w:jc w:val="center"/>
              <w:ind w:left="272"/>
              <w:spacing w:after="0"/>
              <w:rPr>
                <w:sz w:val="20"/>
                <w:szCs w:val="20"/>
                <w:color w:val="auto"/>
              </w:rPr>
            </w:pPr>
            <w:r>
              <w:rPr>
                <w:rFonts w:ascii="Arial" w:cs="Arial" w:eastAsia="Arial" w:hAnsi="Arial"/>
                <w:sz w:val="18"/>
                <w:szCs w:val="18"/>
                <w:color w:val="auto"/>
                <w:w w:val="89"/>
              </w:rPr>
              <w:t>$4.25 - $17.75</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0" w:right="220" w:hanging="4"/>
        <w:spacing w:after="0" w:line="375" w:lineRule="auto"/>
        <w:rPr>
          <w:sz w:val="20"/>
          <w:szCs w:val="20"/>
          <w:color w:val="auto"/>
        </w:rPr>
      </w:pPr>
      <w:r>
        <w:rPr>
          <w:rFonts w:ascii="Arial" w:cs="Arial" w:eastAsia="Arial" w:hAnsi="Arial"/>
          <w:sz w:val="18"/>
          <w:szCs w:val="18"/>
          <w:color w:val="auto"/>
        </w:rPr>
        <w:t xml:space="preserve">The above options, warrants and convertible notes which were outstanding and out-of-the-money at July 31, 2004 expire from June 13, 2005 to April 27, 2024. </w:t>
      </w:r>
      <w:r>
        <w:rPr>
          <w:rFonts w:ascii="Arial" w:cs="Arial" w:eastAsia="Arial" w:hAnsi="Arial"/>
          <w:sz w:val="18"/>
          <w:szCs w:val="18"/>
          <w:u w:val="single" w:color="auto"/>
          <w:color w:val="auto"/>
        </w:rPr>
        <w:t>Stock-Based Compensation</w:t>
      </w:r>
    </w:p>
    <w:p>
      <w:pPr>
        <w:spacing w:after="0" w:line="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 xml:space="preserve">The Company accounts for stock option plans in accordance with the provisions of APB Opinion No.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and related Interpretations in accounting for its plans.</w:t>
      </w:r>
    </w:p>
    <w:p>
      <w:pPr>
        <w:spacing w:after="0" w:line="11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The Company has elected the disclosure-only alternative prescribed in SFAS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and, accordingly, no compensation cost has been recognized. The Company has disclosed the pro forma net income or loss and per share amounts using the fair value based method. Had compensation costs for the Company’s grants for stock-based compensation been determined consistent with SFAS 123, the Company’s net loss and loss per share would have been as indicated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gridSpan w:val="4"/>
          </w:tcPr>
          <w:p>
            <w:pPr>
              <w:ind w:left="200"/>
              <w:spacing w:after="0"/>
              <w:rPr>
                <w:sz w:val="20"/>
                <w:szCs w:val="20"/>
                <w:color w:val="auto"/>
              </w:rPr>
            </w:pPr>
            <w:r>
              <w:rPr>
                <w:rFonts w:ascii="Arial" w:cs="Arial" w:eastAsia="Arial" w:hAnsi="Arial"/>
                <w:sz w:val="14"/>
                <w:szCs w:val="14"/>
                <w:b w:val="1"/>
                <w:bCs w:val="1"/>
                <w:color w:val="auto"/>
                <w:w w:val="88"/>
              </w:rPr>
              <w:t>For the three months ended</w:t>
            </w: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3"/>
          </w:tcPr>
          <w:p>
            <w:pPr>
              <w:ind w:left="320"/>
              <w:spacing w:after="0"/>
              <w:rPr>
                <w:sz w:val="20"/>
                <w:szCs w:val="20"/>
                <w:color w:val="auto"/>
              </w:rPr>
            </w:pPr>
            <w:r>
              <w:rPr>
                <w:rFonts w:ascii="Arial" w:cs="Arial" w:eastAsia="Arial" w:hAnsi="Arial"/>
                <w:sz w:val="14"/>
                <w:szCs w:val="14"/>
                <w:b w:val="1"/>
                <w:bCs w:val="1"/>
                <w:color w:val="auto"/>
                <w:w w:val="85"/>
              </w:rPr>
              <w:t>For the six months ended</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6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 except per share amounts)</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July 31, 2004</w:t>
            </w:r>
          </w:p>
        </w:tc>
        <w:tc>
          <w:tcPr>
            <w:tcW w:w="2000" w:type="dxa"/>
            <w:vAlign w:val="bottom"/>
            <w:gridSpan w:val="4"/>
          </w:tcPr>
          <w:p>
            <w:pPr>
              <w:ind w:left="400"/>
              <w:spacing w:after="0"/>
              <w:rPr>
                <w:sz w:val="20"/>
                <w:szCs w:val="20"/>
                <w:color w:val="auto"/>
              </w:rPr>
            </w:pPr>
            <w:r>
              <w:rPr>
                <w:rFonts w:ascii="Arial" w:cs="Arial" w:eastAsia="Arial" w:hAnsi="Arial"/>
                <w:sz w:val="14"/>
                <w:szCs w:val="14"/>
                <w:b w:val="1"/>
                <w:bCs w:val="1"/>
                <w:color w:val="auto"/>
              </w:rPr>
              <w:t>August 2, 2003</w:t>
            </w: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July 31, 2004</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August 2, 2003</w:t>
            </w:r>
          </w:p>
        </w:tc>
        <w:tc>
          <w:tcPr>
            <w:tcW w:w="0" w:type="dxa"/>
            <w:vAlign w:val="bottom"/>
          </w:tcPr>
          <w:p>
            <w:pPr>
              <w:spacing w:after="0"/>
              <w:rPr>
                <w:sz w:val="1"/>
                <w:szCs w:val="1"/>
                <w:color w:val="auto"/>
              </w:rPr>
            </w:pPr>
          </w:p>
        </w:tc>
      </w:tr>
      <w:tr>
        <w:trPr>
          <w:trHeight w:val="95"/>
        </w:trPr>
        <w:tc>
          <w:tcPr>
            <w:tcW w:w="5620" w:type="dxa"/>
            <w:vAlign w:val="bottom"/>
            <w:gridSpan w:val="2"/>
            <w:vMerge w:val="continue"/>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562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 as reported</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(4,995)</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income (loss) – pro forma</w:t>
            </w:r>
          </w:p>
        </w:tc>
        <w:tc>
          <w:tcPr>
            <w:tcW w:w="2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(743)</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365</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800"/>
              <w:spacing w:after="0"/>
              <w:rPr>
                <w:sz w:val="20"/>
                <w:szCs w:val="20"/>
                <w:color w:val="auto"/>
              </w:rPr>
            </w:pPr>
            <w:r>
              <w:rPr>
                <w:rFonts w:ascii="Arial" w:cs="Arial" w:eastAsia="Arial" w:hAnsi="Arial"/>
                <w:sz w:val="18"/>
                <w:szCs w:val="18"/>
                <w:color w:val="auto"/>
              </w:rPr>
              <w:t>(6,213)</w:t>
            </w:r>
          </w:p>
        </w:tc>
        <w:tc>
          <w:tcPr>
            <w:tcW w:w="3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(loss) per share – diluted as reported</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(0.14)</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Income (loss) per share – diluted pro-forma</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(0.02)</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0.01</w:t>
            </w:r>
          </w:p>
        </w:tc>
        <w:tc>
          <w:tcPr>
            <w:tcW w:w="7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00"/>
              <w:spacing w:after="0"/>
              <w:rPr>
                <w:sz w:val="20"/>
                <w:szCs w:val="20"/>
                <w:color w:val="auto"/>
              </w:rPr>
            </w:pPr>
            <w:r>
              <w:rPr>
                <w:rFonts w:ascii="Arial" w:cs="Arial" w:eastAsia="Arial" w:hAnsi="Arial"/>
                <w:sz w:val="18"/>
                <w:szCs w:val="18"/>
                <w:color w:val="auto"/>
              </w:rPr>
              <w:t>(0.18)</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The effects of applying SFAS 123 in this pro forma disclosure are not likely to be representative of the effects on reported net income or loss for future years.</w:t>
      </w:r>
    </w:p>
    <w:p>
      <w:pPr>
        <w:spacing w:after="0" w:line="181"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 Pricing Model with the following weighted-average assumptions used for grants for the six months ended July 31, 2004 and August 2, 2003:</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7"/>
              </w:rPr>
              <w:t>July 31, 2004</w:t>
            </w:r>
          </w:p>
        </w:tc>
        <w:tc>
          <w:tcPr>
            <w:tcW w:w="1840" w:type="dxa"/>
            <w:vAlign w:val="bottom"/>
            <w:gridSpan w:val="2"/>
          </w:tcPr>
          <w:p>
            <w:pPr>
              <w:jc w:val="center"/>
              <w:ind w:left="899"/>
              <w:spacing w:after="0"/>
              <w:rPr>
                <w:sz w:val="20"/>
                <w:szCs w:val="20"/>
                <w:color w:val="auto"/>
              </w:rPr>
            </w:pPr>
            <w:r>
              <w:rPr>
                <w:rFonts w:ascii="Arial" w:cs="Arial" w:eastAsia="Arial" w:hAnsi="Arial"/>
                <w:sz w:val="14"/>
                <w:szCs w:val="14"/>
                <w:b w:val="1"/>
                <w:bCs w:val="1"/>
                <w:color w:val="auto"/>
                <w:w w:val="86"/>
              </w:rPr>
              <w:t>August 2,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42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65.0%</w:t>
            </w:r>
          </w:p>
        </w:tc>
        <w:tc>
          <w:tcPr>
            <w:tcW w:w="1840" w:type="dxa"/>
            <w:vAlign w:val="bottom"/>
            <w:gridSpan w:val="2"/>
            <w:shd w:val="clear" w:color="auto" w:fill="CCEEFF"/>
          </w:tcPr>
          <w:p>
            <w:pPr>
              <w:jc w:val="center"/>
              <w:ind w:left="899"/>
              <w:spacing w:after="0"/>
              <w:rPr>
                <w:sz w:val="20"/>
                <w:szCs w:val="20"/>
                <w:color w:val="auto"/>
              </w:rPr>
            </w:pPr>
            <w:r>
              <w:rPr>
                <w:rFonts w:ascii="Arial" w:cs="Arial" w:eastAsia="Arial" w:hAnsi="Arial"/>
                <w:sz w:val="18"/>
                <w:szCs w:val="18"/>
                <w:color w:val="auto"/>
                <w:w w:val="90"/>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2.69% - 3.71%</w:t>
            </w:r>
          </w:p>
        </w:tc>
        <w:tc>
          <w:tcPr>
            <w:tcW w:w="1840" w:type="dxa"/>
            <w:vAlign w:val="bottom"/>
            <w:gridSpan w:val="2"/>
          </w:tcPr>
          <w:p>
            <w:pPr>
              <w:jc w:val="center"/>
              <w:ind w:left="899"/>
              <w:spacing w:after="0"/>
              <w:rPr>
                <w:sz w:val="20"/>
                <w:szCs w:val="20"/>
                <w:color w:val="auto"/>
              </w:rPr>
            </w:pPr>
            <w:r>
              <w:rPr>
                <w:rFonts w:ascii="Arial" w:cs="Arial" w:eastAsia="Arial" w:hAnsi="Arial"/>
                <w:sz w:val="18"/>
                <w:szCs w:val="18"/>
                <w:color w:val="auto"/>
                <w:w w:val="90"/>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23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 yrs.</w:t>
            </w:r>
          </w:p>
        </w:tc>
        <w:tc>
          <w:tcPr>
            <w:tcW w:w="9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 yrs.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Dividend rate</w:t>
            </w:r>
          </w:p>
        </w:tc>
        <w:tc>
          <w:tcPr>
            <w:tcW w:w="2360" w:type="dxa"/>
            <w:vAlign w:val="bottom"/>
          </w:tcPr>
          <w:p>
            <w:pPr>
              <w:spacing w:after="0"/>
              <w:rPr>
                <w:sz w:val="19"/>
                <w:szCs w:val="19"/>
                <w:color w:val="auto"/>
              </w:rPr>
            </w:pPr>
          </w:p>
        </w:tc>
        <w:tc>
          <w:tcPr>
            <w:tcW w:w="1060" w:type="dxa"/>
            <w:vAlign w:val="bottom"/>
          </w:tcPr>
          <w:p>
            <w:pPr>
              <w:ind w:left="4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860" w:type="dxa"/>
            <w:vAlign w:val="bottom"/>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fair value of options granted in the first six months of fiscal 2004 and fiscal 2003 were $4.55 and $4.46,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Restructuring, Store Closings and Impairment of Assets</w:t>
      </w:r>
    </w:p>
    <w:p>
      <w:pPr>
        <w:spacing w:after="0" w:line="83" w:lineRule="exact"/>
        <w:rPr>
          <w:sz w:val="20"/>
          <w:szCs w:val="20"/>
          <w:color w:val="auto"/>
        </w:rPr>
      </w:pPr>
    </w:p>
    <w:p>
      <w:pPr>
        <w:jc w:val="both"/>
        <w:ind w:right="20"/>
        <w:spacing w:after="0" w:line="220" w:lineRule="auto"/>
        <w:rPr>
          <w:sz w:val="20"/>
          <w:szCs w:val="20"/>
          <w:color w:val="auto"/>
        </w:rPr>
      </w:pPr>
      <w:r>
        <w:rPr>
          <w:rFonts w:ascii="Arial" w:cs="Arial" w:eastAsia="Arial" w:hAnsi="Arial"/>
          <w:sz w:val="18"/>
          <w:szCs w:val="18"/>
          <w:color w:val="auto"/>
        </w:rPr>
        <w:t>In fiscal 2002, the Company implemented an aggressive plan to downsize its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business, with the intention to eventually exit it completely. Under the plan, the Company planned to close between 50 to 55 stores over a 24 month period, thereby reducing the sales base of its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business to less than 10% of the</w:t>
      </w:r>
    </w:p>
    <w:p>
      <w:pPr>
        <w:sectPr>
          <w:pgSz w:w="11900" w:h="16838" w:orient="portrait"/>
          <w:cols w:equalWidth="0" w:num="1">
            <w:col w:w="11420"/>
          </w:cols>
          <w:pgMar w:left="240" w:top="280" w:right="239" w:bottom="1440" w:gutter="0" w:footer="0" w:header="0"/>
        </w:sectPr>
      </w:pPr>
    </w:p>
    <w:bookmarkStart w:id="7" w:name="page8"/>
    <w:bookmarkEnd w:id="7"/>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Company’s total sales. In fiscal 2002, the Company closed 20 of its Levi’s</w:t>
      </w:r>
      <w:r>
        <w:rPr>
          <w:rFonts w:ascii="Arial" w:cs="Arial" w:eastAsia="Arial" w:hAnsi="Arial"/>
          <w:sz w:val="19"/>
          <w:szCs w:val="19"/>
          <w:color w:val="auto"/>
          <w:vertAlign w:val="superscript"/>
        </w:rPr>
        <w:t>®</w:t>
      </w:r>
      <w:r>
        <w:rPr>
          <w:rFonts w:ascii="Arial" w:cs="Arial" w:eastAsia="Arial" w:hAnsi="Arial"/>
          <w:sz w:val="15"/>
          <w:szCs w:val="15"/>
          <w:color w:val="auto"/>
        </w:rPr>
        <w:t>/Dockers</w:t>
      </w:r>
      <w:r>
        <w:rPr>
          <w:rFonts w:ascii="Arial" w:cs="Arial" w:eastAsia="Arial" w:hAnsi="Arial"/>
          <w:sz w:val="19"/>
          <w:szCs w:val="19"/>
          <w:color w:val="auto"/>
          <w:vertAlign w:val="superscript"/>
        </w:rPr>
        <w:t>®</w:t>
      </w:r>
      <w:r>
        <w:rPr>
          <w:rFonts w:ascii="Arial" w:cs="Arial" w:eastAsia="Arial" w:hAnsi="Arial"/>
          <w:sz w:val="15"/>
          <w:szCs w:val="15"/>
          <w:color w:val="auto"/>
        </w:rPr>
        <w:t xml:space="preserve"> Outlet stores pursuant to this plan and an additional 25 stores in fiscal 2003.</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six months of fiscal 2004, the Company has closed 10 additional stores, resulting in 48 remaining Levi’s</w:t>
      </w:r>
      <w:r>
        <w:rPr>
          <w:rFonts w:ascii="Arial" w:cs="Arial" w:eastAsia="Arial" w:hAnsi="Arial"/>
          <w:sz w:val="20"/>
          <w:szCs w:val="20"/>
          <w:color w:val="auto"/>
          <w:vertAlign w:val="superscript"/>
        </w:rPr>
        <w:t>®</w:t>
      </w:r>
      <w:r>
        <w:rPr>
          <w:rFonts w:ascii="Arial" w:cs="Arial" w:eastAsia="Arial" w:hAnsi="Arial"/>
          <w:sz w:val="16"/>
          <w:szCs w:val="16"/>
          <w:color w:val="auto"/>
        </w:rPr>
        <w:t>/Dockers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outlet stores at July 31, 2004.</w:t>
      </w:r>
    </w:p>
    <w:p>
      <w:pPr>
        <w:spacing w:after="0" w:line="121" w:lineRule="exact"/>
        <w:rPr>
          <w:sz w:val="20"/>
          <w:szCs w:val="20"/>
          <w:color w:val="auto"/>
        </w:rPr>
      </w:pPr>
    </w:p>
    <w:p>
      <w:pPr>
        <w:ind w:right="540"/>
        <w:spacing w:after="0" w:line="241" w:lineRule="auto"/>
        <w:rPr>
          <w:sz w:val="20"/>
          <w:szCs w:val="20"/>
          <w:color w:val="auto"/>
        </w:rPr>
      </w:pPr>
      <w:r>
        <w:rPr>
          <w:rFonts w:ascii="Arial" w:cs="Arial" w:eastAsia="Arial" w:hAnsi="Arial"/>
          <w:sz w:val="17"/>
          <w:szCs w:val="17"/>
          <w:color w:val="auto"/>
        </w:rPr>
        <w:t>At July 31, 2004, the remaining reserve for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store closings was $3.2 million. The reserve consisted of inventory reserves of $586,000 and accruals for landlord settlements and other costs of $2.6 million. These remaining reserves are for stores identified in fiscal 2002.</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17"/>
              <w:spacing w:after="0"/>
              <w:rPr>
                <w:sz w:val="20"/>
                <w:szCs w:val="20"/>
                <w:color w:val="auto"/>
              </w:rPr>
            </w:pPr>
            <w:r>
              <w:rPr>
                <w:rFonts w:ascii="Arial" w:cs="Arial" w:eastAsia="Arial" w:hAnsi="Arial"/>
                <w:sz w:val="14"/>
                <w:szCs w:val="14"/>
                <w:b w:val="1"/>
                <w:bCs w:val="1"/>
                <w:color w:val="auto"/>
                <w:w w:val="91"/>
              </w:rPr>
              <w:t>Balance at</w:t>
            </w: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Net</w:t>
            </w:r>
          </w:p>
        </w:tc>
        <w:tc>
          <w:tcPr>
            <w:tcW w:w="3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Charges/</w:t>
            </w:r>
          </w:p>
        </w:tc>
        <w:tc>
          <w:tcPr>
            <w:tcW w:w="76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w w:val="97"/>
              </w:rPr>
              <w:t>Balance at</w:t>
            </w:r>
          </w:p>
        </w:tc>
        <w:tc>
          <w:tcPr>
            <w:tcW w:w="0" w:type="dxa"/>
            <w:vAlign w:val="bottom"/>
          </w:tcPr>
          <w:p>
            <w:pPr>
              <w:spacing w:after="0"/>
              <w:rPr>
                <w:sz w:val="1"/>
                <w:szCs w:val="1"/>
                <w:color w:val="auto"/>
              </w:rPr>
            </w:pPr>
          </w:p>
        </w:tc>
      </w:tr>
      <w:tr>
        <w:trPr>
          <w:trHeight w:val="174"/>
        </w:trPr>
        <w:tc>
          <w:tcPr>
            <w:tcW w:w="56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January 31, 2004</w:t>
            </w:r>
          </w:p>
        </w:tc>
        <w:tc>
          <w:tcPr>
            <w:tcW w:w="2300" w:type="dxa"/>
            <w:vAlign w:val="bottom"/>
            <w:gridSpan w:val="4"/>
          </w:tcPr>
          <w:p>
            <w:pPr>
              <w:ind w:left="760"/>
              <w:spacing w:after="0"/>
              <w:rPr>
                <w:sz w:val="20"/>
                <w:szCs w:val="20"/>
                <w:color w:val="auto"/>
              </w:rPr>
            </w:pPr>
            <w:r>
              <w:rPr>
                <w:rFonts w:ascii="Arial" w:cs="Arial" w:eastAsia="Arial" w:hAnsi="Arial"/>
                <w:sz w:val="14"/>
                <w:szCs w:val="14"/>
                <w:b w:val="1"/>
                <w:bCs w:val="1"/>
                <w:color w:val="auto"/>
              </w:rPr>
              <w:t>Provisions/(Income)</w:t>
            </w:r>
          </w:p>
        </w:tc>
        <w:tc>
          <w:tcPr>
            <w:tcW w:w="38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Write-offs</w:t>
            </w:r>
          </w:p>
        </w:tc>
        <w:tc>
          <w:tcPr>
            <w:tcW w:w="760" w:type="dxa"/>
            <w:vAlign w:val="bottom"/>
          </w:tcPr>
          <w:p>
            <w:pPr>
              <w:spacing w:after="0"/>
              <w:rPr>
                <w:sz w:val="15"/>
                <w:szCs w:val="15"/>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5"/>
              </w:rPr>
              <w:t>July 31, 2004</w:t>
            </w:r>
          </w:p>
        </w:tc>
        <w:tc>
          <w:tcPr>
            <w:tcW w:w="0" w:type="dxa"/>
            <w:vAlign w:val="bottom"/>
          </w:tcPr>
          <w:p>
            <w:pPr>
              <w:spacing w:after="0"/>
              <w:rPr>
                <w:sz w:val="1"/>
                <w:szCs w:val="1"/>
                <w:color w:val="auto"/>
              </w:rPr>
            </w:pPr>
          </w:p>
        </w:tc>
      </w:tr>
      <w:tr>
        <w:trPr>
          <w:trHeight w:val="95"/>
        </w:trPr>
        <w:tc>
          <w:tcPr>
            <w:tcW w:w="5620" w:type="dxa"/>
            <w:vAlign w:val="bottom"/>
            <w:gridSpan w:val="2"/>
            <w:vMerge w:val="continue"/>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56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Inventory reserves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Accrued liabilities for severance and store closings</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0.3</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reserves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Discontinued Operations</w:t>
      </w:r>
    </w:p>
    <w:p>
      <w:pPr>
        <w:spacing w:after="0" w:line="83"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In accordance with the provisions of SFAS 144, the Company’s discontinued operations reflect the operating results for stores which have been closed as part of the Company’s plan to exit its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business. The results for the three and six months ended July 31, 2004 and August 2, 2003 have been reclassified to show the results of operations for closed stores.</w:t>
      </w:r>
    </w:p>
    <w:p>
      <w:pPr>
        <w:spacing w:after="0" w:line="144"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Discontinued operations for the second quarter of fiscal 2004 resulted in a loss of $1.0 million compared to a loss of $0.3 million in the second quarter of fiscal 2003. For the six months ended July 31, 2004, discontinued operations resulted in a loss of $2.1 million as compared to a loss of $0.4 million for the six months ended August 2, 2003. Due to the consolidated tax position, no tax benefit or provision was realized on discontinued operations. Below is a summary of the results of operations for closed stores for the three and six months ended July 31, 2004 and August 2, 2003:</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 w:type="dxa"/>
            <w:vAlign w:val="bottom"/>
          </w:tcPr>
          <w:p>
            <w:pPr>
              <w:spacing w:after="0"/>
              <w:rPr>
                <w:sz w:val="15"/>
                <w:szCs w:val="15"/>
                <w:color w:val="auto"/>
              </w:rPr>
            </w:pPr>
          </w:p>
        </w:tc>
        <w:tc>
          <w:tcPr>
            <w:tcW w:w="2970" w:type="dxa"/>
            <w:vAlign w:val="bottom"/>
            <w:gridSpan w:val="5"/>
          </w:tcPr>
          <w:p>
            <w:pPr>
              <w:jc w:val="right"/>
              <w:ind w:right="1160"/>
              <w:spacing w:after="0"/>
              <w:rPr>
                <w:sz w:val="20"/>
                <w:szCs w:val="20"/>
                <w:color w:val="auto"/>
              </w:rPr>
            </w:pPr>
            <w:r>
              <w:rPr>
                <w:rFonts w:ascii="Arial" w:cs="Arial" w:eastAsia="Arial" w:hAnsi="Arial"/>
                <w:sz w:val="14"/>
                <w:szCs w:val="14"/>
                <w:b w:val="1"/>
                <w:bCs w:val="1"/>
                <w:color w:val="auto"/>
                <w:w w:val="96"/>
              </w:rPr>
              <w:t>For the three months ended</w:t>
            </w:r>
          </w:p>
        </w:tc>
        <w:tc>
          <w:tcPr>
            <w:tcW w:w="200" w:type="dxa"/>
            <w:vAlign w:val="bottom"/>
          </w:tcPr>
          <w:p>
            <w:pPr>
              <w:spacing w:after="0"/>
              <w:rPr>
                <w:sz w:val="15"/>
                <w:szCs w:val="15"/>
                <w:color w:val="auto"/>
              </w:rPr>
            </w:pPr>
          </w:p>
        </w:tc>
        <w:tc>
          <w:tcPr>
            <w:tcW w:w="23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76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July 31, 2004</w:t>
            </w: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August 2, 2003</w:t>
            </w: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July 31, 2004</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August 2, 2003</w:t>
            </w:r>
          </w:p>
        </w:tc>
        <w:tc>
          <w:tcPr>
            <w:tcW w:w="0" w:type="dxa"/>
            <w:vAlign w:val="bottom"/>
          </w:tcPr>
          <w:p>
            <w:pPr>
              <w:spacing w:after="0"/>
              <w:rPr>
                <w:sz w:val="1"/>
                <w:szCs w:val="1"/>
                <w:color w:val="auto"/>
              </w:rPr>
            </w:pPr>
          </w:p>
        </w:tc>
      </w:tr>
      <w:tr>
        <w:trPr>
          <w:trHeight w:val="95"/>
        </w:trPr>
        <w:tc>
          <w:tcPr>
            <w:tcW w:w="5760" w:type="dxa"/>
            <w:vAlign w:val="bottom"/>
            <w:gridSpan w:val="3"/>
            <w:vMerge w:val="continue"/>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5760" w:type="dxa"/>
            <w:vAlign w:val="bottom"/>
            <w:gridSpan w:val="3"/>
            <w:vMerge w:val="continue"/>
          </w:tcPr>
          <w:p>
            <w:pPr>
              <w:spacing w:after="0"/>
              <w:rPr>
                <w:sz w:val="4"/>
                <w:szCs w:val="4"/>
                <w:color w:val="auto"/>
              </w:rPr>
            </w:pPr>
          </w:p>
        </w:tc>
        <w:tc>
          <w:tcPr>
            <w:tcW w:w="170" w:type="dxa"/>
            <w:vAlign w:val="bottom"/>
          </w:tcPr>
          <w:p>
            <w:pPr>
              <w:spacing w:after="0"/>
              <w:rPr>
                <w:sz w:val="4"/>
                <w:szCs w:val="4"/>
                <w:color w:val="auto"/>
              </w:rPr>
            </w:pPr>
          </w:p>
        </w:tc>
        <w:tc>
          <w:tcPr>
            <w:tcW w:w="57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70" w:type="dxa"/>
            <w:vAlign w:val="bottom"/>
          </w:tcPr>
          <w:p>
            <w:pPr>
              <w:spacing w:after="0"/>
              <w:rPr>
                <w:sz w:val="4"/>
                <w:szCs w:val="4"/>
                <w:color w:val="auto"/>
              </w:rPr>
            </w:pPr>
          </w:p>
        </w:tc>
        <w:tc>
          <w:tcPr>
            <w:tcW w:w="57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17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12,063</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6,052</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170" w:type="dxa"/>
            <w:vAlign w:val="bottom"/>
          </w:tcPr>
          <w:p>
            <w:pPr>
              <w:spacing w:after="0"/>
              <w:rPr>
                <w:sz w:val="18"/>
                <w:szCs w:val="18"/>
                <w:color w:val="auto"/>
              </w:rPr>
            </w:pPr>
          </w:p>
        </w:tc>
        <w:tc>
          <w:tcPr>
            <w:tcW w:w="1350" w:type="dxa"/>
            <w:vAlign w:val="bottom"/>
            <w:gridSpan w:val="2"/>
          </w:tcPr>
          <w:p>
            <w:pPr>
              <w:jc w:val="right"/>
              <w:ind w:right="72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2,708</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7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70" w:type="dxa"/>
            <w:vAlign w:val="bottom"/>
          </w:tcPr>
          <w:p>
            <w:pPr>
              <w:spacing w:after="0"/>
              <w:rPr>
                <w:sz w:val="19"/>
                <w:szCs w:val="19"/>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509</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163</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611</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70" w:type="dxa"/>
            <w:vAlign w:val="bottom"/>
          </w:tcPr>
          <w:p>
            <w:pPr>
              <w:spacing w:after="0"/>
              <w:rPr>
                <w:sz w:val="8"/>
                <w:szCs w:val="8"/>
                <w:color w:val="auto"/>
              </w:rPr>
            </w:pPr>
          </w:p>
        </w:tc>
        <w:tc>
          <w:tcPr>
            <w:tcW w:w="57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17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5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(1,024)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(335)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(2,099)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7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-29210</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-29210</wp:posOffset>
            </wp:positionV>
            <wp:extent cx="3873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-29210</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-29210</wp:posOffset>
            </wp:positionV>
            <wp:extent cx="3873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3873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83"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At July 31, 2004, the Company had total gross deferred tax assets of approximately $45.8 million, which are fully reserved. These tax assets principally relate to federal net operating loss carryforwards that expire from 2017 through 2024. The ability to reduce the Company’s corresponding valuation allowance of $45.8 million in the future is dependent upon the Company’s ability to achieve sustained taxable income.</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Due to the circumstances described above, no tax benefit or provision has been recognized for the three and six months ended July 31, 2004 and August 2, 2003.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Segment Information</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Company operates its business under two reportable segments: (i) the Casual Male business and (ii) the Other Branded Apparel businesses.</w:t>
      </w:r>
    </w:p>
    <w:p>
      <w:pPr>
        <w:spacing w:after="0" w:line="18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color w:val="auto"/>
        </w:rPr>
        <w:t>Casual Male business</w:t>
      </w:r>
      <w:r>
        <w:rPr>
          <w:rFonts w:ascii="Arial" w:cs="Arial" w:eastAsia="Arial" w:hAnsi="Arial"/>
          <w:sz w:val="18"/>
          <w:szCs w:val="18"/>
          <w:color w:val="auto"/>
        </w:rPr>
        <w:t>: This segment includes the Company’s 420 Casual Male Big &amp; Tall retail stores, its 69 Casual Male Big &amp; Tall outlet stores, and its Casual</w:t>
      </w:r>
      <w:r>
        <w:rPr>
          <w:rFonts w:ascii="Arial" w:cs="Arial" w:eastAsia="Arial" w:hAnsi="Arial"/>
          <w:sz w:val="18"/>
          <w:szCs w:val="18"/>
          <w:i w:val="1"/>
          <w:iCs w:val="1"/>
          <w:color w:val="auto"/>
        </w:rPr>
        <w:t xml:space="preserve"> </w:t>
      </w:r>
      <w:r>
        <w:rPr>
          <w:rFonts w:ascii="Arial" w:cs="Arial" w:eastAsia="Arial" w:hAnsi="Arial"/>
          <w:sz w:val="18"/>
          <w:szCs w:val="18"/>
          <w:color w:val="auto"/>
        </w:rPr>
        <w:t>Male catalog and e-commerce businesses.</w:t>
      </w:r>
    </w:p>
    <w:p>
      <w:pPr>
        <w:spacing w:after="0" w:line="118" w:lineRule="exact"/>
        <w:rPr>
          <w:sz w:val="20"/>
          <w:szCs w:val="20"/>
          <w:color w:val="auto"/>
        </w:rPr>
      </w:pPr>
    </w:p>
    <w:p>
      <w:pPr>
        <w:ind w:right="120"/>
        <w:spacing w:after="0" w:line="228" w:lineRule="auto"/>
        <w:rPr>
          <w:sz w:val="20"/>
          <w:szCs w:val="20"/>
          <w:color w:val="auto"/>
        </w:rPr>
      </w:pPr>
      <w:r>
        <w:rPr>
          <w:rFonts w:ascii="Arial" w:cs="Arial" w:eastAsia="Arial" w:hAnsi="Arial"/>
          <w:sz w:val="18"/>
          <w:szCs w:val="18"/>
          <w:i w:val="1"/>
          <w:iCs w:val="1"/>
          <w:color w:val="auto"/>
        </w:rPr>
        <w:t>Other Branded Apparel businesses</w:t>
      </w:r>
      <w:r>
        <w:rPr>
          <w:rFonts w:ascii="Arial" w:cs="Arial" w:eastAsia="Arial" w:hAnsi="Arial"/>
          <w:sz w:val="18"/>
          <w:szCs w:val="18"/>
          <w:color w:val="auto"/>
        </w:rPr>
        <w:t>: This segment includes the Company’s remaining 48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outlet stores, 17 of which are expected to close by the</w:t>
      </w:r>
      <w:r>
        <w:rPr>
          <w:rFonts w:ascii="Arial" w:cs="Arial" w:eastAsia="Arial" w:hAnsi="Arial"/>
          <w:sz w:val="18"/>
          <w:szCs w:val="18"/>
          <w:i w:val="1"/>
          <w:iCs w:val="1"/>
          <w:color w:val="auto"/>
        </w:rPr>
        <w:t xml:space="preserve"> </w:t>
      </w:r>
      <w:r>
        <w:rPr>
          <w:rFonts w:ascii="Arial" w:cs="Arial" w:eastAsia="Arial" w:hAnsi="Arial"/>
          <w:sz w:val="18"/>
          <w:szCs w:val="18"/>
          <w:color w:val="auto"/>
        </w:rPr>
        <w:t>end of fiscal 2004. This segment also includes the results of operations</w:t>
      </w:r>
    </w:p>
    <w:p>
      <w:pPr>
        <w:sectPr>
          <w:pgSz w:w="11900" w:h="16838" w:orient="portrait"/>
          <w:cols w:equalWidth="0" w:num="1">
            <w:col w:w="11420"/>
          </w:cols>
          <w:pgMar w:left="240" w:top="280" w:right="239" w:bottom="1440" w:gutter="0" w:footer="0" w:header="0"/>
        </w:sectPr>
      </w:pPr>
    </w:p>
    <w:bookmarkStart w:id="8" w:name="page9"/>
    <w:bookmarkEnd w:id="8"/>
    <w:p>
      <w:pPr>
        <w:ind w:right="460"/>
        <w:spacing w:after="0" w:line="22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through July 30, 2004 of the 29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which were owned and operated through a joint venture with Ecko.Complex, LLC. As discussed below in Note 8, on July 30, 2004, the Company sold its 50.5% interest in the joint venture to Ecko.Complex, LLC.</w:t>
      </w:r>
    </w:p>
    <w:p>
      <w:pPr>
        <w:spacing w:after="0" w:line="14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accounting policies of the reportable segments are consistent with the consolidated financial statements of the Company. The Company evaluates individual store profitability in terms of a store’s “Operating Income,” which is defined by the Company as gross margin less occupancy costs, direct selling costs and an allocation of indirect selling costs. Below are the results of operations on a segment basis for the three and six months ended July 31, 2004 and August 2, 2003, respectively.</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gridSpan w:val="5"/>
          </w:tcPr>
          <w:p>
            <w:pPr>
              <w:jc w:val="center"/>
              <w:ind w:right="240"/>
              <w:spacing w:after="0"/>
              <w:rPr>
                <w:sz w:val="20"/>
                <w:szCs w:val="20"/>
                <w:color w:val="auto"/>
              </w:rPr>
            </w:pPr>
            <w:r>
              <w:rPr>
                <w:rFonts w:ascii="Arial" w:cs="Arial" w:eastAsia="Arial" w:hAnsi="Arial"/>
                <w:sz w:val="14"/>
                <w:szCs w:val="14"/>
                <w:b w:val="1"/>
                <w:bCs w:val="1"/>
                <w:i w:val="1"/>
                <w:iCs w:val="1"/>
                <w:color w:val="auto"/>
                <w:w w:val="83"/>
              </w:rPr>
              <w:t>For the three months ended</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gridSpan w:val="4"/>
          </w:tcPr>
          <w:p>
            <w:pPr>
              <w:jc w:val="center"/>
              <w:ind w:right="220"/>
              <w:spacing w:after="0"/>
              <w:rPr>
                <w:sz w:val="20"/>
                <w:szCs w:val="20"/>
                <w:color w:val="auto"/>
              </w:rPr>
            </w:pPr>
            <w:r>
              <w:rPr>
                <w:rFonts w:ascii="Arial" w:cs="Arial" w:eastAsia="Arial" w:hAnsi="Arial"/>
                <w:sz w:val="14"/>
                <w:szCs w:val="14"/>
                <w:b w:val="1"/>
                <w:bCs w:val="1"/>
                <w:i w:val="1"/>
                <w:iCs w:val="1"/>
                <w:color w:val="auto"/>
                <w:w w:val="83"/>
              </w:rPr>
              <w:t>For the three months ended</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gridSpan w:val="5"/>
          </w:tcPr>
          <w:p>
            <w:pPr>
              <w:jc w:val="center"/>
              <w:ind w:right="240"/>
              <w:spacing w:after="0"/>
              <w:rPr>
                <w:sz w:val="20"/>
                <w:szCs w:val="20"/>
                <w:color w:val="auto"/>
              </w:rPr>
            </w:pPr>
            <w:r>
              <w:rPr>
                <w:rFonts w:ascii="Arial" w:cs="Arial" w:eastAsia="Arial" w:hAnsi="Arial"/>
                <w:sz w:val="14"/>
                <w:szCs w:val="14"/>
                <w:b w:val="1"/>
                <w:bCs w:val="1"/>
                <w:i w:val="1"/>
                <w:iCs w:val="1"/>
                <w:color w:val="auto"/>
                <w:w w:val="85"/>
              </w:rPr>
              <w:t>July 31, 2004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gridSpan w:val="4"/>
          </w:tcPr>
          <w:p>
            <w:pPr>
              <w:jc w:val="center"/>
              <w:ind w:right="200"/>
              <w:spacing w:after="0"/>
              <w:rPr>
                <w:sz w:val="20"/>
                <w:szCs w:val="20"/>
                <w:color w:val="auto"/>
              </w:rPr>
            </w:pPr>
            <w:r>
              <w:rPr>
                <w:rFonts w:ascii="Arial" w:cs="Arial" w:eastAsia="Arial" w:hAnsi="Arial"/>
                <w:sz w:val="14"/>
                <w:szCs w:val="14"/>
                <w:b w:val="1"/>
                <w:bCs w:val="1"/>
                <w:i w:val="1"/>
                <w:iCs w:val="1"/>
                <w:color w:val="auto"/>
                <w:w w:val="84"/>
              </w:rPr>
              <w:t>August 2, 2003</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60" w:type="dxa"/>
            <w:vAlign w:val="bottom"/>
            <w:gridSpan w:val="4"/>
          </w:tcPr>
          <w:p>
            <w:pPr>
              <w:jc w:val="center"/>
              <w:ind w:right="660"/>
              <w:spacing w:after="0" w:line="149" w:lineRule="exact"/>
              <w:rPr>
                <w:sz w:val="20"/>
                <w:szCs w:val="20"/>
                <w:color w:val="auto"/>
              </w:rPr>
            </w:pPr>
            <w:r>
              <w:rPr>
                <w:rFonts w:ascii="Arial" w:cs="Arial" w:eastAsia="Arial" w:hAnsi="Arial"/>
                <w:sz w:val="14"/>
                <w:szCs w:val="14"/>
                <w:b w:val="1"/>
                <w:bCs w:val="1"/>
                <w:color w:val="auto"/>
                <w:w w:val="91"/>
              </w:rPr>
              <w:t>Branded</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6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Branded</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580" w:type="dxa"/>
            <w:vAlign w:val="bottom"/>
            <w:gridSpan w:val="4"/>
          </w:tcPr>
          <w:p>
            <w:pPr>
              <w:ind w:left="840"/>
              <w:spacing w:after="0" w:line="149" w:lineRule="exact"/>
              <w:rPr>
                <w:sz w:val="20"/>
                <w:szCs w:val="20"/>
                <w:color w:val="auto"/>
              </w:rPr>
            </w:pPr>
            <w:r>
              <w:rPr>
                <w:rFonts w:ascii="Arial" w:cs="Arial" w:eastAsia="Arial" w:hAnsi="Arial"/>
                <w:sz w:val="14"/>
                <w:szCs w:val="14"/>
                <w:b w:val="1"/>
                <w:bCs w:val="1"/>
                <w:color w:val="auto"/>
                <w:w w:val="88"/>
              </w:rPr>
              <w:t>Casual Male</w:t>
            </w:r>
          </w:p>
        </w:tc>
        <w:tc>
          <w:tcPr>
            <w:tcW w:w="520" w:type="dxa"/>
            <w:vAlign w:val="bottom"/>
          </w:tcPr>
          <w:p>
            <w:pPr>
              <w:spacing w:after="0"/>
              <w:rPr>
                <w:sz w:val="12"/>
                <w:szCs w:val="12"/>
                <w:color w:val="auto"/>
              </w:rPr>
            </w:pPr>
          </w:p>
        </w:tc>
        <w:tc>
          <w:tcPr>
            <w:tcW w:w="1260" w:type="dxa"/>
            <w:vAlign w:val="bottom"/>
            <w:gridSpan w:val="4"/>
          </w:tcPr>
          <w:p>
            <w:pPr>
              <w:jc w:val="center"/>
              <w:ind w:right="660"/>
              <w:spacing w:after="0" w:line="149" w:lineRule="exact"/>
              <w:rPr>
                <w:sz w:val="20"/>
                <w:szCs w:val="20"/>
                <w:color w:val="auto"/>
              </w:rPr>
            </w:pPr>
            <w:r>
              <w:rPr>
                <w:rFonts w:ascii="Arial" w:cs="Arial" w:eastAsia="Arial" w:hAnsi="Arial"/>
                <w:sz w:val="14"/>
                <w:szCs w:val="14"/>
                <w:b w:val="1"/>
                <w:bCs w:val="1"/>
                <w:color w:val="auto"/>
                <w:w w:val="91"/>
              </w:rPr>
              <w:t>Apparel</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gridSpan w:val="4"/>
          </w:tcPr>
          <w:p>
            <w:pPr>
              <w:ind w:left="300"/>
              <w:spacing w:after="0" w:line="149" w:lineRule="exact"/>
              <w:rPr>
                <w:sz w:val="20"/>
                <w:szCs w:val="20"/>
                <w:color w:val="auto"/>
              </w:rPr>
            </w:pPr>
            <w:r>
              <w:rPr>
                <w:rFonts w:ascii="Arial" w:cs="Arial" w:eastAsia="Arial" w:hAnsi="Arial"/>
                <w:sz w:val="14"/>
                <w:szCs w:val="14"/>
                <w:b w:val="1"/>
                <w:bCs w:val="1"/>
                <w:color w:val="auto"/>
                <w:w w:val="86"/>
              </w:rPr>
              <w:t>Casual Male</w:t>
            </w:r>
          </w:p>
        </w:tc>
        <w:tc>
          <w:tcPr>
            <w:tcW w:w="540" w:type="dxa"/>
            <w:vAlign w:val="bottom"/>
          </w:tcPr>
          <w:p>
            <w:pPr>
              <w:spacing w:after="0"/>
              <w:rPr>
                <w:sz w:val="12"/>
                <w:szCs w:val="12"/>
                <w:color w:val="auto"/>
              </w:rPr>
            </w:pPr>
          </w:p>
        </w:tc>
        <w:tc>
          <w:tcPr>
            <w:tcW w:w="126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Apparel</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7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business</w:t>
            </w:r>
          </w:p>
        </w:tc>
        <w:tc>
          <w:tcPr>
            <w:tcW w:w="520" w:type="dxa"/>
            <w:vAlign w:val="bottom"/>
          </w:tcPr>
          <w:p>
            <w:pPr>
              <w:spacing w:after="0"/>
              <w:rPr>
                <w:sz w:val="15"/>
                <w:szCs w:val="15"/>
                <w:color w:val="auto"/>
              </w:rPr>
            </w:pPr>
          </w:p>
        </w:tc>
        <w:tc>
          <w:tcPr>
            <w:tcW w:w="126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78"/>
              </w:rPr>
              <w:t>businesses</w:t>
            </w:r>
          </w:p>
        </w:tc>
        <w:tc>
          <w:tcPr>
            <w:tcW w:w="100" w:type="dxa"/>
            <w:vAlign w:val="bottom"/>
          </w:tcPr>
          <w:p>
            <w:pPr>
              <w:spacing w:after="0"/>
              <w:rPr>
                <w:sz w:val="15"/>
                <w:szCs w:val="15"/>
                <w:color w:val="auto"/>
              </w:rPr>
            </w:pPr>
          </w:p>
        </w:tc>
        <w:tc>
          <w:tcPr>
            <w:tcW w:w="7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3"/>
              </w:rPr>
              <w:t>Total</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business</w:t>
            </w:r>
          </w:p>
        </w:tc>
        <w:tc>
          <w:tcPr>
            <w:tcW w:w="540" w:type="dxa"/>
            <w:vAlign w:val="bottom"/>
          </w:tcPr>
          <w:p>
            <w:pPr>
              <w:spacing w:after="0"/>
              <w:rPr>
                <w:sz w:val="15"/>
                <w:szCs w:val="15"/>
                <w:color w:val="auto"/>
              </w:rPr>
            </w:pPr>
          </w:p>
        </w:tc>
        <w:tc>
          <w:tcPr>
            <w:tcW w:w="126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75"/>
              </w:rPr>
              <w:t>businesses</w:t>
            </w:r>
          </w:p>
        </w:tc>
        <w:tc>
          <w:tcPr>
            <w:tcW w:w="100" w:type="dxa"/>
            <w:vAlign w:val="bottom"/>
          </w:tcPr>
          <w:p>
            <w:pPr>
              <w:spacing w:after="0"/>
              <w:rPr>
                <w:sz w:val="15"/>
                <w:szCs w:val="15"/>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95"/>
        </w:trPr>
        <w:tc>
          <w:tcPr>
            <w:tcW w:w="376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3760" w:type="dxa"/>
            <w:vAlign w:val="bottom"/>
            <w:gridSpan w:val="2"/>
            <w:vMerge w:val="continue"/>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7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Statement of Operations: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420"/>
              <w:spacing w:after="0"/>
              <w:rPr>
                <w:sz w:val="20"/>
                <w:szCs w:val="20"/>
                <w:color w:val="auto"/>
              </w:rPr>
            </w:pPr>
            <w:r>
              <w:rPr>
                <w:rFonts w:ascii="Arial" w:cs="Arial" w:eastAsia="Arial" w:hAnsi="Arial"/>
                <w:sz w:val="18"/>
                <w:szCs w:val="18"/>
                <w:color w:val="auto"/>
              </w:rPr>
              <w:t>Sales</w:t>
            </w:r>
          </w:p>
        </w:tc>
        <w:tc>
          <w:tcPr>
            <w:tcW w:w="940" w:type="dxa"/>
            <w:vAlign w:val="bottom"/>
            <w:gridSpan w:val="2"/>
          </w:tcPr>
          <w:p>
            <w:pPr>
              <w:ind w:left="84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81.5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25.1</w:t>
            </w: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106.6</w:t>
            </w:r>
          </w:p>
        </w:tc>
        <w:tc>
          <w:tcPr>
            <w:tcW w:w="360" w:type="dxa"/>
            <w:vAlign w:val="bottom"/>
          </w:tcPr>
          <w:p>
            <w:pPr>
              <w:spacing w:after="0"/>
              <w:rPr>
                <w:sz w:val="18"/>
                <w:szCs w:val="18"/>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78.9</w:t>
            </w:r>
          </w:p>
        </w:tc>
        <w:tc>
          <w:tcPr>
            <w:tcW w:w="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21.6</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margin</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28.8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26.3</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(loss)</w:t>
            </w:r>
          </w:p>
        </w:tc>
        <w:tc>
          <w:tcPr>
            <w:tcW w:w="9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3760" w:type="dxa"/>
            <w:vAlign w:val="bottom"/>
            <w:gridSpan w:val="2"/>
          </w:tcPr>
          <w:p>
            <w:pPr>
              <w:spacing w:after="0"/>
              <w:rPr>
                <w:sz w:val="20"/>
                <w:szCs w:val="20"/>
                <w:color w:val="auto"/>
              </w:rPr>
            </w:pPr>
            <w:r>
              <w:rPr>
                <w:rFonts w:ascii="Arial" w:cs="Arial" w:eastAsia="Arial" w:hAnsi="Arial"/>
                <w:sz w:val="18"/>
                <w:szCs w:val="18"/>
                <w:i w:val="1"/>
                <w:iCs w:val="1"/>
                <w:color w:val="auto"/>
              </w:rPr>
              <w:t>Reconciliation to net income:</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net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40" w:type="dxa"/>
            <w:vAlign w:val="bottom"/>
          </w:tcPr>
          <w:p>
            <w:pPr>
              <w:ind w:left="420"/>
              <w:spacing w:after="0"/>
              <w:rPr>
                <w:sz w:val="20"/>
                <w:szCs w:val="20"/>
                <w:color w:val="auto"/>
              </w:rPr>
            </w:pPr>
            <w:r>
              <w:rPr>
                <w:rFonts w:ascii="Arial" w:cs="Arial" w:eastAsia="Arial" w:hAnsi="Arial"/>
                <w:sz w:val="18"/>
                <w:szCs w:val="18"/>
                <w:color w:val="auto"/>
              </w:rPr>
              <w:t>Loss from discontinued operations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60" w:type="dxa"/>
            <w:vAlign w:val="bottom"/>
            <w:gridSpan w:val="4"/>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0" w:type="dxa"/>
            <w:vAlign w:val="bottom"/>
            <w:gridSpan w:val="4"/>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gridSpan w:val="5"/>
          </w:tcPr>
          <w:p>
            <w:pPr>
              <w:jc w:val="center"/>
              <w:ind w:right="240"/>
              <w:spacing w:after="0"/>
              <w:rPr>
                <w:sz w:val="20"/>
                <w:szCs w:val="20"/>
                <w:color w:val="auto"/>
              </w:rPr>
            </w:pPr>
            <w:r>
              <w:rPr>
                <w:rFonts w:ascii="Arial" w:cs="Arial" w:eastAsia="Arial" w:hAnsi="Arial"/>
                <w:sz w:val="14"/>
                <w:szCs w:val="14"/>
                <w:b w:val="1"/>
                <w:bCs w:val="1"/>
                <w:i w:val="1"/>
                <w:iCs w:val="1"/>
                <w:color w:val="auto"/>
                <w:w w:val="83"/>
              </w:rPr>
              <w:t>For the six months ended</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gridSpan w:val="4"/>
          </w:tcPr>
          <w:p>
            <w:pPr>
              <w:jc w:val="center"/>
              <w:ind w:right="220"/>
              <w:spacing w:after="0"/>
              <w:rPr>
                <w:sz w:val="20"/>
                <w:szCs w:val="20"/>
                <w:color w:val="auto"/>
              </w:rPr>
            </w:pPr>
            <w:r>
              <w:rPr>
                <w:rFonts w:ascii="Arial" w:cs="Arial" w:eastAsia="Arial" w:hAnsi="Arial"/>
                <w:sz w:val="14"/>
                <w:szCs w:val="14"/>
                <w:b w:val="1"/>
                <w:bCs w:val="1"/>
                <w:i w:val="1"/>
                <w:iCs w:val="1"/>
                <w:color w:val="auto"/>
                <w:w w:val="83"/>
              </w:rPr>
              <w:t>For the six months ended</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gridSpan w:val="5"/>
          </w:tcPr>
          <w:p>
            <w:pPr>
              <w:jc w:val="center"/>
              <w:ind w:right="240"/>
              <w:spacing w:after="0"/>
              <w:rPr>
                <w:sz w:val="20"/>
                <w:szCs w:val="20"/>
                <w:color w:val="auto"/>
              </w:rPr>
            </w:pPr>
            <w:r>
              <w:rPr>
                <w:rFonts w:ascii="Arial" w:cs="Arial" w:eastAsia="Arial" w:hAnsi="Arial"/>
                <w:sz w:val="14"/>
                <w:szCs w:val="14"/>
                <w:b w:val="1"/>
                <w:bCs w:val="1"/>
                <w:i w:val="1"/>
                <w:iCs w:val="1"/>
                <w:color w:val="auto"/>
                <w:w w:val="85"/>
              </w:rPr>
              <w:t>July 31, 2004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gridSpan w:val="4"/>
          </w:tcPr>
          <w:p>
            <w:pPr>
              <w:jc w:val="center"/>
              <w:ind w:right="200"/>
              <w:spacing w:after="0"/>
              <w:rPr>
                <w:sz w:val="20"/>
                <w:szCs w:val="20"/>
                <w:color w:val="auto"/>
              </w:rPr>
            </w:pPr>
            <w:r>
              <w:rPr>
                <w:rFonts w:ascii="Arial" w:cs="Arial" w:eastAsia="Arial" w:hAnsi="Arial"/>
                <w:sz w:val="14"/>
                <w:szCs w:val="14"/>
                <w:b w:val="1"/>
                <w:bCs w:val="1"/>
                <w:i w:val="1"/>
                <w:iCs w:val="1"/>
                <w:color w:val="auto"/>
                <w:w w:val="84"/>
              </w:rPr>
              <w:t>August 2, 2003</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gridSpan w:val="3"/>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60" w:type="dxa"/>
            <w:vAlign w:val="bottom"/>
            <w:gridSpan w:val="4"/>
          </w:tcPr>
          <w:p>
            <w:pPr>
              <w:jc w:val="center"/>
              <w:ind w:right="660"/>
              <w:spacing w:after="0" w:line="149" w:lineRule="exact"/>
              <w:rPr>
                <w:sz w:val="20"/>
                <w:szCs w:val="20"/>
                <w:color w:val="auto"/>
              </w:rPr>
            </w:pPr>
            <w:r>
              <w:rPr>
                <w:rFonts w:ascii="Arial" w:cs="Arial" w:eastAsia="Arial" w:hAnsi="Arial"/>
                <w:sz w:val="14"/>
                <w:szCs w:val="14"/>
                <w:b w:val="1"/>
                <w:bCs w:val="1"/>
                <w:color w:val="auto"/>
                <w:w w:val="91"/>
              </w:rPr>
              <w:t>Branded</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6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Branded</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580" w:type="dxa"/>
            <w:vAlign w:val="bottom"/>
            <w:gridSpan w:val="4"/>
          </w:tcPr>
          <w:p>
            <w:pPr>
              <w:ind w:left="840"/>
              <w:spacing w:after="0" w:line="149" w:lineRule="exact"/>
              <w:rPr>
                <w:sz w:val="20"/>
                <w:szCs w:val="20"/>
                <w:color w:val="auto"/>
              </w:rPr>
            </w:pPr>
            <w:r>
              <w:rPr>
                <w:rFonts w:ascii="Arial" w:cs="Arial" w:eastAsia="Arial" w:hAnsi="Arial"/>
                <w:sz w:val="14"/>
                <w:szCs w:val="14"/>
                <w:b w:val="1"/>
                <w:bCs w:val="1"/>
                <w:color w:val="auto"/>
                <w:w w:val="88"/>
              </w:rPr>
              <w:t>Casual Male</w:t>
            </w:r>
          </w:p>
        </w:tc>
        <w:tc>
          <w:tcPr>
            <w:tcW w:w="520" w:type="dxa"/>
            <w:vAlign w:val="bottom"/>
          </w:tcPr>
          <w:p>
            <w:pPr>
              <w:spacing w:after="0"/>
              <w:rPr>
                <w:sz w:val="12"/>
                <w:szCs w:val="12"/>
                <w:color w:val="auto"/>
              </w:rPr>
            </w:pPr>
          </w:p>
        </w:tc>
        <w:tc>
          <w:tcPr>
            <w:tcW w:w="1260" w:type="dxa"/>
            <w:vAlign w:val="bottom"/>
            <w:gridSpan w:val="4"/>
          </w:tcPr>
          <w:p>
            <w:pPr>
              <w:jc w:val="center"/>
              <w:ind w:right="660"/>
              <w:spacing w:after="0" w:line="149" w:lineRule="exact"/>
              <w:rPr>
                <w:sz w:val="20"/>
                <w:szCs w:val="20"/>
                <w:color w:val="auto"/>
              </w:rPr>
            </w:pPr>
            <w:r>
              <w:rPr>
                <w:rFonts w:ascii="Arial" w:cs="Arial" w:eastAsia="Arial" w:hAnsi="Arial"/>
                <w:sz w:val="14"/>
                <w:szCs w:val="14"/>
                <w:b w:val="1"/>
                <w:bCs w:val="1"/>
                <w:color w:val="auto"/>
                <w:w w:val="91"/>
              </w:rPr>
              <w:t>Apparel</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gridSpan w:val="4"/>
          </w:tcPr>
          <w:p>
            <w:pPr>
              <w:ind w:left="300"/>
              <w:spacing w:after="0" w:line="149" w:lineRule="exact"/>
              <w:rPr>
                <w:sz w:val="20"/>
                <w:szCs w:val="20"/>
                <w:color w:val="auto"/>
              </w:rPr>
            </w:pPr>
            <w:r>
              <w:rPr>
                <w:rFonts w:ascii="Arial" w:cs="Arial" w:eastAsia="Arial" w:hAnsi="Arial"/>
                <w:sz w:val="14"/>
                <w:szCs w:val="14"/>
                <w:b w:val="1"/>
                <w:bCs w:val="1"/>
                <w:color w:val="auto"/>
                <w:w w:val="86"/>
              </w:rPr>
              <w:t>Casual Male</w:t>
            </w:r>
          </w:p>
        </w:tc>
        <w:tc>
          <w:tcPr>
            <w:tcW w:w="540" w:type="dxa"/>
            <w:vAlign w:val="bottom"/>
          </w:tcPr>
          <w:p>
            <w:pPr>
              <w:spacing w:after="0"/>
              <w:rPr>
                <w:sz w:val="12"/>
                <w:szCs w:val="12"/>
                <w:color w:val="auto"/>
              </w:rPr>
            </w:pPr>
          </w:p>
        </w:tc>
        <w:tc>
          <w:tcPr>
            <w:tcW w:w="126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Apparel</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7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business</w:t>
            </w:r>
          </w:p>
        </w:tc>
        <w:tc>
          <w:tcPr>
            <w:tcW w:w="520" w:type="dxa"/>
            <w:vAlign w:val="bottom"/>
          </w:tcPr>
          <w:p>
            <w:pPr>
              <w:spacing w:after="0"/>
              <w:rPr>
                <w:sz w:val="15"/>
                <w:szCs w:val="15"/>
                <w:color w:val="auto"/>
              </w:rPr>
            </w:pPr>
          </w:p>
        </w:tc>
        <w:tc>
          <w:tcPr>
            <w:tcW w:w="126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78"/>
              </w:rPr>
              <w:t>businesses</w:t>
            </w:r>
          </w:p>
        </w:tc>
        <w:tc>
          <w:tcPr>
            <w:tcW w:w="100" w:type="dxa"/>
            <w:vAlign w:val="bottom"/>
          </w:tcPr>
          <w:p>
            <w:pPr>
              <w:spacing w:after="0"/>
              <w:rPr>
                <w:sz w:val="15"/>
                <w:szCs w:val="15"/>
                <w:color w:val="auto"/>
              </w:rPr>
            </w:pPr>
          </w:p>
        </w:tc>
        <w:tc>
          <w:tcPr>
            <w:tcW w:w="7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3"/>
              </w:rPr>
              <w:t>Total</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business</w:t>
            </w:r>
          </w:p>
        </w:tc>
        <w:tc>
          <w:tcPr>
            <w:tcW w:w="540" w:type="dxa"/>
            <w:vAlign w:val="bottom"/>
          </w:tcPr>
          <w:p>
            <w:pPr>
              <w:spacing w:after="0"/>
              <w:rPr>
                <w:sz w:val="15"/>
                <w:szCs w:val="15"/>
                <w:color w:val="auto"/>
              </w:rPr>
            </w:pPr>
          </w:p>
        </w:tc>
        <w:tc>
          <w:tcPr>
            <w:tcW w:w="126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75"/>
              </w:rPr>
              <w:t>businesses</w:t>
            </w:r>
          </w:p>
        </w:tc>
        <w:tc>
          <w:tcPr>
            <w:tcW w:w="100" w:type="dxa"/>
            <w:vAlign w:val="bottom"/>
          </w:tcPr>
          <w:p>
            <w:pPr>
              <w:spacing w:after="0"/>
              <w:rPr>
                <w:sz w:val="15"/>
                <w:szCs w:val="15"/>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95"/>
        </w:trPr>
        <w:tc>
          <w:tcPr>
            <w:tcW w:w="376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3760" w:type="dxa"/>
            <w:vAlign w:val="bottom"/>
            <w:gridSpan w:val="2"/>
            <w:vMerge w:val="continue"/>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7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Statement of Operations: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420"/>
              <w:spacing w:after="0"/>
              <w:rPr>
                <w:sz w:val="20"/>
                <w:szCs w:val="20"/>
                <w:color w:val="auto"/>
              </w:rPr>
            </w:pPr>
            <w:r>
              <w:rPr>
                <w:rFonts w:ascii="Arial" w:cs="Arial" w:eastAsia="Arial" w:hAnsi="Arial"/>
                <w:sz w:val="18"/>
                <w:szCs w:val="18"/>
                <w:color w:val="auto"/>
              </w:rPr>
              <w:t>Sales</w:t>
            </w:r>
          </w:p>
        </w:tc>
        <w:tc>
          <w:tcPr>
            <w:tcW w:w="940" w:type="dxa"/>
            <w:vAlign w:val="bottom"/>
            <w:gridSpan w:val="2"/>
          </w:tcPr>
          <w:p>
            <w:pPr>
              <w:ind w:left="84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159.6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48.0</w:t>
            </w: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207.6</w:t>
            </w:r>
          </w:p>
        </w:tc>
        <w:tc>
          <w:tcPr>
            <w:tcW w:w="360" w:type="dxa"/>
            <w:vAlign w:val="bottom"/>
          </w:tcPr>
          <w:p>
            <w:pPr>
              <w:spacing w:after="0"/>
              <w:rPr>
                <w:sz w:val="18"/>
                <w:szCs w:val="18"/>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151.7</w:t>
            </w:r>
          </w:p>
        </w:tc>
        <w:tc>
          <w:tcPr>
            <w:tcW w:w="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39.0</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190.7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margin</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59.6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71.5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52.6</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(loss)</w:t>
            </w:r>
          </w:p>
        </w:tc>
        <w:tc>
          <w:tcPr>
            <w:tcW w:w="9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3760" w:type="dxa"/>
            <w:vAlign w:val="bottom"/>
            <w:gridSpan w:val="2"/>
          </w:tcPr>
          <w:p>
            <w:pPr>
              <w:spacing w:after="0"/>
              <w:rPr>
                <w:sz w:val="20"/>
                <w:szCs w:val="20"/>
                <w:color w:val="auto"/>
              </w:rPr>
            </w:pPr>
            <w:r>
              <w:rPr>
                <w:rFonts w:ascii="Arial" w:cs="Arial" w:eastAsia="Arial" w:hAnsi="Arial"/>
                <w:sz w:val="18"/>
                <w:szCs w:val="18"/>
                <w:i w:val="1"/>
                <w:iCs w:val="1"/>
                <w:color w:val="auto"/>
              </w:rPr>
              <w:t>Reconciliation to net loss: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net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continuing operations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40" w:type="dxa"/>
            <w:vAlign w:val="bottom"/>
          </w:tcPr>
          <w:p>
            <w:pPr>
              <w:ind w:left="420"/>
              <w:spacing w:after="0"/>
              <w:rPr>
                <w:sz w:val="20"/>
                <w:szCs w:val="20"/>
                <w:color w:val="auto"/>
              </w:rPr>
            </w:pPr>
            <w:r>
              <w:rPr>
                <w:rFonts w:ascii="Arial" w:cs="Arial" w:eastAsia="Arial" w:hAnsi="Arial"/>
                <w:sz w:val="18"/>
                <w:szCs w:val="18"/>
                <w:color w:val="auto"/>
              </w:rPr>
              <w:t>Loss from discontinued operations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-3476625</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-3476625</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-3476625</wp:posOffset>
            </wp:positionV>
            <wp:extent cx="3873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-3476625</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-3476625</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-3476625</wp:posOffset>
            </wp:positionV>
            <wp:extent cx="3873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-29210</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-29210</wp:posOffset>
            </wp:positionV>
            <wp:extent cx="3873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-29210</wp:posOffset>
            </wp:positionV>
            <wp:extent cx="2159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Other</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Branded</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Branded</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Casual Male</w:t>
            </w:r>
          </w:p>
        </w:tc>
        <w:tc>
          <w:tcPr>
            <w:tcW w:w="56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Apparel</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Casual Male</w:t>
            </w:r>
          </w:p>
        </w:tc>
        <w:tc>
          <w:tcPr>
            <w:tcW w:w="280" w:type="dxa"/>
            <w:vAlign w:val="bottom"/>
          </w:tcPr>
          <w:p>
            <w:pPr>
              <w:spacing w:after="0"/>
              <w:rPr>
                <w:sz w:val="12"/>
                <w:szCs w:val="12"/>
                <w:color w:val="auto"/>
              </w:rPr>
            </w:pPr>
          </w:p>
        </w:tc>
        <w:tc>
          <w:tcPr>
            <w:tcW w:w="11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Apparel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36"/>
              <w:spacing w:after="0"/>
              <w:rPr>
                <w:sz w:val="20"/>
                <w:szCs w:val="20"/>
                <w:color w:val="auto"/>
              </w:rPr>
            </w:pPr>
            <w:r>
              <w:rPr>
                <w:rFonts w:ascii="Arial" w:cs="Arial" w:eastAsia="Arial" w:hAnsi="Arial"/>
                <w:sz w:val="14"/>
                <w:szCs w:val="14"/>
                <w:b w:val="1"/>
                <w:bCs w:val="1"/>
                <w:color w:val="auto"/>
                <w:w w:val="79"/>
              </w:rPr>
              <w:t>business</w:t>
            </w:r>
          </w:p>
        </w:tc>
        <w:tc>
          <w:tcPr>
            <w:tcW w:w="1440" w:type="dxa"/>
            <w:vAlign w:val="bottom"/>
            <w:gridSpan w:val="3"/>
          </w:tcPr>
          <w:p>
            <w:pPr>
              <w:jc w:val="center"/>
              <w:ind w:left="196"/>
              <w:spacing w:after="0"/>
              <w:rPr>
                <w:sz w:val="20"/>
                <w:szCs w:val="20"/>
                <w:color w:val="auto"/>
              </w:rPr>
            </w:pPr>
            <w:r>
              <w:rPr>
                <w:rFonts w:ascii="Arial" w:cs="Arial" w:eastAsia="Arial" w:hAnsi="Arial"/>
                <w:sz w:val="14"/>
                <w:szCs w:val="14"/>
                <w:b w:val="1"/>
                <w:bCs w:val="1"/>
                <w:color w:val="auto"/>
                <w:w w:val="78"/>
              </w:rPr>
              <w:t>businesses</w:t>
            </w:r>
          </w:p>
        </w:tc>
        <w:tc>
          <w:tcPr>
            <w:tcW w:w="2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business</w:t>
            </w:r>
          </w:p>
        </w:tc>
        <w:tc>
          <w:tcPr>
            <w:tcW w:w="14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78"/>
              </w:rPr>
              <w:t>businesses</w:t>
            </w:r>
          </w:p>
        </w:tc>
        <w:tc>
          <w:tcPr>
            <w:tcW w:w="520" w:type="dxa"/>
            <w:vAlign w:val="bottom"/>
          </w:tcPr>
          <w:p>
            <w:pPr>
              <w:jc w:val="right"/>
              <w:ind w:right="1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Balance Sheet: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64.7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22.8</w:t>
            </w:r>
          </w:p>
        </w:tc>
        <w:tc>
          <w:tcPr>
            <w:tcW w:w="3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$ 87.5</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66.5</w:t>
            </w:r>
          </w:p>
        </w:tc>
        <w:tc>
          <w:tcPr>
            <w:tcW w:w="1420" w:type="dxa"/>
            <w:vAlign w:val="bottom"/>
            <w:gridSpan w:val="3"/>
          </w:tcPr>
          <w:p>
            <w:pPr>
              <w:jc w:val="right"/>
              <w:ind w:right="560"/>
              <w:spacing w:after="0"/>
              <w:rPr>
                <w:sz w:val="20"/>
                <w:szCs w:val="20"/>
                <w:color w:val="auto"/>
              </w:rPr>
            </w:pPr>
            <w:r>
              <w:rPr>
                <w:rFonts w:ascii="Arial" w:cs="Arial" w:eastAsia="Arial" w:hAnsi="Arial"/>
                <w:sz w:val="18"/>
                <w:szCs w:val="18"/>
                <w:color w:val="auto"/>
              </w:rPr>
              <w:t>$  34.4</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$ 100.9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assets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59.1</w:t>
            </w:r>
          </w:p>
        </w:tc>
        <w:tc>
          <w:tcPr>
            <w:tcW w:w="14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7.2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Goodwill and other intangible assets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81.3</w:t>
            </w:r>
          </w:p>
        </w:tc>
        <w:tc>
          <w:tcPr>
            <w:tcW w:w="56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81.3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81.4</w:t>
            </w:r>
          </w:p>
        </w:tc>
        <w:tc>
          <w:tcPr>
            <w:tcW w:w="280" w:type="dxa"/>
            <w:vAlign w:val="bottom"/>
          </w:tcPr>
          <w:p>
            <w:pPr>
              <w:spacing w:after="0"/>
              <w:rPr>
                <w:sz w:val="18"/>
                <w:szCs w:val="18"/>
                <w:color w:val="auto"/>
              </w:rPr>
            </w:pPr>
          </w:p>
        </w:tc>
        <w:tc>
          <w:tcPr>
            <w:tcW w:w="11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Trade accounts payable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29.9</w:t>
            </w:r>
          </w:p>
        </w:tc>
        <w:tc>
          <w:tcPr>
            <w:tcW w:w="14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6.3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4.2</w:t>
            </w:r>
          </w:p>
        </w:tc>
        <w:tc>
          <w:tcPr>
            <w:tcW w:w="1420" w:type="dxa"/>
            <w:vAlign w:val="bottom"/>
            <w:gridSpan w:val="3"/>
          </w:tcPr>
          <w:p>
            <w:pPr>
              <w:jc w:val="right"/>
              <w:ind w:right="560"/>
              <w:spacing w:after="0"/>
              <w:rPr>
                <w:sz w:val="20"/>
                <w:szCs w:val="20"/>
                <w:color w:val="auto"/>
              </w:rPr>
            </w:pPr>
            <w:r>
              <w:rPr>
                <w:rFonts w:ascii="Arial" w:cs="Arial" w:eastAsia="Arial" w:hAnsi="Arial"/>
                <w:sz w:val="18"/>
                <w:szCs w:val="18"/>
                <w:color w:val="auto"/>
              </w:rPr>
              <w:t>1.8</w:t>
            </w:r>
          </w:p>
        </w:tc>
        <w:tc>
          <w:tcPr>
            <w:tcW w:w="52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Casual Male business segment also includes corporate assets.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Sale of Interest in Ecko Joint Venture and Mark-Down Allowance Agreement</w:t>
      </w:r>
    </w:p>
    <w:p>
      <w:pPr>
        <w:spacing w:after="0" w:line="83"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Beginning in March 2002 and through July 30, 2004, the Company operated a joint venture with Ecko.Complex, LLC (“Ecko”) under which the Company, a 50.5% partner, owned and managed retail outlet stores bearing the name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featuring Ecko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brand merchandise. Ecko, a 49.5% partner, contributed to the joint venture the use of its trademark and the merchandise requirements, at cost, of the retail outlet stores. Under the joint venture arrangement, the Company contributed all real estate and operating requirements for the retail outlet stores, including, but not limited to, the real estate leases, payroll needs and advertising. Each partner shared in the operating profits of the joint venture, after each partner had received reimbursements for its cost contributions. For financial reporting purposes, Ecko’s 49.5% ownership in the joint venture was included in the Company’s consolidated financial statements as a minority interest, through July 30, 2004.</w:t>
      </w:r>
    </w:p>
    <w:p>
      <w:pPr>
        <w:spacing w:after="0" w:line="14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On July 30, 2004, the Company sold to Ecko its 50.5% interest in the joint venture for a purchase price of $800,000 in cash and a secured promissory note in the principal amount of $6.2 million. The secured promissory note accrues interest at 8% annually and is secured by all of the membership interests of the former joint venture and substantially all of its assets. This note requires Ecko to make monthly principal payments to the Company of $516,667 plus interest, commencing August 31, 2004. In July 2004, Ecko made a prepayment against this note in the amount of $0.7 million, thereby reducing the balance of the note to $5.5 million at July 31, 2004. The Company will also continue to receive fees based on a percentage of sales for providing transitional services to the joint venture related to its operating and accounting systems, as needed until June 30, 2005.</w:t>
      </w:r>
    </w:p>
    <w:p>
      <w:pPr>
        <w:spacing w:after="0" w:line="10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above transaction resulted in a gain of approximately $3.1 million, which is included in the Consolidated Statements of Operations as a component of “Other income, net” for the three and six months ended July 31, 2004.</w:t>
      </w:r>
    </w:p>
    <w:p>
      <w:pPr>
        <w:spacing w:after="0" w:line="118" w:lineRule="exact"/>
        <w:rPr>
          <w:sz w:val="20"/>
          <w:szCs w:val="20"/>
          <w:color w:val="auto"/>
        </w:rPr>
      </w:pPr>
    </w:p>
    <w:p>
      <w:pPr>
        <w:jc w:val="both"/>
        <w:ind w:right="160"/>
        <w:spacing w:after="0" w:line="298" w:lineRule="auto"/>
        <w:rPr>
          <w:sz w:val="20"/>
          <w:szCs w:val="20"/>
          <w:color w:val="auto"/>
        </w:rPr>
      </w:pPr>
      <w:r>
        <w:rPr>
          <w:rFonts w:ascii="Arial" w:cs="Arial" w:eastAsia="Arial" w:hAnsi="Arial"/>
          <w:sz w:val="16"/>
          <w:szCs w:val="16"/>
          <w:color w:val="auto"/>
        </w:rPr>
        <w:t>Pursuant to a mark-down allowance agreement entered into on July 30, 2004, Ecko also executed and delivered an additional secured promissory note for $1.0 million as a markdown allowance with respect to purchases of certain goods made by the Company from Ecko. The secured promissory note accrues interest at 8% annually and is also secured by all of the membership interests of the former joint venture and substantially all of its assets. This note requires Ecko to make monthly principal payments in the amount of $83,333 plus interest commencing August 31, 2004.</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Completion of Stock Repurchase Program</w:t>
      </w:r>
    </w:p>
    <w:p>
      <w:pPr>
        <w:spacing w:after="0" w:line="8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part of the Company’s $100 million convertible debt offering in November 2003, the Board of Directors approved a stock repurchase program, whereby the Company could repurchase up to 2,000,000 shares of its Common Stock in open market and negotiated transactions. The Company previously purchased 1,000,000 shares in the fourth quarter of fiscal 2003 at a weighted average price of $7.90 per share.</w:t>
      </w:r>
    </w:p>
    <w:p>
      <w:pPr>
        <w:spacing w:after="0" w:line="12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On May 24, 2004 and May 25, 2004, the Company completed the stock repurchase program by repurchasing an aggregate of 1,000,000 shares of Common Stock at a weighted average price of $6.33 per share through open market and negotiated transactions.</w:t>
      </w:r>
    </w:p>
    <w:p>
      <w:pPr>
        <w:sectPr>
          <w:pgSz w:w="11900" w:h="16838" w:orient="portrait"/>
          <w:cols w:equalWidth="0" w:num="1">
            <w:col w:w="11420"/>
          </w:cols>
          <w:pgMar w:left="240" w:top="263"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 Related Parties</w:t>
      </w:r>
    </w:p>
    <w:p>
      <w:pPr>
        <w:spacing w:after="0" w:line="8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As discussed in Note 2, the Company prepaid the remaining $7.8 million due on its 12% Senior Subordinated Notes due 2010. The following is a listing of the participation by related parties in the early redemption of the notes.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98"/>
        </w:trPr>
        <w:tc>
          <w:tcPr>
            <w:tcW w:w="3320" w:type="dxa"/>
            <w:vAlign w:val="bottom"/>
            <w:gridSpan w:val="3"/>
          </w:tcPr>
          <w:p>
            <w:pPr>
              <w:ind w:left="1140"/>
              <w:spacing w:after="0"/>
              <w:rPr>
                <w:sz w:val="20"/>
                <w:szCs w:val="20"/>
                <w:color w:val="auto"/>
              </w:rPr>
            </w:pPr>
            <w:r>
              <w:rPr>
                <w:rFonts w:ascii="Arial" w:cs="Arial" w:eastAsia="Arial" w:hAnsi="Arial"/>
                <w:sz w:val="14"/>
                <w:szCs w:val="14"/>
                <w:b w:val="1"/>
                <w:bCs w:val="1"/>
                <w:color w:val="auto"/>
              </w:rPr>
              <w:t>Related Party – Note Holder</w:t>
            </w:r>
          </w:p>
        </w:tc>
        <w:tc>
          <w:tcPr>
            <w:tcW w:w="3740" w:type="dxa"/>
            <w:vAlign w:val="bottom"/>
          </w:tcPr>
          <w:p>
            <w:pPr>
              <w:spacing w:after="0"/>
              <w:rPr>
                <w:sz w:val="24"/>
                <w:szCs w:val="24"/>
                <w:color w:val="auto"/>
              </w:rPr>
            </w:pPr>
          </w:p>
        </w:tc>
        <w:tc>
          <w:tcPr>
            <w:tcW w:w="3220" w:type="dxa"/>
            <w:vAlign w:val="bottom"/>
            <w:gridSpan w:val="2"/>
          </w:tcPr>
          <w:p>
            <w:pPr>
              <w:ind w:left="260"/>
              <w:spacing w:after="0"/>
              <w:rPr>
                <w:sz w:val="20"/>
                <w:szCs w:val="20"/>
                <w:color w:val="auto"/>
              </w:rPr>
            </w:pPr>
            <w:r>
              <w:rPr>
                <w:rFonts w:ascii="Arial" w:cs="Arial" w:eastAsia="Arial" w:hAnsi="Arial"/>
                <w:sz w:val="14"/>
                <w:szCs w:val="14"/>
                <w:b w:val="1"/>
                <w:bCs w:val="1"/>
                <w:color w:val="auto"/>
              </w:rPr>
              <w:t xml:space="preserve">2010 Notes Purchased </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105"/>
        </w:trPr>
        <w:tc>
          <w:tcPr>
            <w:tcW w:w="1160" w:type="dxa"/>
            <w:vAlign w:val="bottom"/>
            <w:vMerge w:val="restart"/>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140" w:type="dxa"/>
            <w:vAlign w:val="bottom"/>
            <w:tcBorders>
              <w:top w:val="single" w:sz="8" w:color="auto"/>
            </w:tcBorders>
          </w:tcPr>
          <w:p>
            <w:pPr>
              <w:spacing w:after="0"/>
              <w:rPr>
                <w:sz w:val="9"/>
                <w:szCs w:val="9"/>
                <w:color w:val="auto"/>
              </w:rPr>
            </w:pPr>
          </w:p>
        </w:tc>
        <w:tc>
          <w:tcPr>
            <w:tcW w:w="3740" w:type="dxa"/>
            <w:vAlign w:val="bottom"/>
          </w:tcPr>
          <w:p>
            <w:pPr>
              <w:spacing w:after="0"/>
              <w:rPr>
                <w:sz w:val="9"/>
                <w:szCs w:val="9"/>
                <w:color w:val="auto"/>
              </w:rPr>
            </w:pPr>
          </w:p>
        </w:tc>
        <w:tc>
          <w:tcPr>
            <w:tcW w:w="1960" w:type="dxa"/>
            <w:vAlign w:val="bottom"/>
            <w:tcBorders>
              <w:top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216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JMI </w:t>
            </w:r>
            <w:r>
              <w:rPr>
                <w:rFonts w:ascii="Arial" w:cs="Arial" w:eastAsia="Arial" w:hAnsi="Arial"/>
                <w:sz w:val="22"/>
                <w:szCs w:val="22"/>
                <w:color w:val="auto"/>
                <w:vertAlign w:val="superscript"/>
              </w:rPr>
              <w:t>(2)</w:t>
            </w:r>
          </w:p>
        </w:tc>
        <w:tc>
          <w:tcPr>
            <w:tcW w:w="570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$ 2,000,000</w:t>
            </w: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16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Marc Holtzman </w:t>
            </w:r>
            <w:r>
              <w:rPr>
                <w:rFonts w:ascii="Arial" w:cs="Arial" w:eastAsia="Arial" w:hAnsi="Arial"/>
                <w:sz w:val="22"/>
                <w:szCs w:val="22"/>
                <w:color w:val="auto"/>
                <w:vertAlign w:val="superscript"/>
              </w:rPr>
              <w:t>(3)</w:t>
            </w:r>
          </w:p>
        </w:tc>
        <w:tc>
          <w:tcPr>
            <w:tcW w:w="5700" w:type="dxa"/>
            <w:vAlign w:val="bottom"/>
            <w:gridSpan w:val="2"/>
          </w:tcPr>
          <w:p>
            <w:pPr>
              <w:jc w:val="right"/>
              <w:ind w:right="492"/>
              <w:spacing w:after="0"/>
              <w:rPr>
                <w:sz w:val="20"/>
                <w:szCs w:val="20"/>
                <w:color w:val="auto"/>
              </w:rPr>
            </w:pPr>
            <w:r>
              <w:rPr>
                <w:rFonts w:ascii="Arial" w:cs="Arial" w:eastAsia="Arial" w:hAnsi="Arial"/>
                <w:sz w:val="18"/>
                <w:szCs w:val="18"/>
                <w:color w:val="auto"/>
              </w:rPr>
              <w:t>500,000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16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Ecko </w:t>
            </w:r>
            <w:r>
              <w:rPr>
                <w:rFonts w:ascii="Arial" w:cs="Arial" w:eastAsia="Arial" w:hAnsi="Arial"/>
                <w:sz w:val="22"/>
                <w:szCs w:val="22"/>
                <w:color w:val="auto"/>
                <w:vertAlign w:val="superscript"/>
              </w:rPr>
              <w:t>(4)</w:t>
            </w:r>
          </w:p>
        </w:tc>
        <w:tc>
          <w:tcPr>
            <w:tcW w:w="570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2,500,000</w:t>
            </w: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14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Company was obligated to pay a prepayment penalty on the above redemptions equal to 4%of the principal amount of the respective notes redeemed.</w:t>
      </w:r>
    </w:p>
    <w:p>
      <w:pPr>
        <w:spacing w:after="0" w:line="38" w:lineRule="exact"/>
        <w:rPr>
          <w:rFonts w:ascii="Arial" w:cs="Arial" w:eastAsia="Arial" w:hAnsi="Arial"/>
          <w:sz w:val="16"/>
          <w:szCs w:val="16"/>
          <w:color w:val="auto"/>
        </w:rPr>
      </w:pPr>
    </w:p>
    <w:p>
      <w:pPr>
        <w:ind w:left="460" w:right="32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Seymour Holtzman, the Chairman of the Board of Directors of the Company, is President and Chief Executive Officer, and indirectly, with his wife, the primary shareholder of JMI.</w:t>
      </w: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Marc Holtzman is the son of Seymour Holtzman, the Chairman of the Company’s Board of Directors.</w:t>
      </w:r>
    </w:p>
    <w:p>
      <w:pPr>
        <w:spacing w:after="0" w:line="9" w:lineRule="exact"/>
        <w:rPr>
          <w:rFonts w:ascii="Arial" w:cs="Arial" w:eastAsia="Arial" w:hAnsi="Arial"/>
          <w:sz w:val="18"/>
          <w:szCs w:val="18"/>
          <w:color w:val="auto"/>
        </w:rPr>
      </w:pPr>
    </w:p>
    <w:p>
      <w:pPr>
        <w:ind w:left="460" w:right="40" w:hanging="452"/>
        <w:spacing w:after="0" w:line="225"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certain principal officers of Ecko.Complex, LLC and certain of their family members. The Company operated its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stores under a joint venture with Ecko.Complex, LLC until July 30, 2004.</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 – Pending Acquisition</w:t>
      </w:r>
    </w:p>
    <w:p>
      <w:pPr>
        <w:spacing w:after="0" w:line="8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August 18, 2004, the Company signed an asset purchase agreement to acquire substantially all of the assets of Rochester Big &amp; Tall Clothing, Inc., a privately held company headquartered in San Francisco, California (“Rochester”). The purchase price is $15 million in cash plus the assumption of bank and subordinated debt of approximately $5 million, in addition to the assumption of identified operating liabilities such as accounts payable and accrued liabilities. There is a potential payment of an additional $4 million, to be paid over a three-year period subject to an earn-out provision. The transaction is subject to the Company’s due diligence and other customary closing conditions. Assuming satisfaction of all closing conditions, the Company expects that the acquisition will close on or about October 31, 2004. The Company expects to secure a $7.5 million term loan which, together with borrowings from its $90 million Credit Facility, will be used to finance the acquisition. The Company does not expect this acquisition to have any significant impact on the Company’s liquidity position.</w:t>
      </w:r>
    </w:p>
    <w:p>
      <w:pPr>
        <w:spacing w:after="0" w:line="10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Rochester, a premier big and tall operator specializing in suits and sportswear, currently has 21 locations in major cities in the United States, one in London, England and a growing catalog and e-commerce business.</w:t>
      </w:r>
    </w:p>
    <w:p>
      <w:pPr>
        <w:sectPr>
          <w:pgSz w:w="11900" w:h="16838" w:orient="portrait"/>
          <w:cols w:equalWidth="0" w:num="1">
            <w:col w:w="11420"/>
          </w:cols>
          <w:pgMar w:left="240" w:top="27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 Management’s Discussion and Analysis of Financial Condition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These forward-looking statements generally relate to plans and objectives for future operations and are based upon management’s reasonable estimates of future results or trends. The forward-looking statements in this Quarterly Report should not be regarded as a representation by the Company or any other person that the objectives or plans of the Company will be achieved. Numerous factors could cause the Company’s actual results to differ materially from such forward-looking statements. The Company encourages readers to refer to the Company’s Current Report on Form 8-K, previously filed with the Securities and Exchange Commission on April 14, 2004, which identifies certain risks and uncertainties that may have an impact on future earnings and the direction of the Company.</w:t>
      </w:r>
    </w:p>
    <w:p>
      <w:pPr>
        <w:spacing w:after="0" w:line="109"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All subsequent written and oral forward-looking statements attributable to the Company or to persons acting on the Company’s behalf are expressly qualified in their entirety by the foregoing. These forward-looking statements speak only as of the date of the document in which they are made. The Company disclaims any obligation or undertaking to provide any updates or revisions to any forward-looking statement to reflect any change in its expectations or any change in events, conditions or circumstances in which the forward-looking statement is based.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83"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Casual Male Retail Group, Inc. together with its subsidiaries (the “Company”) is the largest specialty retailer of big and tall men’s apparel in the United States. The Company operates 489 Casual Male Big &amp; Tall stores, the Casual Male catalog business and an e-commerce site. The Company is also the exclusive retailer of the Comfort Zone by George Foreman</w:t>
      </w:r>
      <w:r>
        <w:rPr>
          <w:rFonts w:ascii="Arial" w:cs="Arial" w:eastAsia="Arial" w:hAnsi="Arial"/>
          <w:sz w:val="21"/>
          <w:szCs w:val="21"/>
          <w:color w:val="auto"/>
          <w:vertAlign w:val="superscript"/>
        </w:rPr>
        <w:t>™</w:t>
      </w:r>
      <w:r>
        <w:rPr>
          <w:rFonts w:ascii="Arial" w:cs="Arial" w:eastAsia="Arial" w:hAnsi="Arial"/>
          <w:sz w:val="17"/>
          <w:szCs w:val="17"/>
          <w:color w:val="auto"/>
        </w:rPr>
        <w:t>, GF Sport by George Foreman</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Signature Collection by George Foreman</w:t>
      </w:r>
      <w:r>
        <w:rPr>
          <w:rFonts w:ascii="Arial" w:cs="Arial" w:eastAsia="Arial" w:hAnsi="Arial"/>
          <w:sz w:val="21"/>
          <w:szCs w:val="21"/>
          <w:color w:val="auto"/>
          <w:vertAlign w:val="superscript"/>
        </w:rPr>
        <w:t>™</w:t>
      </w:r>
      <w:r>
        <w:rPr>
          <w:rFonts w:ascii="Arial" w:cs="Arial" w:eastAsia="Arial" w:hAnsi="Arial"/>
          <w:sz w:val="17"/>
          <w:szCs w:val="17"/>
          <w:color w:val="auto"/>
        </w:rPr>
        <w:t>. The Company operates 48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stores, which are located throughout the United States and Puerto Rico.</w:t>
      </w:r>
    </w:p>
    <w:p>
      <w:pPr>
        <w:spacing w:after="0" w:line="4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Unless the context indicates otherwise, all references to “we,” “ours,” “our,” “us” and “the Company” refer to Casual Male Retail Group, Inc. and its consolidated subsidiaries. The Company refers to its fiscal years which end on January 29, 2005 and January 31, 2004 as “fiscal 2004” and “fiscal 2003,”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EVENTS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Pending Acquisition of Rochester Big &amp; Tall</w:t>
      </w:r>
    </w:p>
    <w:p>
      <w:pPr>
        <w:spacing w:after="0" w:line="7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Subsequent to the end of the second quarter of fiscal 2004, on August 18, 2004, the Company signed an asset purchase agreement to acquire substantially all of the assets of Rochester Big &amp; Tall Clothing, Inc., a privately held company headquartered in San Francisco, California (“Rochester”). The purchase price is $15 million in cash plus the assumption of bank and subordinated debt of approximately $5 million, in addition to the assumption of identified operating liabilities such as accounts payable and accrued liabilities. There is a potential payment of an additional $4 million, to be paid over a three-year period subject to an earn-out provision. The transaction is subject to the Company’s due diligence and other customary closing conditions. Assuming satisfaction of all closing conditions, the Company expects that the acquisition will close on or about October 31, 2004. The Company expects to secure a $7.5 million term loan which, together with borrowings from its $90 million Credit Facility, will be used to finance the acquisition. The Company does not expect this acquisition to have any significant impact on the Company’s liquidity position.</w:t>
      </w:r>
    </w:p>
    <w:p>
      <w:pPr>
        <w:spacing w:after="0" w:line="10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Rochester, a premier big and tall operator specializing in suits and sportswear, currently has 21 locations in major cities in the United States, one in London, England and a growing catalog and e-commerce business.</w:t>
      </w:r>
    </w:p>
    <w:p>
      <w:pPr>
        <w:sectPr>
          <w:pgSz w:w="11900" w:h="16838" w:orient="portrait"/>
          <w:cols w:equalWidth="0" w:num="1">
            <w:col w:w="11400"/>
          </w:cols>
          <w:pgMar w:left="240" w:top="274" w:right="259" w:bottom="1440" w:gutter="0" w:footer="0" w:header="0"/>
        </w:sectPr>
      </w:pPr>
    </w:p>
    <w:bookmarkStart w:id="12" w:name="page13"/>
    <w:bookmarkEnd w:id="12"/>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Sale of Interest in Ecko Joint Venture and Mark-Down Allowance Agreement</w:t>
      </w:r>
    </w:p>
    <w:p>
      <w:pPr>
        <w:spacing w:after="0" w:line="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July 30, 2004, the Company sold to Ecko its 50.5% interest in the joint venture for a purchase price of $800,000 in cash and a secured promissory note in the principal amount of $6.2 million. The secured promissory note accrues interest at 8% annually and is secured by all of the membership interests of the former joint venture and substantially all of its assets. This note requires Ecko to make monthly principal payments to the Company of $516,667 plus interest, commencing August 31, 2004. In July 2004, Ecko made a payment against this note in the amount of $0.7 million thereby reducing the balance of the note to $5.5 million at July 31, 2004. The Company will also continue to receive fees based on a percentage of sales for providing transitional services to the joint venture related to its operating and accounting systems, as needed until June 30, 2005.</w:t>
      </w:r>
    </w:p>
    <w:p>
      <w:pPr>
        <w:spacing w:after="0" w:line="10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above transaction resulted in a gain of approximately $3.1 million, which is included in the Consolidated Statements of Operations as a component of “Other income, net” for the three and six months ended July 31, 2004.</w:t>
      </w:r>
    </w:p>
    <w:p>
      <w:pPr>
        <w:spacing w:after="0" w:line="118" w:lineRule="exact"/>
        <w:rPr>
          <w:sz w:val="20"/>
          <w:szCs w:val="20"/>
          <w:color w:val="auto"/>
        </w:rPr>
      </w:pPr>
    </w:p>
    <w:p>
      <w:pPr>
        <w:jc w:val="both"/>
        <w:ind w:right="160"/>
        <w:spacing w:after="0" w:line="298" w:lineRule="auto"/>
        <w:rPr>
          <w:sz w:val="20"/>
          <w:szCs w:val="20"/>
          <w:color w:val="auto"/>
        </w:rPr>
      </w:pPr>
      <w:r>
        <w:rPr>
          <w:rFonts w:ascii="Arial" w:cs="Arial" w:eastAsia="Arial" w:hAnsi="Arial"/>
          <w:sz w:val="16"/>
          <w:szCs w:val="16"/>
          <w:color w:val="auto"/>
        </w:rPr>
        <w:t>Pursuant to a mark-down allowance agreement entered into on July 30, 2004, Ecko also executed and delivered an additional secured promissory note for $1.0 million as a markdown allowance with respect to purchases of certain goods made by the Company from Ecko. The secured promissory note accrues interest at 8% annually and is also secured by all of the membership interests of the former joint venture and substantially all of its assets. This note requires Ecko to make monthly principal payments in the amount of $83,333 plus interest commencing August 31, 2004.</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Early Redemption of 12% Senior Subordinated Notes due 2010</w:t>
      </w:r>
    </w:p>
    <w:p>
      <w:pPr>
        <w:spacing w:after="0" w:line="7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During the second quarter of fiscal 2004, the Company prepaid the remaining $7.8 million outstanding on its Senior Subordinated Notes due 2010. In connection with the early redemption, the Company incurred $1.9 million of additional expense in the second quarter of fiscal 2004 related to prepayment charges and the write-off of remaining deferred costs. The $1.9 million is included in the Company’s Consolidated Statements of Operations for the three and six months ended July 31, 2004 as a component of “Other income, net.”</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Extension of George Foreman agreement</w:t>
      </w:r>
    </w:p>
    <w:p>
      <w:pPr>
        <w:spacing w:after="0" w:line="7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During the second quarter of fiscal 2004, the Company extended its exclusive licensing agreement with George Foreman beyond the United States and Canada to include worldwide rights to the George Foreman Clothing Collection. As part of the extension, Casual Male also expanded the George Foreman line to include footwear. As part of the extended licensing agreement, Casual Male has two additional 3-year options to extend the relationship from 2012 to 2018.</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83" w:lineRule="exact"/>
        <w:rPr>
          <w:sz w:val="20"/>
          <w:szCs w:val="20"/>
          <w:color w:val="auto"/>
        </w:rPr>
      </w:pPr>
    </w:p>
    <w:p>
      <w:pPr>
        <w:ind w:right="40"/>
        <w:spacing w:after="0" w:line="336" w:lineRule="auto"/>
        <w:rPr>
          <w:sz w:val="20"/>
          <w:szCs w:val="20"/>
          <w:color w:val="auto"/>
        </w:rPr>
      </w:pPr>
      <w:r>
        <w:rPr>
          <w:rFonts w:ascii="Arial" w:cs="Arial" w:eastAsia="Arial" w:hAnsi="Arial"/>
          <w:sz w:val="15"/>
          <w:szCs w:val="15"/>
          <w:color w:val="auto"/>
        </w:rPr>
        <w:t>The Company operates its business in two reportable business segments: (i) the Casual Male business and (ii) Other Branded Apparel businesses. The Company’s “Other Branded Apparel businesses” segment includes the operations of the Company’s Levi’s</w:t>
      </w:r>
      <w:r>
        <w:rPr>
          <w:rFonts w:ascii="Arial" w:cs="Arial" w:eastAsia="Arial" w:hAnsi="Arial"/>
          <w:sz w:val="19"/>
          <w:szCs w:val="19"/>
          <w:color w:val="auto"/>
          <w:vertAlign w:val="superscript"/>
        </w:rPr>
        <w:t>®</w:t>
      </w:r>
      <w:r>
        <w:rPr>
          <w:rFonts w:ascii="Arial" w:cs="Arial" w:eastAsia="Arial" w:hAnsi="Arial"/>
          <w:sz w:val="15"/>
          <w:szCs w:val="15"/>
          <w:color w:val="auto"/>
        </w:rPr>
        <w:t>/Dockers</w:t>
      </w:r>
      <w:r>
        <w:rPr>
          <w:rFonts w:ascii="Arial" w:cs="Arial" w:eastAsia="Arial" w:hAnsi="Arial"/>
          <w:sz w:val="19"/>
          <w:szCs w:val="19"/>
          <w:color w:val="auto"/>
          <w:vertAlign w:val="superscript"/>
        </w:rPr>
        <w:t>®</w:t>
      </w:r>
      <w:r>
        <w:rPr>
          <w:rFonts w:ascii="Arial" w:cs="Arial" w:eastAsia="Arial" w:hAnsi="Arial"/>
          <w:sz w:val="15"/>
          <w:szCs w:val="15"/>
          <w:color w:val="auto"/>
        </w:rPr>
        <w:t xml:space="preserve"> outlet stores and through July 30, 2004, its Ecko Unltd.</w:t>
      </w:r>
      <w:r>
        <w:rPr>
          <w:rFonts w:ascii="Arial" w:cs="Arial" w:eastAsia="Arial" w:hAnsi="Arial"/>
          <w:sz w:val="19"/>
          <w:szCs w:val="19"/>
          <w:color w:val="auto"/>
          <w:vertAlign w:val="superscript"/>
        </w:rPr>
        <w:t>®</w:t>
      </w:r>
      <w:r>
        <w:rPr>
          <w:rFonts w:ascii="Arial" w:cs="Arial" w:eastAsia="Arial" w:hAnsi="Arial"/>
          <w:sz w:val="15"/>
          <w:szCs w:val="15"/>
          <w:color w:val="auto"/>
        </w:rPr>
        <w:t xml:space="preserve"> outlet and retail stores. See Note 7 of the Notes to Consolidated Financial Statements for a complete disclosure of financial results for each segment.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 CLOSINGS/DISCONTINUED OPERATIONS</w:t>
      </w:r>
    </w:p>
    <w:p>
      <w:pPr>
        <w:spacing w:after="0" w:line="83"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 xml:space="preserve">In accordance with the provisions of Statement of Financial Accounting Standard (“SFAS”) No. 144, </w:t>
      </w:r>
      <w:r>
        <w:rPr>
          <w:rFonts w:ascii="Arial" w:cs="Arial" w:eastAsia="Arial" w:hAnsi="Arial"/>
          <w:sz w:val="16"/>
          <w:szCs w:val="16"/>
          <w:i w:val="1"/>
          <w:iCs w:val="1"/>
          <w:color w:val="auto"/>
        </w:rPr>
        <w:t>Accounting for the Impairment or Disposal of Long-Lived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w:t>
      </w:r>
      <w:r>
        <w:rPr>
          <w:rFonts w:ascii="Arial" w:cs="Arial" w:eastAsia="Arial" w:hAnsi="Arial"/>
          <w:sz w:val="16"/>
          <w:szCs w:val="16"/>
          <w:color w:val="auto"/>
        </w:rPr>
        <w:t>(“SFAS No. 144”), results of operations for stores closed since 2003 have been presented as discontinued operations. Accordingly, the Company has</w:t>
      </w:r>
      <w:r>
        <w:rPr>
          <w:rFonts w:ascii="Arial" w:cs="Arial" w:eastAsia="Arial" w:hAnsi="Arial"/>
          <w:sz w:val="16"/>
          <w:szCs w:val="16"/>
          <w:i w:val="1"/>
          <w:iCs w:val="1"/>
          <w:color w:val="auto"/>
        </w:rPr>
        <w:t xml:space="preserve"> </w:t>
      </w:r>
      <w:r>
        <w:rPr>
          <w:rFonts w:ascii="Arial" w:cs="Arial" w:eastAsia="Arial" w:hAnsi="Arial"/>
          <w:sz w:val="16"/>
          <w:szCs w:val="16"/>
          <w:color w:val="auto"/>
        </w:rPr>
        <w:t>reclassified all prior year results for such closed stores to conform with the current period presentation of discontinued operations.</w:t>
      </w:r>
    </w:p>
    <w:p>
      <w:pPr>
        <w:sectPr>
          <w:pgSz w:w="11900" w:h="16838" w:orient="portrait"/>
          <w:cols w:equalWidth="0" w:num="1">
            <w:col w:w="11420"/>
          </w:cols>
          <w:pgMar w:left="240" w:top="28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RESULTS OF OPERATIONS</w:t>
      </w:r>
    </w:p>
    <w:p>
      <w:pPr>
        <w:spacing w:after="0" w:line="83"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 xml:space="preserve">Because of the materiality of the Casual Male business to the Company’s consolidated operations, the following discussion of results of operations will first review the segment results of the Casual Male business and will conclude with a consolidated review of the Company’s results. </w:t>
      </w:r>
      <w:r>
        <w:rPr>
          <w:rFonts w:ascii="Arial" w:cs="Arial" w:eastAsia="Arial" w:hAnsi="Arial"/>
          <w:sz w:val="16"/>
          <w:szCs w:val="16"/>
          <w:b w:val="1"/>
          <w:bCs w:val="1"/>
          <w:color w:val="auto"/>
        </w:rPr>
        <w:t>The discussion of the</w:t>
      </w:r>
      <w:r>
        <w:rPr>
          <w:rFonts w:ascii="Arial" w:cs="Arial" w:eastAsia="Arial" w:hAnsi="Arial"/>
          <w:sz w:val="16"/>
          <w:szCs w:val="16"/>
          <w:color w:val="auto"/>
        </w:rPr>
        <w:t xml:space="preserve"> </w:t>
      </w:r>
      <w:r>
        <w:rPr>
          <w:rFonts w:ascii="Arial" w:cs="Arial" w:eastAsia="Arial" w:hAnsi="Arial"/>
          <w:sz w:val="16"/>
          <w:szCs w:val="16"/>
          <w:b w:val="1"/>
          <w:bCs w:val="1"/>
          <w:color w:val="auto"/>
        </w:rPr>
        <w:t>Company’s consolidated results of operations begins on page 17 of this Form 10-Q</w:t>
      </w:r>
      <w:r>
        <w:rPr>
          <w:rFonts w:ascii="Arial" w:cs="Arial" w:eastAsia="Arial" w:hAnsi="Arial"/>
          <w:sz w:val="16"/>
          <w:szCs w:val="16"/>
          <w:color w:val="auto"/>
        </w:rPr>
        <w:t>. Management believes that this presentation helps investors gain a better</w:t>
      </w:r>
      <w:r>
        <w:rPr>
          <w:rFonts w:ascii="Arial" w:cs="Arial" w:eastAsia="Arial" w:hAnsi="Arial"/>
          <w:sz w:val="16"/>
          <w:szCs w:val="16"/>
          <w:b w:val="1"/>
          <w:bCs w:val="1"/>
          <w:color w:val="auto"/>
        </w:rPr>
        <w:t xml:space="preserve"> </w:t>
      </w:r>
      <w:r>
        <w:rPr>
          <w:rFonts w:ascii="Arial" w:cs="Arial" w:eastAsia="Arial" w:hAnsi="Arial"/>
          <w:sz w:val="16"/>
          <w:szCs w:val="16"/>
          <w:color w:val="auto"/>
        </w:rPr>
        <w:t>understanding of the Company’s core operating results and future prospects, consistent with how management measures and forecasts the Company’s performance, especially when comparing such results to previous periods.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CASUAL MALE BUSINESS – SEGMENT OVERVIEW</w:t>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gridSpan w:val="5"/>
          </w:tcPr>
          <w:p>
            <w:pPr>
              <w:ind w:left="320"/>
              <w:spacing w:after="0"/>
              <w:rPr>
                <w:sz w:val="20"/>
                <w:szCs w:val="20"/>
                <w:color w:val="auto"/>
              </w:rPr>
            </w:pPr>
            <w:r>
              <w:rPr>
                <w:rFonts w:ascii="Arial" w:cs="Arial" w:eastAsia="Arial" w:hAnsi="Arial"/>
                <w:sz w:val="14"/>
                <w:szCs w:val="14"/>
                <w:b w:val="1"/>
                <w:bCs w:val="1"/>
                <w:color w:val="auto"/>
                <w:w w:val="89"/>
              </w:rPr>
              <w:t>For the three months ended</w:t>
            </w: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gridSpan w:val="4"/>
          </w:tcPr>
          <w:p>
            <w:pPr>
              <w:ind w:left="340"/>
              <w:spacing w:after="0"/>
              <w:rPr>
                <w:sz w:val="20"/>
                <w:szCs w:val="20"/>
                <w:color w:val="auto"/>
              </w:rPr>
            </w:pPr>
            <w:r>
              <w:rPr>
                <w:rFonts w:ascii="Arial" w:cs="Arial" w:eastAsia="Arial" w:hAnsi="Arial"/>
                <w:sz w:val="14"/>
                <w:szCs w:val="14"/>
                <w:b w:val="1"/>
                <w:bCs w:val="1"/>
                <w:color w:val="auto"/>
                <w:w w:val="90"/>
              </w:rPr>
              <w:t>For the six months ended</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2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60" w:type="dxa"/>
            <w:vAlign w:val="bottom"/>
            <w:gridSpan w:val="6"/>
          </w:tcPr>
          <w:p>
            <w:pPr>
              <w:ind w:left="760"/>
              <w:spacing w:after="0"/>
              <w:rPr>
                <w:sz w:val="20"/>
                <w:szCs w:val="20"/>
                <w:color w:val="auto"/>
              </w:rPr>
            </w:pPr>
            <w:r>
              <w:rPr>
                <w:rFonts w:ascii="Arial" w:cs="Arial" w:eastAsia="Arial" w:hAnsi="Arial"/>
                <w:sz w:val="14"/>
                <w:szCs w:val="14"/>
                <w:b w:val="1"/>
                <w:bCs w:val="1"/>
                <w:color w:val="auto"/>
              </w:rPr>
              <w:t>July 31, 2004</w:t>
            </w:r>
          </w:p>
        </w:tc>
        <w:tc>
          <w:tcPr>
            <w:tcW w:w="420" w:type="dxa"/>
            <w:vAlign w:val="bottom"/>
          </w:tcPr>
          <w:p>
            <w:pPr>
              <w:spacing w:after="0"/>
              <w:rPr>
                <w:sz w:val="22"/>
                <w:szCs w:val="22"/>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August 2, 2003</w:t>
            </w:r>
          </w:p>
        </w:tc>
        <w:tc>
          <w:tcPr>
            <w:tcW w:w="420" w:type="dxa"/>
            <w:vAlign w:val="bottom"/>
          </w:tcPr>
          <w:p>
            <w:pPr>
              <w:spacing w:after="0"/>
              <w:rPr>
                <w:sz w:val="22"/>
                <w:szCs w:val="22"/>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July 31, 2004</w:t>
            </w:r>
          </w:p>
        </w:tc>
        <w:tc>
          <w:tcPr>
            <w:tcW w:w="420" w:type="dxa"/>
            <w:vAlign w:val="bottom"/>
          </w:tcPr>
          <w:p>
            <w:pPr>
              <w:spacing w:after="0"/>
              <w:rPr>
                <w:sz w:val="22"/>
                <w:szCs w:val="22"/>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August 2, 2003</w:t>
            </w:r>
          </w:p>
        </w:tc>
        <w:tc>
          <w:tcPr>
            <w:tcW w:w="0" w:type="dxa"/>
            <w:vAlign w:val="bottom"/>
          </w:tcPr>
          <w:p>
            <w:pPr>
              <w:spacing w:after="0"/>
              <w:rPr>
                <w:sz w:val="1"/>
                <w:szCs w:val="1"/>
                <w:color w:val="auto"/>
              </w:rPr>
            </w:pPr>
          </w:p>
        </w:tc>
      </w:tr>
      <w:tr>
        <w:trPr>
          <w:trHeight w:val="68"/>
        </w:trPr>
        <w:tc>
          <w:tcPr>
            <w:tcW w:w="322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94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5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322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34.2</w:t>
            </w: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32.2</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66.0</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Gross margin rate</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i w:val="1"/>
                <w:iCs w:val="1"/>
                <w:color w:val="auto"/>
              </w:rPr>
              <w:t>42.0%</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i w:val="1"/>
                <w:iCs w:val="1"/>
                <w:color w:val="auto"/>
              </w:rPr>
              <w:t>40.8%</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i w:val="1"/>
                <w:iCs w:val="1"/>
                <w:color w:val="auto"/>
              </w:rPr>
              <w:t>41.4%</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41.1%</w:t>
            </w:r>
          </w:p>
        </w:tc>
        <w:tc>
          <w:tcPr>
            <w:tcW w:w="0" w:type="dxa"/>
            <w:vAlign w:val="bottom"/>
          </w:tcPr>
          <w:p>
            <w:pPr>
              <w:spacing w:after="0"/>
              <w:rPr>
                <w:sz w:val="1"/>
                <w:szCs w:val="1"/>
                <w:color w:val="auto"/>
              </w:rPr>
            </w:pPr>
          </w:p>
        </w:tc>
      </w:tr>
      <w:tr>
        <w:trPr>
          <w:trHeight w:val="322"/>
        </w:trPr>
        <w:tc>
          <w:tcPr>
            <w:tcW w:w="322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28.8</w:t>
            </w: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26.3</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59.6</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94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-29210</wp:posOffset>
            </wp:positionV>
            <wp:extent cx="2159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-29210</wp:posOffset>
            </wp:positionV>
            <wp:extent cx="3873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-29210</wp:posOffset>
            </wp:positionV>
            <wp:extent cx="2159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-29210</wp:posOffset>
            </wp:positionV>
            <wp:extent cx="3873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2159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3873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2159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3873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77"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For the second quarter of fiscal 2004, sales for the Casual Male business, which includes sales from its e-commerce and catalog businesses increased 3.3% to $81.5 million compared to sales for the second quarter of fiscal 2003 of $78.9 million. Comparable store sales for the second quarter and six months ended July 31, 2004 for the Casual Male business increased 4.8% and 6.9%, respectively. Comparable stores include not only stores that have been open for at least one full fiscal year, but also include e-commerce and catalog sales. In March 2004, Casual Male launched its new George Foreman product lines, Comfort Zone by George Foreman</w:t>
      </w:r>
      <w:r>
        <w:rPr>
          <w:rFonts w:ascii="Arial" w:cs="Arial" w:eastAsia="Arial" w:hAnsi="Arial"/>
          <w:sz w:val="20"/>
          <w:szCs w:val="20"/>
          <w:color w:val="auto"/>
          <w:vertAlign w:val="superscript"/>
        </w:rPr>
        <w:t>™</w:t>
      </w:r>
      <w:r>
        <w:rPr>
          <w:rFonts w:ascii="Arial" w:cs="Arial" w:eastAsia="Arial" w:hAnsi="Arial"/>
          <w:sz w:val="16"/>
          <w:szCs w:val="16"/>
          <w:color w:val="auto"/>
        </w:rPr>
        <w:t>, George Foreman Signature Collection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GF Sport</w:t>
      </w:r>
      <w:r>
        <w:rPr>
          <w:rFonts w:ascii="Arial" w:cs="Arial" w:eastAsia="Arial" w:hAnsi="Arial"/>
          <w:sz w:val="20"/>
          <w:szCs w:val="20"/>
          <w:color w:val="auto"/>
          <w:vertAlign w:val="superscript"/>
        </w:rPr>
        <w:t>™</w:t>
      </w:r>
      <w:r>
        <w:rPr>
          <w:rFonts w:ascii="Arial" w:cs="Arial" w:eastAsia="Arial" w:hAnsi="Arial"/>
          <w:sz w:val="16"/>
          <w:szCs w:val="16"/>
          <w:color w:val="auto"/>
        </w:rPr>
        <w:t>, which represented approximately 15% of the Company’s sales during the first six months of fiscal 2004 and are expected to increase to approximately 25% by the fall of 2004.</w:t>
      </w:r>
    </w:p>
    <w:p>
      <w:pPr>
        <w:spacing w:after="0" w:line="10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Sales for only the Casual Male stores increased 4.7% to $75.0 million for the second quarter of fiscal 2004 as compared to $71.6 million for the second quarter of the prior year. Sales from the Casual Male catalog and e-commerce business decreased 11.8% to $6.1 million, as the Company anticipated due to the elimination of the REPP Big &amp; Tall catalog which represented approximately $2.5 million in sales for the second quarter of fiscal 2003. Through the first six months, the conversion rate of its REPP customers to the Casual Male catalog has been approximately 25%.</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Margin</w:t>
      </w:r>
    </w:p>
    <w:p>
      <w:pPr>
        <w:spacing w:after="0" w:line="7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For the second quarter of fiscal 2004, the gross margin rate for the Casual Male business, inclusive of occupancy costs, was 42.0%, which was an increase of 1.2 percentage points as compared to a gross margin rate of 40.8% for the second quarter of fiscal 2003. This increase was attributable to continued increases in initial markup and, as a result of a good inventory position, a lower markdown rate than the prior year. Occupancy costs as a percentage of sales were flat for the second quarter of fiscal 2004 as compared to the prior year second quarter.</w:t>
      </w:r>
    </w:p>
    <w:p>
      <w:pPr>
        <w:spacing w:after="0" w:line="13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For the six months ended of fiscal 2004, the gross margin rate for the Casual Male business, inclusive of occupancy costs, was 41.4% as compared to 41.1% for the prior period. This increase of 0.3 percentage points was due to 0.4 percentage point increase in merchandise margins offset by a 0.1 percentage point increase in occupancy costs as a percentage of sales.</w:t>
      </w:r>
    </w:p>
    <w:p>
      <w:pPr>
        <w:sectPr>
          <w:pgSz w:w="11900" w:h="16838" w:orient="portrait"/>
          <w:cols w:equalWidth="0" w:num="1">
            <w:col w:w="11360"/>
          </w:cols>
          <w:pgMar w:left="240" w:top="274" w:right="29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Selling, General and Administrative Expenses</w:t>
      </w:r>
    </w:p>
    <w:p>
      <w:pPr>
        <w:spacing w:after="0" w:line="7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Selling, general and administrative (“SG&amp;A”) expenses as a percentage of sales for the second quarter of fiscal 2004 were 35.3% of sales as compared to 33.3% for the second quarter of fiscal 2003. This increase of approximately $2.5 million or 9.5% is primarily related to continued marketing costs associated with the national launch of the George Foreman lines as well as new store growth.</w:t>
      </w:r>
    </w:p>
    <w:p>
      <w:pPr>
        <w:spacing w:after="0" w:line="127"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For the six months ended July 31, 2004, SG&amp;A expenses as a percentage of sales were 37.3% as compared to 34.7% for the six months ended August 2, 2003. This increase of $7.0 million or 13.3% was primarily related to Casual Male’s planned national marketing campaign of George Foreman and the introduction of the George Foreman product lines of clothing during the first quarter of fiscal 2004. The Company planned an incremental $5.0 million in marketing and advertising expenses for this national launch for fiscal 2004, of which approximately $4.5 million was incurred during the first half of fiscal 2004.</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7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For the second quarter of fiscal 2004, the Casual Male business incurred operating income of $3.2 million compared to operating income of $4.3 million for the second quarter of fiscal 2003. For the six months ended July 31, 2004, operating income for the Causal Male business was $2.3 million as compared to $6.7 million for the six months ended August 2, 2003. As discussed above, the primary reason for the decrease in operating income was due to the up front marketing costs of $4.5 million incurred in the first half of fiscal 2004 to promote the George Foreman product lines.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BRANDED APPAREL BUSINESS – SEGMENT OVERVIEW</w:t>
      </w:r>
    </w:p>
    <w:p>
      <w:pPr>
        <w:spacing w:after="0" w:line="83" w:lineRule="exact"/>
        <w:rPr>
          <w:sz w:val="20"/>
          <w:szCs w:val="20"/>
          <w:color w:val="auto"/>
        </w:rPr>
      </w:pPr>
    </w:p>
    <w:p>
      <w:pPr>
        <w:ind w:right="40"/>
        <w:spacing w:after="0" w:line="213" w:lineRule="auto"/>
        <w:rPr>
          <w:sz w:val="20"/>
          <w:szCs w:val="20"/>
          <w:color w:val="auto"/>
        </w:rPr>
      </w:pPr>
      <w:r>
        <w:rPr>
          <w:rFonts w:ascii="Arial" w:cs="Arial" w:eastAsia="Arial" w:hAnsi="Arial"/>
          <w:sz w:val="18"/>
          <w:szCs w:val="18"/>
          <w:color w:val="auto"/>
        </w:rPr>
        <w:t>Other Branded Apparel business includes the results of operations, on a continuing basis, for the Company’s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and, through July 30, 2004, its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and retail stores. In fiscal 2002, the Company announced that it would be winding down its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business with the intention to eventually exit the business completely. To date, the Company has closed 55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Accordingly, the operating results of these stores have been reclassified to discontinued operations and are discussed in more detail under “Consolidated Results of Operations- Discontinued Operations.”</w:t>
      </w:r>
    </w:p>
    <w:p>
      <w:pPr>
        <w:spacing w:after="0" w:line="147"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Included in the table below are the operating results for the 48 Levi’s</w:t>
      </w:r>
      <w:r>
        <w:rPr>
          <w:rFonts w:ascii="Arial" w:cs="Arial" w:eastAsia="Arial" w:hAnsi="Arial"/>
          <w:sz w:val="20"/>
          <w:szCs w:val="20"/>
          <w:color w:val="auto"/>
          <w:vertAlign w:val="superscript"/>
        </w:rPr>
        <w:t>®</w:t>
      </w:r>
      <w:r>
        <w:rPr>
          <w:rFonts w:ascii="Arial" w:cs="Arial" w:eastAsia="Arial" w:hAnsi="Arial"/>
          <w:sz w:val="16"/>
          <w:szCs w:val="16"/>
          <w:color w:val="auto"/>
        </w:rPr>
        <w:t>/Dockers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outlet stores and, through July 30, 2004, the 29 Ecko Unltd.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stores which, as discussed above, were sold on July 30, 2004. The Company intends to close another 17 Levi’s</w:t>
      </w:r>
      <w:r>
        <w:rPr>
          <w:rFonts w:ascii="Arial" w:cs="Arial" w:eastAsia="Arial" w:hAnsi="Arial"/>
          <w:sz w:val="20"/>
          <w:szCs w:val="20"/>
          <w:color w:val="auto"/>
          <w:vertAlign w:val="superscript"/>
        </w:rPr>
        <w:t>®</w:t>
      </w:r>
      <w:r>
        <w:rPr>
          <w:rFonts w:ascii="Arial" w:cs="Arial" w:eastAsia="Arial" w:hAnsi="Arial"/>
          <w:sz w:val="16"/>
          <w:szCs w:val="16"/>
          <w:color w:val="auto"/>
        </w:rPr>
        <w:t>/Dockers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stores through the remainder of fiscal 2004.</w:t>
      </w:r>
    </w:p>
    <w:p>
      <w:pPr>
        <w:spacing w:after="0" w:line="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70" w:type="dxa"/>
            <w:vAlign w:val="bottom"/>
          </w:tcPr>
          <w:p>
            <w:pPr>
              <w:spacing w:after="0"/>
              <w:rPr>
                <w:sz w:val="15"/>
                <w:szCs w:val="15"/>
                <w:color w:val="auto"/>
              </w:rPr>
            </w:pPr>
          </w:p>
        </w:tc>
        <w:tc>
          <w:tcPr>
            <w:tcW w:w="2030" w:type="dxa"/>
            <w:vAlign w:val="bottom"/>
            <w:gridSpan w:val="5"/>
          </w:tcPr>
          <w:p>
            <w:pPr>
              <w:ind w:left="350"/>
              <w:spacing w:after="0"/>
              <w:rPr>
                <w:sz w:val="20"/>
                <w:szCs w:val="20"/>
                <w:color w:val="auto"/>
              </w:rPr>
            </w:pPr>
            <w:r>
              <w:rPr>
                <w:rFonts w:ascii="Arial" w:cs="Arial" w:eastAsia="Arial" w:hAnsi="Arial"/>
                <w:sz w:val="14"/>
                <w:szCs w:val="14"/>
                <w:b w:val="1"/>
                <w:bCs w:val="1"/>
                <w:color w:val="auto"/>
                <w:w w:val="89"/>
              </w:rPr>
              <w:t>For the three months ended</w:t>
            </w: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gridSpan w:val="5"/>
          </w:tcPr>
          <w:p>
            <w:pPr>
              <w:ind w:left="320"/>
              <w:spacing w:after="0"/>
              <w:rPr>
                <w:sz w:val="20"/>
                <w:szCs w:val="20"/>
                <w:color w:val="auto"/>
              </w:rPr>
            </w:pPr>
            <w:r>
              <w:rPr>
                <w:rFonts w:ascii="Arial" w:cs="Arial" w:eastAsia="Arial" w:hAnsi="Arial"/>
                <w:sz w:val="14"/>
                <w:szCs w:val="14"/>
                <w:b w:val="1"/>
                <w:bCs w:val="1"/>
                <w:color w:val="auto"/>
                <w:w w:val="92"/>
              </w:rPr>
              <w:t>For the six months ended</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1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40" w:type="dxa"/>
            <w:vAlign w:val="bottom"/>
            <w:gridSpan w:val="4"/>
          </w:tcPr>
          <w:p>
            <w:pPr>
              <w:ind w:left="720"/>
              <w:spacing w:after="0"/>
              <w:rPr>
                <w:sz w:val="20"/>
                <w:szCs w:val="20"/>
                <w:color w:val="auto"/>
              </w:rPr>
            </w:pPr>
            <w:r>
              <w:rPr>
                <w:rFonts w:ascii="Arial" w:cs="Arial" w:eastAsia="Arial" w:hAnsi="Arial"/>
                <w:sz w:val="14"/>
                <w:szCs w:val="14"/>
                <w:b w:val="1"/>
                <w:bCs w:val="1"/>
                <w:color w:val="auto"/>
              </w:rPr>
              <w:t>July 31, 2004</w:t>
            </w:r>
          </w:p>
        </w:tc>
        <w:tc>
          <w:tcPr>
            <w:tcW w:w="1880" w:type="dxa"/>
            <w:vAlign w:val="bottom"/>
            <w:gridSpan w:val="5"/>
          </w:tcPr>
          <w:p>
            <w:pPr>
              <w:ind w:left="440"/>
              <w:spacing w:after="0"/>
              <w:rPr>
                <w:sz w:val="20"/>
                <w:szCs w:val="20"/>
                <w:color w:val="auto"/>
              </w:rPr>
            </w:pPr>
            <w:r>
              <w:rPr>
                <w:rFonts w:ascii="Arial" w:cs="Arial" w:eastAsia="Arial" w:hAnsi="Arial"/>
                <w:sz w:val="14"/>
                <w:szCs w:val="14"/>
                <w:b w:val="1"/>
                <w:bCs w:val="1"/>
                <w:color w:val="auto"/>
              </w:rPr>
              <w:t>August 2, 2003</w:t>
            </w:r>
          </w:p>
        </w:tc>
        <w:tc>
          <w:tcPr>
            <w:tcW w:w="1740" w:type="dxa"/>
            <w:vAlign w:val="bottom"/>
            <w:gridSpan w:val="4"/>
          </w:tcPr>
          <w:p>
            <w:pPr>
              <w:ind w:left="420"/>
              <w:spacing w:after="0"/>
              <w:rPr>
                <w:sz w:val="20"/>
                <w:szCs w:val="20"/>
                <w:color w:val="auto"/>
              </w:rPr>
            </w:pPr>
            <w:r>
              <w:rPr>
                <w:rFonts w:ascii="Arial" w:cs="Arial" w:eastAsia="Arial" w:hAnsi="Arial"/>
                <w:sz w:val="14"/>
                <w:szCs w:val="14"/>
                <w:b w:val="1"/>
                <w:bCs w:val="1"/>
                <w:color w:val="auto"/>
              </w:rPr>
              <w:t>July 31, 2004</w:t>
            </w:r>
          </w:p>
        </w:tc>
        <w:tc>
          <w:tcPr>
            <w:tcW w:w="1460" w:type="dxa"/>
            <w:vAlign w:val="bottom"/>
            <w:gridSpan w:val="5"/>
          </w:tcPr>
          <w:p>
            <w:pPr>
              <w:ind w:left="440"/>
              <w:spacing w:after="0"/>
              <w:rPr>
                <w:sz w:val="20"/>
                <w:szCs w:val="20"/>
                <w:color w:val="auto"/>
              </w:rPr>
            </w:pPr>
            <w:r>
              <w:rPr>
                <w:rFonts w:ascii="Arial" w:cs="Arial" w:eastAsia="Arial" w:hAnsi="Arial"/>
                <w:sz w:val="14"/>
                <w:szCs w:val="14"/>
                <w:b w:val="1"/>
                <w:bCs w:val="1"/>
                <w:color w:val="auto"/>
              </w:rPr>
              <w:t>August 2, 2003</w:t>
            </w:r>
          </w:p>
        </w:tc>
        <w:tc>
          <w:tcPr>
            <w:tcW w:w="0" w:type="dxa"/>
            <w:vAlign w:val="bottom"/>
          </w:tcPr>
          <w:p>
            <w:pPr>
              <w:spacing w:after="0"/>
              <w:rPr>
                <w:sz w:val="1"/>
                <w:szCs w:val="1"/>
                <w:color w:val="auto"/>
              </w:rPr>
            </w:pPr>
          </w:p>
        </w:tc>
      </w:tr>
      <w:tr>
        <w:trPr>
          <w:trHeight w:val="68"/>
        </w:trPr>
        <w:tc>
          <w:tcPr>
            <w:tcW w:w="3160" w:type="dxa"/>
            <w:vAlign w:val="bottom"/>
            <w:gridSpan w:val="2"/>
            <w:vMerge w:val="continue"/>
          </w:tcPr>
          <w:p>
            <w:pPr>
              <w:spacing w:after="0"/>
              <w:rPr>
                <w:sz w:val="5"/>
                <w:szCs w:val="5"/>
                <w:color w:val="auto"/>
              </w:rPr>
            </w:pPr>
          </w:p>
        </w:tc>
        <w:tc>
          <w:tcPr>
            <w:tcW w:w="720" w:type="dxa"/>
            <w:vAlign w:val="bottom"/>
          </w:tcPr>
          <w:p>
            <w:pPr>
              <w:spacing w:after="0"/>
              <w:rPr>
                <w:sz w:val="5"/>
                <w:szCs w:val="5"/>
                <w:color w:val="auto"/>
              </w:rPr>
            </w:pPr>
          </w:p>
        </w:tc>
        <w:tc>
          <w:tcPr>
            <w:tcW w:w="170" w:type="dxa"/>
            <w:vAlign w:val="bottom"/>
          </w:tcPr>
          <w:p>
            <w:pPr>
              <w:spacing w:after="0"/>
              <w:rPr>
                <w:sz w:val="5"/>
                <w:szCs w:val="5"/>
                <w:color w:val="auto"/>
              </w:rPr>
            </w:pPr>
          </w:p>
        </w:tc>
        <w:tc>
          <w:tcPr>
            <w:tcW w:w="59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70" w:type="dxa"/>
            <w:vAlign w:val="bottom"/>
            <w:tcBorders>
              <w:bottom w:val="single" w:sz="8" w:color="auto"/>
            </w:tcBorders>
          </w:tcPr>
          <w:p>
            <w:pPr>
              <w:spacing w:after="0"/>
              <w:rPr>
                <w:sz w:val="2"/>
                <w:szCs w:val="2"/>
                <w:color w:val="auto"/>
              </w:rPr>
            </w:pPr>
          </w:p>
        </w:tc>
        <w:tc>
          <w:tcPr>
            <w:tcW w:w="59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70" w:type="dxa"/>
            <w:vAlign w:val="bottom"/>
          </w:tcPr>
          <w:p>
            <w:pPr>
              <w:spacing w:after="0"/>
              <w:rPr>
                <w:sz w:val="8"/>
                <w:szCs w:val="8"/>
                <w:color w:val="auto"/>
              </w:rPr>
            </w:pPr>
          </w:p>
        </w:tc>
        <w:tc>
          <w:tcPr>
            <w:tcW w:w="59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89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5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5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5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316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720" w:type="dxa"/>
            <w:vAlign w:val="bottom"/>
          </w:tcPr>
          <w:p>
            <w:pPr>
              <w:spacing w:after="0"/>
              <w:rPr>
                <w:sz w:val="24"/>
                <w:szCs w:val="24"/>
                <w:color w:val="auto"/>
              </w:rPr>
            </w:pPr>
          </w:p>
        </w:tc>
        <w:tc>
          <w:tcPr>
            <w:tcW w:w="170" w:type="dxa"/>
            <w:vAlign w:val="bottom"/>
          </w:tcPr>
          <w:p>
            <w:pPr>
              <w:spacing w:after="0"/>
              <w:rPr>
                <w:sz w:val="24"/>
                <w:szCs w:val="24"/>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6.0</w:t>
            </w: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5.2</w:t>
            </w: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11.1</w:t>
            </w: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4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Gross margin rate</w:t>
            </w:r>
          </w:p>
        </w:tc>
        <w:tc>
          <w:tcPr>
            <w:tcW w:w="720" w:type="dxa"/>
            <w:vAlign w:val="bottom"/>
            <w:shd w:val="clear" w:color="auto" w:fill="CCEEFF"/>
          </w:tcPr>
          <w:p>
            <w:pPr>
              <w:spacing w:after="0"/>
              <w:rPr>
                <w:sz w:val="18"/>
                <w:szCs w:val="18"/>
                <w:color w:val="auto"/>
              </w:rPr>
            </w:pPr>
          </w:p>
        </w:tc>
        <w:tc>
          <w:tcPr>
            <w:tcW w:w="170" w:type="dxa"/>
            <w:vAlign w:val="bottom"/>
            <w:shd w:val="clear" w:color="auto" w:fill="CCEEFF"/>
          </w:tcPr>
          <w:p>
            <w:pPr>
              <w:spacing w:after="0"/>
              <w:rPr>
                <w:sz w:val="18"/>
                <w:szCs w:val="18"/>
                <w:color w:val="auto"/>
              </w:rPr>
            </w:pPr>
          </w:p>
        </w:tc>
        <w:tc>
          <w:tcPr>
            <w:tcW w:w="115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i w:val="1"/>
                <w:iCs w:val="1"/>
                <w:color w:val="auto"/>
              </w:rPr>
              <w:t>23.9%</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i w:val="1"/>
                <w:iCs w:val="1"/>
                <w:color w:val="auto"/>
              </w:rPr>
              <w:t>24.1%</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i w:val="1"/>
                <w:iCs w:val="1"/>
                <w:color w:val="auto"/>
              </w:rPr>
              <w:t>23.1%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22.1%</w:t>
            </w:r>
          </w:p>
        </w:tc>
        <w:tc>
          <w:tcPr>
            <w:tcW w:w="0" w:type="dxa"/>
            <w:vAlign w:val="bottom"/>
          </w:tcPr>
          <w:p>
            <w:pPr>
              <w:spacing w:after="0"/>
              <w:rPr>
                <w:sz w:val="1"/>
                <w:szCs w:val="1"/>
                <w:color w:val="auto"/>
              </w:rPr>
            </w:pPr>
          </w:p>
        </w:tc>
      </w:tr>
      <w:tr>
        <w:trPr>
          <w:trHeight w:val="322"/>
        </w:trPr>
        <w:tc>
          <w:tcPr>
            <w:tcW w:w="316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720" w:type="dxa"/>
            <w:vAlign w:val="bottom"/>
          </w:tcPr>
          <w:p>
            <w:pPr>
              <w:spacing w:after="0"/>
              <w:rPr>
                <w:sz w:val="24"/>
                <w:szCs w:val="24"/>
                <w:color w:val="auto"/>
              </w:rPr>
            </w:pPr>
          </w:p>
        </w:tc>
        <w:tc>
          <w:tcPr>
            <w:tcW w:w="170" w:type="dxa"/>
            <w:vAlign w:val="bottom"/>
          </w:tcPr>
          <w:p>
            <w:pPr>
              <w:spacing w:after="0"/>
              <w:rPr>
                <w:sz w:val="24"/>
                <w:szCs w:val="24"/>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6.2</w:t>
            </w: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5.1</w:t>
            </w: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11.9</w:t>
            </w: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20" w:type="dxa"/>
            <w:vAlign w:val="bottom"/>
            <w:shd w:val="clear" w:color="auto" w:fill="CCEEFF"/>
          </w:tcPr>
          <w:p>
            <w:pPr>
              <w:spacing w:after="0"/>
              <w:rPr>
                <w:sz w:val="18"/>
                <w:szCs w:val="18"/>
                <w:color w:val="auto"/>
              </w:rPr>
            </w:pPr>
          </w:p>
        </w:tc>
        <w:tc>
          <w:tcPr>
            <w:tcW w:w="17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7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70" w:type="dxa"/>
            <w:vAlign w:val="bottom"/>
          </w:tcPr>
          <w:p>
            <w:pPr>
              <w:spacing w:after="0"/>
              <w:rPr>
                <w:sz w:val="8"/>
                <w:szCs w:val="8"/>
                <w:color w:val="auto"/>
              </w:rPr>
            </w:pPr>
          </w:p>
        </w:tc>
        <w:tc>
          <w:tcPr>
            <w:tcW w:w="59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89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15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(0.8)</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(0.4)</w:t>
            </w: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2833370</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-29210</wp:posOffset>
            </wp:positionV>
            <wp:extent cx="2159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-29210</wp:posOffset>
            </wp:positionV>
            <wp:extent cx="3873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-29210</wp:posOffset>
            </wp:positionV>
            <wp:extent cx="57848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8485"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-29210</wp:posOffset>
            </wp:positionV>
            <wp:extent cx="2159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3873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57848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8485" cy="29845"/>
                    </a:xfrm>
                    <a:prstGeom prst="rect">
                      <a:avLst/>
                    </a:prstGeom>
                    <a:noFill/>
                  </pic:spPr>
                </pic:pic>
              </a:graphicData>
            </a:graphic>
          </wp:anchor>
        </w:drawing>
      </w:r>
    </w:p>
    <w:p>
      <w:pPr>
        <w:spacing w:after="0" w:line="225"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For the second quarter of fiscal 2004, the Other Branded Apparel business had sales of $25.1 million as compared to $21.6 million for the second quarter of fiscal 2003. These results includes sales from the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 sales of $18.5 million for the second quarter of fiscal 2004 and $18.0 million for the second quarter of fiscal 2003. The majority of the increase in sales of $3.5 million during the second quarter of fiscal 2004 was due to sales from new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stores of approximately $3.0 million.</w:t>
      </w:r>
    </w:p>
    <w:p>
      <w:pPr>
        <w:spacing w:after="0" w:line="58" w:lineRule="exact"/>
        <w:rPr>
          <w:sz w:val="20"/>
          <w:szCs w:val="20"/>
          <w:color w:val="auto"/>
        </w:rPr>
      </w:pPr>
    </w:p>
    <w:p>
      <w:pPr>
        <w:ind w:right="80"/>
        <w:spacing w:after="0" w:line="220" w:lineRule="auto"/>
        <w:rPr>
          <w:sz w:val="20"/>
          <w:szCs w:val="20"/>
          <w:color w:val="auto"/>
        </w:rPr>
      </w:pPr>
      <w:r>
        <w:rPr>
          <w:rFonts w:ascii="Arial" w:cs="Arial" w:eastAsia="Arial" w:hAnsi="Arial"/>
          <w:sz w:val="18"/>
          <w:szCs w:val="18"/>
          <w:color w:val="auto"/>
        </w:rPr>
        <w:t>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sales for the first half of fiscal 2004 have shown improvement over the prior year, while maintaining solid gross margins. The Company believes that the remaining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will be able to, at a minimum, achieve break-even operating results through the end of their respective lease terms or until the</w:t>
      </w:r>
    </w:p>
    <w:p>
      <w:pPr>
        <w:sectPr>
          <w:pgSz w:w="11900" w:h="16838" w:orient="portrait"/>
          <w:cols w:equalWidth="0" w:num="1">
            <w:col w:w="11380"/>
          </w:cols>
          <w:pgMar w:left="240" w:top="280" w:right="279" w:bottom="1440" w:gutter="0" w:footer="0" w:header="0"/>
        </w:sectPr>
      </w:pPr>
    </w:p>
    <w:bookmarkStart w:id="15" w:name="page16"/>
    <w:bookmarkEnd w:id="15"/>
    <w:p>
      <w:pPr>
        <w:ind w:right="4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is able to achieve a negotiated settlement with the respective landlords. In addition, the Company believes that, together with existing reserves, the operating results of the remaining stores should be sufficient to offset any additional costs to close the remaining store locations.</w:t>
      </w:r>
    </w:p>
    <w:p>
      <w:pPr>
        <w:spacing w:after="0" w:line="72" w:lineRule="exact"/>
        <w:rPr>
          <w:sz w:val="20"/>
          <w:szCs w:val="20"/>
          <w:color w:val="auto"/>
        </w:rPr>
      </w:pPr>
    </w:p>
    <w:p>
      <w:pPr>
        <w:ind w:right="340"/>
        <w:spacing w:after="0" w:line="228" w:lineRule="auto"/>
        <w:rPr>
          <w:sz w:val="20"/>
          <w:szCs w:val="20"/>
          <w:color w:val="auto"/>
        </w:rPr>
      </w:pPr>
      <w:r>
        <w:rPr>
          <w:rFonts w:ascii="Arial" w:cs="Arial" w:eastAsia="Arial" w:hAnsi="Arial"/>
          <w:sz w:val="18"/>
          <w:szCs w:val="18"/>
          <w:color w:val="auto"/>
        </w:rPr>
        <w:t>The operating loss of $0.8 million in the second quarter of fiscal 2004 was primarily due to the Ecko business, while the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business remained breakeven.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8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w w:val="91"/>
              </w:rPr>
              <w:t>For the three months ended</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4"/>
          </w:tcPr>
          <w:p>
            <w:pPr>
              <w:ind w:left="180"/>
              <w:spacing w:after="0"/>
              <w:rPr>
                <w:sz w:val="20"/>
                <w:szCs w:val="20"/>
                <w:color w:val="auto"/>
              </w:rPr>
            </w:pPr>
            <w:r>
              <w:rPr>
                <w:rFonts w:ascii="Arial" w:cs="Arial" w:eastAsia="Arial" w:hAnsi="Arial"/>
                <w:sz w:val="14"/>
                <w:szCs w:val="14"/>
                <w:b w:val="1"/>
                <w:bCs w:val="1"/>
                <w:color w:val="auto"/>
                <w:w w:val="84"/>
              </w:rPr>
              <w:t>For the six months ended</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in millions</w:t>
            </w:r>
            <w:r>
              <w:rPr>
                <w:rFonts w:ascii="Arial" w:cs="Arial" w:eastAsia="Arial" w:hAnsi="Arial"/>
                <w:sz w:val="14"/>
                <w:szCs w:val="14"/>
                <w:b w:val="1"/>
                <w:bCs w:val="1"/>
                <w:color w:val="auto"/>
              </w:rPr>
              <w:t>)</w:t>
            </w:r>
          </w:p>
        </w:tc>
        <w:tc>
          <w:tcPr>
            <w:tcW w:w="1220" w:type="dxa"/>
            <w:vAlign w:val="bottom"/>
          </w:tcPr>
          <w:p>
            <w:pPr>
              <w:spacing w:after="0"/>
              <w:rPr>
                <w:sz w:val="22"/>
                <w:szCs w:val="22"/>
                <w:color w:val="auto"/>
              </w:rPr>
            </w:pPr>
          </w:p>
        </w:tc>
        <w:tc>
          <w:tcPr>
            <w:tcW w:w="1180" w:type="dxa"/>
            <w:vAlign w:val="bottom"/>
            <w:gridSpan w:val="4"/>
          </w:tcPr>
          <w:p>
            <w:pPr>
              <w:ind w:left="20"/>
              <w:spacing w:after="0"/>
              <w:rPr>
                <w:sz w:val="20"/>
                <w:szCs w:val="20"/>
                <w:color w:val="auto"/>
              </w:rPr>
            </w:pPr>
            <w:r>
              <w:rPr>
                <w:rFonts w:ascii="Arial" w:cs="Arial" w:eastAsia="Arial" w:hAnsi="Arial"/>
                <w:sz w:val="14"/>
                <w:szCs w:val="14"/>
                <w:b w:val="1"/>
                <w:bCs w:val="1"/>
                <w:color w:val="auto"/>
              </w:rPr>
              <w:t>July 31, 2004</w:t>
            </w:r>
          </w:p>
        </w:tc>
        <w:tc>
          <w:tcPr>
            <w:tcW w:w="260" w:type="dxa"/>
            <w:vAlign w:val="bottom"/>
          </w:tcPr>
          <w:p>
            <w:pPr>
              <w:spacing w:after="0"/>
              <w:rPr>
                <w:sz w:val="22"/>
                <w:szCs w:val="22"/>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August 2, 2003</w:t>
            </w:r>
          </w:p>
        </w:tc>
        <w:tc>
          <w:tcPr>
            <w:tcW w:w="240" w:type="dxa"/>
            <w:vAlign w:val="bottom"/>
          </w:tcPr>
          <w:p>
            <w:pPr>
              <w:spacing w:after="0"/>
              <w:rPr>
                <w:sz w:val="22"/>
                <w:szCs w:val="22"/>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July 31, 2004</w:t>
            </w:r>
          </w:p>
        </w:tc>
        <w:tc>
          <w:tcPr>
            <w:tcW w:w="260" w:type="dxa"/>
            <w:vAlign w:val="bottom"/>
          </w:tcPr>
          <w:p>
            <w:pPr>
              <w:spacing w:after="0"/>
              <w:rPr>
                <w:sz w:val="22"/>
                <w:szCs w:val="22"/>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August 2, 2003</w:t>
            </w:r>
          </w:p>
        </w:tc>
        <w:tc>
          <w:tcPr>
            <w:tcW w:w="0" w:type="dxa"/>
            <w:vAlign w:val="bottom"/>
          </w:tcPr>
          <w:p>
            <w:pPr>
              <w:spacing w:after="0"/>
              <w:rPr>
                <w:sz w:val="1"/>
                <w:szCs w:val="1"/>
                <w:color w:val="auto"/>
              </w:rPr>
            </w:pPr>
          </w:p>
        </w:tc>
      </w:tr>
      <w:tr>
        <w:trPr>
          <w:trHeight w:val="68"/>
        </w:trPr>
        <w:tc>
          <w:tcPr>
            <w:tcW w:w="3660" w:type="dxa"/>
            <w:vAlign w:val="bottom"/>
            <w:gridSpan w:val="2"/>
            <w:vMerge w:val="continue"/>
          </w:tcPr>
          <w:p>
            <w:pPr>
              <w:spacing w:after="0"/>
              <w:rPr>
                <w:sz w:val="5"/>
                <w:szCs w:val="5"/>
                <w:color w:val="auto"/>
              </w:rPr>
            </w:pPr>
          </w:p>
        </w:tc>
        <w:tc>
          <w:tcPr>
            <w:tcW w:w="1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44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366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40.2</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37.4</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77.1</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71.0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4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Gross margin rate</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i w:val="1"/>
                <w:iCs w:val="1"/>
                <w:color w:val="auto"/>
              </w:rPr>
              <w:t>37.7%</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rPr>
              <w:t>37.2%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rPr>
              <w:t>37.1%</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37.2%</w:t>
            </w:r>
          </w:p>
        </w:tc>
        <w:tc>
          <w:tcPr>
            <w:tcW w:w="0" w:type="dxa"/>
            <w:vAlign w:val="bottom"/>
          </w:tcPr>
          <w:p>
            <w:pPr>
              <w:spacing w:after="0"/>
              <w:rPr>
                <w:sz w:val="1"/>
                <w:szCs w:val="1"/>
                <w:color w:val="auto"/>
              </w:rPr>
            </w:pPr>
          </w:p>
        </w:tc>
      </w:tr>
      <w:tr>
        <w:trPr>
          <w:trHeight w:val="322"/>
        </w:trPr>
        <w:tc>
          <w:tcPr>
            <w:tcW w:w="366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35.0</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31.4</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71.5</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63.1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4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3467735</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-29210</wp:posOffset>
            </wp:positionV>
            <wp:extent cx="2159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-29210</wp:posOffset>
            </wp:positionV>
            <wp:extent cx="3873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-29210</wp:posOffset>
            </wp:positionV>
            <wp:extent cx="2159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-29210</wp:posOffset>
            </wp:positionV>
            <wp:extent cx="3873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-29210</wp:posOffset>
            </wp:positionV>
            <wp:extent cx="2159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3873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2159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3873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77" w:lineRule="exact"/>
        <w:rPr>
          <w:sz w:val="20"/>
          <w:szCs w:val="20"/>
          <w:color w:val="auto"/>
        </w:rPr>
      </w:pPr>
    </w:p>
    <w:p>
      <w:pPr>
        <w:spacing w:after="0" w:line="317" w:lineRule="auto"/>
        <w:rPr>
          <w:sz w:val="20"/>
          <w:szCs w:val="20"/>
          <w:color w:val="auto"/>
        </w:rPr>
      </w:pPr>
      <w:r>
        <w:rPr>
          <w:rFonts w:ascii="Arial" w:cs="Arial" w:eastAsia="Arial" w:hAnsi="Arial"/>
          <w:sz w:val="16"/>
          <w:szCs w:val="16"/>
          <w:color w:val="auto"/>
        </w:rPr>
        <w:t>Sales for the second quarter of fiscal 2004 increased 6.1% to $106.6 million as compared to $100.5 million for the second quarter of fiscal 2003. The increase was primarily attributable to a 4.8% comparable store sales increase in the Casual Male business in addition to new store growth. Sales from the Company’s Other Branded Apparel businesses also increased by approximately $3.5 million, of which $3.0 million was attributable to new Ecko Unltd.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stores.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Margin</w:t>
      </w:r>
    </w:p>
    <w:p>
      <w:pPr>
        <w:spacing w:after="0" w:line="7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As mentioned in the segment discussion above, the primary reason for the increase of 0.5 percentage points in gross margin to 37.7% of sales for the second quarter of fiscal 2004 as compared to fiscal 2003 was due to improved initial margins and lower markdown rate as a result of a strong inventory position. For the six months ended July 31, 2004, the gross margin rate decreased 0.1 percentage points as compared to the prior year primarily due to increased markdowns that the Company recorded in the first quarter related to its young mens and active wear categories.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&amp;Administrative Expense</w:t>
      </w:r>
    </w:p>
    <w:p>
      <w:pPr>
        <w:spacing w:after="0" w:line="7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SG&amp;A expenses for the second quarter of fiscal 2004 were 32.8% of sales on a consolidated basis, as compared to 31.2% for the second quarter of fiscal 2003. For the six months ended July 31, 2004, SG&amp;A expenses were 34.4% of sales as compared to 33.1% for the six months ended August 2, 2003. As discussed above, the majority of the increase, approximately $4.5 million for the six months ended July 31, 2004, was due to the increase marketing dollars associated with the national launch of the George Foreman clothing lines. On an average store basis, SG&amp;A expenses were up slightly due to new store openings in the Casual Male and Ecko businesses.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7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As discussed above, for the three and six months ended July 31, 2004, other income includes a gain of approximately $3.1 million related to the Company’s sale of its 50.5% joint venture interest in the Ecko Unltd. stores to Ecko. This gain was offset by approximately $1.9 million of costs incurred in connection with the Company’s early prepayment of its 12% Senior Subordinated Notes, due 2010, in addition to a write-off of approximately $0.9 million related to previously incurred costs associated with the Company’s intended spin-off of its subsidiary, LP Innovations, Inc., which has been postponed due to lower than expected results of operations.</w:t>
      </w:r>
    </w:p>
    <w:p>
      <w:pPr>
        <w:sectPr>
          <w:pgSz w:w="11900" w:h="16838" w:orient="portrait"/>
          <w:cols w:equalWidth="0" w:num="1">
            <w:col w:w="11420"/>
          </w:cols>
          <w:pgMar w:left="240" w:top="28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Interest Expense, Net</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interest expense was $2.0 million for the second quarter of fiscal 2004 as compared to $3.0 million for the second quarter of fiscal 2003. For the six months ended July 30, 2004, net interest expense was $4.2 million as compared to $5.9 million for the six months ended August 2, 2003. These decreases were the result of the Company’s restructuring of its long-term debt in the second half of fiscal 2003. In the fourth quarter of fiscal 2003, the Company issued $100 million in 5% convertible notes, the proceeds of which were used to prepay the Company’s higher interest rate long-term senior subordinated notes, resulting in reduced interest costs.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77"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In accordance with the provisions of SFAS 144, the Company’s discontinued operations reflect the operating results for stores which have been closed as part of the Company’s plan to exit its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business. The results for the second quarter and first six months of fiscal 2004 and fiscal 2003 have been reclassified to show the results of operations for the Company’s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stores closed since the beginning of fiscal 2003. For more detail on the results of discontinued operations, see Note 5 to the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At July 31, 2004, the Company had total gross deferred tax assets of approximately $45.8 million, which are fully reserved. These tax assets principally relate to federal net operating loss carryforwards that expire from 2017 through 2024. The ability to reduce the Company’s corresponding valuation allowance of $45.8 million in the future is dependent upon the Company’s ability to achieve sustained taxable income.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7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For the second quarter of fiscal 2004 the Company had net income of $99,000, or $0.00 per diluted share, as compared to net income of $658,000, or $0.02 per diluted share, for the second quarter of fiscal 2003. For the six months ended July 31, 2004, the Company had a net loss of $5.0 million, or $0.14 per share, as compared to a net loss of $2.1 million, or $0.06 per share, for the six months ended August 2, 2003. As discussed above, the primary reason for the decrease in operating results for both the second quarter and six months of fiscal 2004 was due to the incremental marketing costs associated with the launch of the Company’s George Foreman product lines.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7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At July 31, 2004, total inventory equaled $87.5 million compared to $98.7 million at January 31, 2004. The decrease in inventory is partially due to closed Levi’s</w:t>
      </w:r>
      <w:r>
        <w:rPr>
          <w:rFonts w:ascii="Arial" w:cs="Arial" w:eastAsia="Arial" w:hAnsi="Arial"/>
          <w:sz w:val="20"/>
          <w:szCs w:val="20"/>
          <w:color w:val="auto"/>
          <w:vertAlign w:val="superscript"/>
        </w:rPr>
        <w:t>®</w:t>
      </w:r>
      <w:r>
        <w:rPr>
          <w:rFonts w:ascii="Arial" w:cs="Arial" w:eastAsia="Arial" w:hAnsi="Arial"/>
          <w:sz w:val="16"/>
          <w:szCs w:val="16"/>
          <w:color w:val="auto"/>
        </w:rPr>
        <w:t>/Dockers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outlet stores and the sale of the Company’s interest in the Ecko Unltd.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stores which had approximately $5.8 million of inventory. Inventory at July 31, 2004 is net of approximately $0.6 million in inventory reserves related to the Company’s exiting of its Levi’s</w:t>
      </w:r>
      <w:r>
        <w:rPr>
          <w:rFonts w:ascii="Arial" w:cs="Arial" w:eastAsia="Arial" w:hAnsi="Arial"/>
          <w:sz w:val="20"/>
          <w:szCs w:val="20"/>
          <w:color w:val="auto"/>
          <w:vertAlign w:val="superscript"/>
        </w:rPr>
        <w:t>®</w:t>
      </w:r>
      <w:r>
        <w:rPr>
          <w:rFonts w:ascii="Arial" w:cs="Arial" w:eastAsia="Arial" w:hAnsi="Arial"/>
          <w:sz w:val="16"/>
          <w:szCs w:val="16"/>
          <w:color w:val="auto"/>
        </w:rPr>
        <w:t>/Dockers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outlet stores.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83"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Historically and consistent with the retail industry, the Company has experienced seasonal fluctuations in revenues and income, with increases traditionally occurring during the Company’s third and fourth quarters as a result of the “Fall” and “Holiday” seasons.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Company’s primary cash needs are for working capital (essentially inventory requirements) and capital expenditures. Specifically, the Company’s capital expenditure program includes projects for new store openings, remodeling, downsizing or combining existing stores, and improvements and integration of its systems infrastructure. The Company expects that cash flow from operations, external borrowings and trade credit will enable it to finance its current working capital and expansion requirements. The Company has financed its working capital requirements, store expansion program, stock repurchase programs and acquisitions with cash flow from operations, external borrowings, and proceeds from equity and debt offerings. The Company’s objective is to maintain a positive cash flow after capital expenditures such that it can support its growth activities with operational cash flows and without the use of incurring any additional debt.</w:t>
      </w:r>
    </w:p>
    <w:p>
      <w:pPr>
        <w:sectPr>
          <w:pgSz w:w="11900" w:h="16838" w:orient="portrait"/>
          <w:cols w:equalWidth="0" w:num="1">
            <w:col w:w="11400"/>
          </w:cols>
          <w:pgMar w:left="240" w:top="280" w:right="259" w:bottom="1440" w:gutter="0" w:footer="0" w:header="0"/>
        </w:sectPr>
      </w:pPr>
    </w:p>
    <w:bookmarkStart w:id="17" w:name="page18"/>
    <w:bookmarkEnd w:id="17"/>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the first six months of fiscal 2004, cash used by operating activities was $5.1 million as compared to cash provided by operating activities of $0.6 million for the corresponding period of the prior year. Cash flow from operations was negative for the first six months of fiscal 2004 as a result of seasonal working capital needs and increased marketing costs to fund the launch of the George Foreman product line.</w:t>
      </w:r>
    </w:p>
    <w:p>
      <w:pPr>
        <w:spacing w:after="0" w:line="127"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In addition to cash flow from operations, the Company’s other primary source of working capital is its credit facility (as amended from time to time, the “Credit Facility”) with Fleet Retail Finance, Inc., which was most recently amended on November 3, 2003. The total commitment under the Credit Facility is $90.0 million, with a $20.0 million carve-out for standby and documentary letters of credit. In addition, the recent amendment lowered the Company’s interest costs under the Credit Facility depending on its levels of excess availability and increased the Company’s advance rates on borrowings based on seasonality. The Company’s ability to borrow under the Credit Facility is determined using an availability formula based on eligible assets. The term of the Credit Facility was extended by the most recent amendment to May 14, 2006. The Company is subject to prepayment penalties through May 14, 2005. At July 31, 2004, the Company had borrowings of approximately $33.9 million under the Credit Facility, with an unused availability of $23.3 million. In connection with the pending acquisition of substantially all of the assets of Rochester Big &amp; Tall, the Company expects to secure a $7.5 million term loan which, together with borrowings from its $90 million Credit Facility, will be used to finance the acquisition. The Company does not expect this acquisition to have any significant impact on the Company’s liquidity position.</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Stock Repurchase Program</w:t>
      </w:r>
    </w:p>
    <w:p>
      <w:pPr>
        <w:spacing w:after="0" w:line="7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connection with the Company’s issuance of $100 million of its 5% convertible notes in November 2003, the Board of Directors agreed to use a portion of the proceeds from such offering for a stock repurchase program whereby the Company would repurchase up to 2,000,000 shares of its Common Stock. The Company purchased 1,000,000 shares at a weighted average purchase price of $7.90 per share pursuant to this stock repurchase program in November 2003.</w:t>
      </w:r>
    </w:p>
    <w:p>
      <w:pPr>
        <w:spacing w:after="0" w:line="9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During the second quarter of fiscal 2004, the Company completed the stock repurchase program. In May 2004, the Company repurchased the remaining 1,000,000 shares authorized by the Board of Directors in open market and negotiated transactions. The weighted average purchase price of the stock was $6.33 per share.</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Capital Expenditures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stores opened and related square footage at July 31, 2004 and August 2, 2003, respectively: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920" w:type="dxa"/>
            <w:vAlign w:val="bottom"/>
            <w:gridSpan w:val="2"/>
          </w:tcPr>
          <w:p>
            <w:pPr>
              <w:ind w:left="960"/>
              <w:spacing w:after="0"/>
              <w:rPr>
                <w:sz w:val="20"/>
                <w:szCs w:val="20"/>
                <w:color w:val="auto"/>
              </w:rPr>
            </w:pPr>
            <w:r>
              <w:rPr>
                <w:rFonts w:ascii="Arial" w:cs="Arial" w:eastAsia="Arial" w:hAnsi="Arial"/>
                <w:sz w:val="14"/>
                <w:szCs w:val="14"/>
                <w:b w:val="1"/>
                <w:bCs w:val="1"/>
                <w:color w:val="auto"/>
                <w:w w:val="89"/>
              </w:rPr>
              <w:t>At July 31, 2004</w:t>
            </w: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940" w:type="dxa"/>
            <w:vAlign w:val="bottom"/>
            <w:gridSpan w:val="2"/>
          </w:tcPr>
          <w:p>
            <w:pPr>
              <w:ind w:left="900"/>
              <w:spacing w:after="0"/>
              <w:rPr>
                <w:sz w:val="20"/>
                <w:szCs w:val="20"/>
                <w:color w:val="auto"/>
              </w:rPr>
            </w:pPr>
            <w:r>
              <w:rPr>
                <w:rFonts w:ascii="Arial" w:cs="Arial" w:eastAsia="Arial" w:hAnsi="Arial"/>
                <w:sz w:val="14"/>
                <w:szCs w:val="14"/>
                <w:b w:val="1"/>
                <w:bCs w:val="1"/>
                <w:color w:val="auto"/>
                <w:w w:val="86"/>
              </w:rPr>
              <w:t>At August 2, 2003</w:t>
            </w: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040" w:type="dxa"/>
            <w:vAlign w:val="bottom"/>
            <w:gridSpan w:val="2"/>
          </w:tcPr>
          <w:p>
            <w:pPr>
              <w:spacing w:after="0"/>
              <w:rPr>
                <w:sz w:val="8"/>
                <w:szCs w:val="8"/>
                <w:color w:val="auto"/>
              </w:rPr>
            </w:pPr>
          </w:p>
        </w:tc>
        <w:tc>
          <w:tcPr>
            <w:tcW w:w="38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860" w:type="dxa"/>
            <w:vAlign w:val="bottom"/>
            <w:gridSpan w:val="3"/>
          </w:tcPr>
          <w:p>
            <w:pPr>
              <w:spacing w:after="0"/>
              <w:rPr>
                <w:sz w:val="20"/>
                <w:szCs w:val="20"/>
                <w:color w:val="auto"/>
              </w:rPr>
            </w:pPr>
            <w:r>
              <w:rPr>
                <w:rFonts w:ascii="Arial" w:cs="Arial" w:eastAsia="Arial" w:hAnsi="Arial"/>
                <w:sz w:val="14"/>
                <w:szCs w:val="14"/>
                <w:b w:val="1"/>
                <w:bCs w:val="1"/>
                <w:color w:val="auto"/>
              </w:rPr>
              <w:t>Store Concept</w:t>
            </w:r>
          </w:p>
        </w:tc>
        <w:tc>
          <w:tcPr>
            <w:tcW w:w="192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 of Stores</w:t>
            </w:r>
          </w:p>
        </w:tc>
        <w:tc>
          <w:tcPr>
            <w:tcW w:w="1800" w:type="dxa"/>
            <w:vAlign w:val="bottom"/>
            <w:gridSpan w:val="2"/>
          </w:tcPr>
          <w:p>
            <w:pPr>
              <w:spacing w:after="0"/>
              <w:rPr>
                <w:sz w:val="20"/>
                <w:szCs w:val="20"/>
                <w:color w:val="auto"/>
              </w:rPr>
            </w:pPr>
            <w:r>
              <w:rPr>
                <w:rFonts w:ascii="Arial" w:cs="Arial" w:eastAsia="Arial" w:hAnsi="Arial"/>
                <w:sz w:val="14"/>
                <w:szCs w:val="14"/>
                <w:b w:val="1"/>
                <w:bCs w:val="1"/>
                <w:color w:val="auto"/>
              </w:rPr>
              <w:t>Square Footage</w:t>
            </w:r>
          </w:p>
        </w:tc>
        <w:tc>
          <w:tcPr>
            <w:tcW w:w="1940" w:type="dxa"/>
            <w:vAlign w:val="bottom"/>
            <w:gridSpan w:val="2"/>
          </w:tcPr>
          <w:p>
            <w:pPr>
              <w:spacing w:after="0"/>
              <w:rPr>
                <w:sz w:val="20"/>
                <w:szCs w:val="20"/>
                <w:color w:val="auto"/>
              </w:rPr>
            </w:pPr>
            <w:r>
              <w:rPr>
                <w:rFonts w:ascii="Arial" w:cs="Arial" w:eastAsia="Arial" w:hAnsi="Arial"/>
                <w:sz w:val="14"/>
                <w:szCs w:val="14"/>
                <w:b w:val="1"/>
                <w:bCs w:val="1"/>
                <w:color w:val="auto"/>
              </w:rPr>
              <w:t>Number of Stores</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85"/>
              </w:rPr>
              <w:t>Square Footage</w:t>
            </w:r>
          </w:p>
        </w:tc>
        <w:tc>
          <w:tcPr>
            <w:tcW w:w="0" w:type="dxa"/>
            <w:vAlign w:val="bottom"/>
          </w:tcPr>
          <w:p>
            <w:pPr>
              <w:spacing w:after="0"/>
              <w:rPr>
                <w:sz w:val="1"/>
                <w:szCs w:val="1"/>
                <w:color w:val="auto"/>
              </w:rPr>
            </w:pPr>
          </w:p>
        </w:tc>
      </w:tr>
      <w:tr>
        <w:trPr>
          <w:trHeight w:val="95"/>
        </w:trPr>
        <w:tc>
          <w:tcPr>
            <w:tcW w:w="1040" w:type="dxa"/>
            <w:vAlign w:val="bottom"/>
            <w:tcBorders>
              <w:bottom w:val="single" w:sz="8" w:color="auto"/>
            </w:tcBorders>
            <w:gridSpan w:val="2"/>
          </w:tcPr>
          <w:p>
            <w:pPr>
              <w:spacing w:after="0"/>
              <w:rPr>
                <w:sz w:val="8"/>
                <w:szCs w:val="8"/>
                <w:color w:val="auto"/>
              </w:rPr>
            </w:pPr>
          </w:p>
        </w:tc>
        <w:tc>
          <w:tcPr>
            <w:tcW w:w="38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860" w:type="dxa"/>
            <w:vAlign w:val="bottom"/>
            <w:gridSpan w:val="3"/>
          </w:tcPr>
          <w:p>
            <w:pPr>
              <w:spacing w:after="0"/>
              <w:rPr>
                <w:sz w:val="20"/>
                <w:szCs w:val="20"/>
                <w:color w:val="auto"/>
              </w:rPr>
            </w:pPr>
            <w:r>
              <w:rPr>
                <w:rFonts w:ascii="Arial" w:cs="Arial" w:eastAsia="Arial" w:hAnsi="Arial"/>
                <w:sz w:val="14"/>
                <w:szCs w:val="14"/>
                <w:i w:val="1"/>
                <w:iCs w:val="1"/>
                <w:color w:val="auto"/>
              </w:rPr>
              <w:t>(square footage in thousands)</w:t>
            </w:r>
          </w:p>
        </w:tc>
        <w:tc>
          <w:tcPr>
            <w:tcW w:w="10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Casual Male Big &amp; Tall retail and outlet stores</w:t>
            </w:r>
          </w:p>
        </w:tc>
        <w:tc>
          <w:tcPr>
            <w:tcW w:w="19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489</w:t>
            </w:r>
          </w:p>
        </w:tc>
        <w:tc>
          <w:tcPr>
            <w:tcW w:w="18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1,667.0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line="217" w:lineRule="exact"/>
              <w:rPr>
                <w:sz w:val="20"/>
                <w:szCs w:val="20"/>
                <w:color w:val="auto"/>
              </w:rPr>
            </w:pPr>
            <w:r>
              <w:rPr>
                <w:rFonts w:ascii="Arial" w:cs="Arial" w:eastAsia="Arial" w:hAnsi="Arial"/>
                <w:sz w:val="18"/>
                <w:szCs w:val="18"/>
                <w:color w:val="auto"/>
              </w:rPr>
              <w:t>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w:t>
            </w:r>
          </w:p>
        </w:tc>
        <w:tc>
          <w:tcPr>
            <w:tcW w:w="1920" w:type="dxa"/>
            <w:vAlign w:val="bottom"/>
            <w:gridSpan w:val="2"/>
          </w:tcPr>
          <w:p>
            <w:pPr>
              <w:jc w:val="right"/>
              <w:ind w:right="880"/>
              <w:spacing w:after="0"/>
              <w:rPr>
                <w:sz w:val="20"/>
                <w:szCs w:val="20"/>
                <w:color w:val="auto"/>
              </w:rPr>
            </w:pPr>
            <w:r>
              <w:rPr>
                <w:rFonts w:ascii="Arial" w:cs="Arial" w:eastAsia="Arial" w:hAnsi="Arial"/>
                <w:sz w:val="18"/>
                <w:szCs w:val="18"/>
                <w:color w:val="auto"/>
              </w:rPr>
              <w:t>48</w:t>
            </w:r>
          </w:p>
        </w:tc>
        <w:tc>
          <w:tcPr>
            <w:tcW w:w="1800" w:type="dxa"/>
            <w:vAlign w:val="bottom"/>
            <w:gridSpan w:val="2"/>
          </w:tcPr>
          <w:p>
            <w:pPr>
              <w:jc w:val="right"/>
              <w:ind w:right="880"/>
              <w:spacing w:after="0"/>
              <w:rPr>
                <w:sz w:val="20"/>
                <w:szCs w:val="20"/>
                <w:color w:val="auto"/>
              </w:rPr>
            </w:pPr>
            <w:r>
              <w:rPr>
                <w:rFonts w:ascii="Arial" w:cs="Arial" w:eastAsia="Arial" w:hAnsi="Arial"/>
                <w:sz w:val="18"/>
                <w:szCs w:val="18"/>
                <w:color w:val="auto"/>
              </w:rPr>
              <w:t>457.7</w:t>
            </w:r>
          </w:p>
        </w:tc>
        <w:tc>
          <w:tcPr>
            <w:tcW w:w="1040" w:type="dxa"/>
            <w:vAlign w:val="bottom"/>
          </w:tcPr>
          <w:p>
            <w:pPr>
              <w:jc w:val="right"/>
              <w:spacing w:after="0"/>
              <w:rPr>
                <w:sz w:val="20"/>
                <w:szCs w:val="20"/>
                <w:color w:val="auto"/>
              </w:rPr>
            </w:pPr>
            <w:r>
              <w:rPr>
                <w:rFonts w:ascii="Arial" w:cs="Arial" w:eastAsia="Arial" w:hAnsi="Arial"/>
                <w:sz w:val="18"/>
                <w:szCs w:val="18"/>
                <w:color w:val="auto"/>
              </w:rPr>
              <w:t>81</w:t>
            </w:r>
          </w:p>
        </w:tc>
        <w:tc>
          <w:tcPr>
            <w:tcW w:w="9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w:t>
            </w:r>
          </w:p>
        </w:tc>
        <w:tc>
          <w:tcPr>
            <w:tcW w:w="19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Stores</w:t>
            </w:r>
          </w:p>
        </w:tc>
        <w:tc>
          <w:tcPr>
            <w:tcW w:w="19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537</w:t>
            </w:r>
          </w:p>
        </w:tc>
        <w:tc>
          <w:tcPr>
            <w:tcW w:w="18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2,124.7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Total cash outlays for capital expenditures for the first six months of fiscal 2004 were $9.4 million as compared to $6.0 million for the first six months of fiscal 2003. Below is a summary of store openings and closings since January 31, 2004:</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96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w w:val="82"/>
              </w:rPr>
              <w:t>Levi’s</w:t>
            </w:r>
            <w:r>
              <w:rPr>
                <w:rFonts w:ascii="Arial" w:cs="Arial" w:eastAsia="Arial" w:hAnsi="Arial"/>
                <w:sz w:val="22"/>
                <w:szCs w:val="22"/>
                <w:b w:val="1"/>
                <w:bCs w:val="1"/>
                <w:color w:val="auto"/>
                <w:w w:val="82"/>
                <w:vertAlign w:val="superscript"/>
              </w:rPr>
              <w:t>®</w:t>
            </w:r>
            <w:r>
              <w:rPr>
                <w:rFonts w:ascii="Arial" w:cs="Arial" w:eastAsia="Arial" w:hAnsi="Arial"/>
                <w:sz w:val="14"/>
                <w:szCs w:val="14"/>
                <w:b w:val="1"/>
                <w:bCs w:val="1"/>
                <w:color w:val="auto"/>
                <w:w w:val="82"/>
              </w:rPr>
              <w:t>/Dockers</w:t>
            </w:r>
            <w:r>
              <w:rPr>
                <w:rFonts w:ascii="Arial" w:cs="Arial" w:eastAsia="Arial" w:hAnsi="Arial"/>
                <w:sz w:val="22"/>
                <w:szCs w:val="22"/>
                <w:b w:val="1"/>
                <w:bCs w:val="1"/>
                <w:color w:val="auto"/>
                <w:w w:val="82"/>
                <w:vertAlign w:val="superscript"/>
              </w:rPr>
              <w:t>®</w:t>
            </w:r>
          </w:p>
        </w:tc>
        <w:tc>
          <w:tcPr>
            <w:tcW w:w="208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w w:val="86"/>
              </w:rPr>
              <w:t>Ecko</w:t>
            </w:r>
            <w:r>
              <w:rPr>
                <w:rFonts w:ascii="Arial" w:cs="Arial" w:eastAsia="Arial" w:hAnsi="Arial"/>
                <w:sz w:val="22"/>
                <w:szCs w:val="22"/>
                <w:b w:val="1"/>
                <w:bCs w:val="1"/>
                <w:color w:val="auto"/>
                <w:w w:val="86"/>
                <w:vertAlign w:val="superscript"/>
              </w:rPr>
              <w:t>®</w:t>
            </w:r>
            <w:r>
              <w:rPr>
                <w:rFonts w:ascii="Arial" w:cs="Arial" w:eastAsia="Arial" w:hAnsi="Arial"/>
                <w:sz w:val="14"/>
                <w:szCs w:val="14"/>
                <w:b w:val="1"/>
                <w:bCs w:val="1"/>
                <w:color w:val="auto"/>
                <w:w w:val="86"/>
              </w:rPr>
              <w:t xml:space="preserve"> Unltd. outlet</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6"/>
              </w:rPr>
              <w:t>Casual Male</w:t>
            </w:r>
          </w:p>
        </w:tc>
        <w:tc>
          <w:tcPr>
            <w:tcW w:w="840" w:type="dxa"/>
            <w:vAlign w:val="bottom"/>
          </w:tcPr>
          <w:p>
            <w:pPr>
              <w:spacing w:after="0"/>
              <w:rPr>
                <w:sz w:val="15"/>
                <w:szCs w:val="15"/>
                <w:color w:val="auto"/>
              </w:rPr>
            </w:pPr>
          </w:p>
        </w:tc>
        <w:tc>
          <w:tcPr>
            <w:tcW w:w="196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w w:val="99"/>
              </w:rPr>
              <w:t>outlet stores</w:t>
            </w:r>
          </w:p>
        </w:tc>
        <w:tc>
          <w:tcPr>
            <w:tcW w:w="2080" w:type="dxa"/>
            <w:vAlign w:val="bottom"/>
            <w:gridSpan w:val="2"/>
          </w:tcPr>
          <w:p>
            <w:pPr>
              <w:jc w:val="right"/>
              <w:ind w:right="1340"/>
              <w:spacing w:after="0"/>
              <w:rPr>
                <w:sz w:val="20"/>
                <w:szCs w:val="20"/>
                <w:color w:val="auto"/>
              </w:rPr>
            </w:pPr>
            <w:r>
              <w:rPr>
                <w:rFonts w:ascii="Arial" w:cs="Arial" w:eastAsia="Arial" w:hAnsi="Arial"/>
                <w:sz w:val="14"/>
                <w:szCs w:val="14"/>
                <w:b w:val="1"/>
                <w:bCs w:val="1"/>
                <w:color w:val="auto"/>
              </w:rPr>
              <w:t>stores</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0"/>
              </w:rPr>
              <w:t>Total stores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8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January 31, 2004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280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58</w:t>
            </w:r>
          </w:p>
        </w:tc>
        <w:tc>
          <w:tcPr>
            <w:tcW w:w="20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420"/>
              <w:spacing w:after="0"/>
              <w:rPr>
                <w:sz w:val="20"/>
                <w:szCs w:val="20"/>
                <w:color w:val="auto"/>
              </w:rPr>
            </w:pPr>
            <w:r>
              <w:rPr>
                <w:rFonts w:ascii="Arial" w:cs="Arial" w:eastAsia="Arial" w:hAnsi="Arial"/>
                <w:sz w:val="18"/>
                <w:szCs w:val="18"/>
                <w:color w:val="auto"/>
              </w:rPr>
              <w:t>New outlet stores</w:t>
            </w: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840" w:type="dxa"/>
            <w:vAlign w:val="bottom"/>
          </w:tcPr>
          <w:p>
            <w:pPr>
              <w:spacing w:after="0"/>
              <w:rPr>
                <w:sz w:val="18"/>
                <w:szCs w:val="18"/>
                <w:color w:val="auto"/>
              </w:rPr>
            </w:pPr>
          </w:p>
        </w:tc>
        <w:tc>
          <w:tcPr>
            <w:tcW w:w="196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940"/>
              <w:spacing w:after="0"/>
              <w:rPr>
                <w:sz w:val="20"/>
                <w:szCs w:val="20"/>
                <w:color w:val="auto"/>
              </w:rPr>
            </w:pPr>
            <w:r>
              <w:rPr>
                <w:rFonts w:ascii="Arial" w:cs="Arial" w:eastAsia="Arial" w:hAnsi="Arial"/>
                <w:sz w:val="18"/>
                <w:szCs w:val="18"/>
                <w:color w:val="auto"/>
              </w:rPr>
              <w:t>8</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New retail stores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420"/>
              <w:spacing w:after="0"/>
              <w:rPr>
                <w:sz w:val="20"/>
                <w:szCs w:val="20"/>
                <w:color w:val="auto"/>
              </w:rPr>
            </w:pPr>
            <w:r>
              <w:rPr>
                <w:rFonts w:ascii="Arial" w:cs="Arial" w:eastAsia="Arial" w:hAnsi="Arial"/>
                <w:sz w:val="18"/>
                <w:szCs w:val="18"/>
                <w:color w:val="auto"/>
              </w:rPr>
              <w:t>Remodels</w:t>
            </w:r>
          </w:p>
        </w:tc>
        <w:tc>
          <w:tcPr>
            <w:tcW w:w="720" w:type="dxa"/>
            <w:vAlign w:val="bottom"/>
          </w:tcPr>
          <w:p>
            <w:pPr>
              <w:jc w:val="right"/>
              <w:spacing w:after="0"/>
              <w:rPr>
                <w:sz w:val="20"/>
                <w:szCs w:val="20"/>
                <w:color w:val="auto"/>
              </w:rPr>
            </w:pPr>
            <w:r>
              <w:rPr>
                <w:rFonts w:ascii="Arial" w:cs="Arial" w:eastAsia="Arial" w:hAnsi="Arial"/>
                <w:sz w:val="18"/>
                <w:szCs w:val="18"/>
                <w:color w:val="auto"/>
              </w:rPr>
              <w:t>59</w:t>
            </w:r>
          </w:p>
        </w:tc>
        <w:tc>
          <w:tcPr>
            <w:tcW w:w="840" w:type="dxa"/>
            <w:vAlign w:val="bottom"/>
          </w:tcPr>
          <w:p>
            <w:pPr>
              <w:spacing w:after="0"/>
              <w:rPr>
                <w:sz w:val="18"/>
                <w:szCs w:val="18"/>
                <w:color w:val="auto"/>
              </w:rPr>
            </w:pPr>
          </w:p>
        </w:tc>
        <w:tc>
          <w:tcPr>
            <w:tcW w:w="196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Closed stores </w:t>
            </w:r>
            <w:r>
              <w:rPr>
                <w:rFonts w:ascii="Arial" w:cs="Arial" w:eastAsia="Arial" w:hAnsi="Arial"/>
                <w:sz w:val="22"/>
                <w:szCs w:val="22"/>
                <w:color w:val="auto"/>
                <w:vertAlign w:val="superscript"/>
              </w:rPr>
              <w:t>(1)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(10)</w:t>
            </w:r>
          </w:p>
        </w:tc>
        <w:tc>
          <w:tcPr>
            <w:tcW w:w="20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5020" w:type="dxa"/>
            <w:vAlign w:val="bottom"/>
            <w:gridSpan w:val="2"/>
          </w:tcPr>
          <w:p>
            <w:pPr>
              <w:ind w:left="420"/>
              <w:spacing w:after="0"/>
              <w:rPr>
                <w:sz w:val="20"/>
                <w:szCs w:val="20"/>
                <w:color w:val="auto"/>
              </w:rPr>
            </w:pPr>
            <w:r>
              <w:rPr>
                <w:rFonts w:ascii="Arial" w:cs="Arial" w:eastAsia="Arial" w:hAnsi="Arial"/>
                <w:sz w:val="18"/>
                <w:szCs w:val="18"/>
                <w:color w:val="auto"/>
              </w:rPr>
              <w:t xml:space="preserve">Sold </w:t>
            </w:r>
            <w:r>
              <w:rPr>
                <w:rFonts w:ascii="Arial" w:cs="Arial" w:eastAsia="Arial" w:hAnsi="Arial"/>
                <w:sz w:val="22"/>
                <w:szCs w:val="22"/>
                <w:color w:val="auto"/>
                <w:vertAlign w:val="superscript"/>
              </w:rPr>
              <w:t>(2)</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4"/>
                <w:szCs w:val="24"/>
                <w:color w:val="auto"/>
              </w:rPr>
            </w:pPr>
          </w:p>
        </w:tc>
        <w:tc>
          <w:tcPr>
            <w:tcW w:w="196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880"/>
              <w:spacing w:after="0"/>
              <w:rPr>
                <w:sz w:val="20"/>
                <w:szCs w:val="20"/>
                <w:color w:val="auto"/>
              </w:rPr>
            </w:pPr>
            <w:r>
              <w:rPr>
                <w:rFonts w:ascii="Arial" w:cs="Arial" w:eastAsia="Arial" w:hAnsi="Arial"/>
                <w:sz w:val="18"/>
                <w:szCs w:val="18"/>
                <w:color w:val="auto"/>
              </w:rPr>
              <w:t>(29)</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July 31, 2004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280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48</w:t>
            </w:r>
          </w:p>
        </w:tc>
        <w:tc>
          <w:tcPr>
            <w:tcW w:w="20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38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320" w:hanging="452"/>
        <w:spacing w:after="0" w:line="22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There were four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which were in the process of going out of business at the end of the quarter. These stores were closed in August 2004 increasing the number of total closed stores in fiscal 2004 to 14.</w:t>
      </w:r>
    </w:p>
    <w:p>
      <w:pPr>
        <w:sectPr>
          <w:pgSz w:w="11900" w:h="16838" w:orient="portrait"/>
          <w:cols w:equalWidth="0" w:num="1">
            <w:col w:w="11420"/>
          </w:cols>
          <w:pgMar w:left="240" w:top="280" w:right="239" w:bottom="1440" w:gutter="0" w:footer="0" w:header="0"/>
        </w:sectPr>
      </w:pPr>
    </w:p>
    <w:bookmarkStart w:id="18" w:name="page19"/>
    <w:bookmarkEnd w:id="18"/>
    <w:p>
      <w:pPr>
        <w:ind w:left="460" w:right="44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discussed above, during the second quarter of fiscal 2004 the Company sold its 50.5% interest in the Ecko joint venture to its joint venture partner, Ecko.Complex, LLC.</w:t>
      </w:r>
    </w:p>
    <w:p>
      <w:pPr>
        <w:spacing w:after="0" w:line="11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Company expects that its total capital expenditures for fiscal 2004 will be between $15.0 to $18.0 million, of which approximately $10.0-$12.0 million will relate to store expansion. Included in store expansion are funds to remodel up to 175 of the Company’s existing Casual Male Big &amp; Tall retail stores at an estimated $35,000 to $45,000 for each location, including store signage and fixtures. The Company currently plans to open a combination of 15 new Casual Male Big &amp; Tall retail and outlet stores in fiscal 2004. Another $6.0 million of the 2004 budget is expected to be used for on-going MIS projects related to upgrading the Company’s infrastructure, including its merchandising systems and point of sale system.</w:t>
      </w:r>
    </w:p>
    <w:p>
      <w:pPr>
        <w:spacing w:after="0" w:line="102"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In addition, in April 2004, the Company entered into an exclusive license agreement with Sears Canada, Inc., whereby the Company will operate Sears Casual Male Big &amp; Tall stores located within Sears Canada stores. The Company will be responsible for the marketing, merchandising and selling of its big and tall men’s apparel. The merchandise will also feature the Company’s Comfort Zone by George Foreman</w:t>
      </w:r>
      <w:r>
        <w:rPr>
          <w:rFonts w:ascii="Arial" w:cs="Arial" w:eastAsia="Arial" w:hAnsi="Arial"/>
          <w:sz w:val="21"/>
          <w:szCs w:val="21"/>
          <w:color w:val="auto"/>
          <w:vertAlign w:val="superscript"/>
        </w:rPr>
        <w:t>™</w:t>
      </w:r>
      <w:r>
        <w:rPr>
          <w:rFonts w:ascii="Arial" w:cs="Arial" w:eastAsia="Arial" w:hAnsi="Arial"/>
          <w:sz w:val="17"/>
          <w:szCs w:val="17"/>
          <w:color w:val="auto"/>
        </w:rPr>
        <w:t xml:space="preserve"> product line. The Company intends to open 13 Sears Casual Male Big &amp; Tall stores during the Fall of 2004 and, if successful, up to an additional 67 stores in fiscal 2005. The Company opened its first eight stores in August 2004, subsequent to the end of the second quarter of fiscal 2004. The Company’s capital investment in these stores, which will be approximately 1,000 square feet each, will be limited to store fixtures.</w:t>
      </w:r>
    </w:p>
    <w:p>
      <w:pPr>
        <w:sectPr>
          <w:pgSz w:w="11900" w:h="16838" w:orient="portrait"/>
          <w:cols w:equalWidth="0" w:num="1">
            <w:col w:w="11420"/>
          </w:cols>
          <w:pgMar w:left="240" w:top="28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3. Quantitative and Qualitative Disclosures About Market Risk.</w:t>
      </w:r>
    </w:p>
    <w:p>
      <w:pPr>
        <w:spacing w:after="0" w:line="8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the normal course of business, the financial position and results of operations of the Company are routinely subject to a variety of risks, including market risk associated with interest rate movements on borrowings. The Company regularly assesses these risks and has established policies and business practices to protect against the adverse effects of these and other potential exposures.</w:t>
      </w:r>
    </w:p>
    <w:p>
      <w:pPr>
        <w:spacing w:after="0" w:line="12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utilizes cash from operations and the Credit Facility to fund its working capital needs. The Credit Facility is not used for trading or speculative purposes. In addition, the Company has available letters of credit as sources of financing for its working capital requirements. Borrowings under the Credit Facility, which expires in May 2006, bear interest at variable rates based on FleetBoston, N.A.’s prime rate or the London Interbank Offering Rate (“LIBOR”). At July 31, 2004, the Company had outstanding LIBOR contracts with rates ranging from 3.38% to 3.60% and the interest rate on its prime based borrowings was 4.25%. Based upon a sensitivity analysis as of July 31, 2004, assuming average outstanding borrowing during fiscal 2004 of $19.2 million, a 50 basis point increase in the prime based interest rates would have resulted in a potential increase in interest expense of approximately $96,000.</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required by Rule 13a-15 under the Securities Exchange Act of 1934, as amended (the “Exchange Act”), the Company’s management, under the supervision and with the participation of the Company’s Chief Executive Officer and Chief Financial Officer, evaluated the effectiveness of the Company’s disclosure controls and procedures (as defined in Rules 13a-15(e) and 15d-15(e) under the Exchange Act) as of July 31, 2004. Based on this evaluation, the Company’s Chief Executive Officer and Chief Financial Officer concluded that, as of July 31, 2004, the Company’s disclosure controls and procedures were effective, in that they provide reasonable assurance that information required to be disclosed by the Company in the reports that it files or submits under the Exchange Act is recorded, processed, summarized and reported within the time periods specified in the SEC’s rules and forms.</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77"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No change in the Company’s internal control over financial reporting (as defined in Rules 13a-15(f) and 15d-15(f) under the Exchange Act) occurred during the quarter ended July 31, 2004 that has materially affected, or is reasonably likely to materially affect, the Company’s internal control over financial reporting.</w:t>
      </w:r>
    </w:p>
    <w:p>
      <w:pPr>
        <w:sectPr>
          <w:pgSz w:w="11900" w:h="16838" w:orient="portrait"/>
          <w:cols w:equalWidth="0" w:num="1">
            <w:col w:w="11380"/>
          </w:cols>
          <w:pgMar w:left="240" w:top="274"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 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8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There have been no material developments in the legal proceedings reported in the Company’s Annual Report on Form 10-K for the fiscal year ended January 31, 2004.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Changes in Securities and Use of Proceeds.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Stock Repurchases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repurchases by the Company of its Common Stock during the second quarter of fiscal 2004:</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2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89"/>
              </w:rPr>
              <w:t>Total Number of</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32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3"/>
              </w:rPr>
              <w:t>Shares Purchased as</w:t>
            </w: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of 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32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Yet 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Total Number of</w:t>
            </w:r>
          </w:p>
        </w:tc>
        <w:tc>
          <w:tcPr>
            <w:tcW w:w="920" w:type="dxa"/>
            <w:vAlign w:val="bottom"/>
          </w:tcPr>
          <w:p>
            <w:pPr>
              <w:spacing w:after="0"/>
              <w:rPr>
                <w:sz w:val="12"/>
                <w:szCs w:val="12"/>
                <w:color w:val="auto"/>
              </w:rPr>
            </w:pPr>
          </w:p>
        </w:tc>
        <w:tc>
          <w:tcPr>
            <w:tcW w:w="2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Average Price Paid</w:t>
            </w:r>
          </w:p>
        </w:tc>
        <w:tc>
          <w:tcPr>
            <w:tcW w:w="232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6"/>
              </w:rPr>
              <w:t>Announced Plans or</w:t>
            </w: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Under the Plans or</w:t>
            </w:r>
          </w:p>
        </w:tc>
        <w:tc>
          <w:tcPr>
            <w:tcW w:w="0" w:type="dxa"/>
            <w:vAlign w:val="bottom"/>
          </w:tcPr>
          <w:p>
            <w:pPr>
              <w:spacing w:after="0"/>
              <w:rPr>
                <w:sz w:val="1"/>
                <w:szCs w:val="1"/>
                <w:color w:val="auto"/>
              </w:rPr>
            </w:pPr>
          </w:p>
        </w:tc>
      </w:tr>
      <w:tr>
        <w:trPr>
          <w:trHeight w:val="174"/>
        </w:trPr>
        <w:tc>
          <w:tcPr>
            <w:tcW w:w="3780" w:type="dxa"/>
            <w:vAlign w:val="bottom"/>
            <w:gridSpan w:val="4"/>
          </w:tcPr>
          <w:p>
            <w:pPr>
              <w:spacing w:after="0"/>
              <w:rPr>
                <w:sz w:val="20"/>
                <w:szCs w:val="20"/>
                <w:color w:val="auto"/>
              </w:rPr>
            </w:pPr>
            <w:r>
              <w:rPr>
                <w:rFonts w:ascii="Arial" w:cs="Arial" w:eastAsia="Arial" w:hAnsi="Arial"/>
                <w:sz w:val="14"/>
                <w:szCs w:val="14"/>
                <w:b w:val="1"/>
                <w:bCs w:val="1"/>
                <w:color w:val="auto"/>
              </w:rPr>
              <w:t>Period</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w w:val="83"/>
              </w:rPr>
              <w:t>Shares Purchased</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b w:val="1"/>
                <w:bCs w:val="1"/>
                <w:color w:val="auto"/>
              </w:rPr>
              <w:t>per Share</w:t>
            </w:r>
          </w:p>
        </w:tc>
        <w:tc>
          <w:tcPr>
            <w:tcW w:w="232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85"/>
              </w:rPr>
              <w:t>Programs</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5/3/2004-5/29/2004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1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92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2,000,000(1)</w:t>
            </w:r>
          </w:p>
        </w:tc>
        <w:tc>
          <w:tcPr>
            <w:tcW w:w="13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5/30/2004-7/3/2004</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7/4/2004-7/31/2004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line="298"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connection with the Company’s sale of its $100 million of convertible notes due 2024, the Board of Directors authorized the Company to use a portion of the proceeds to repurchase up to 2,000,000 shares of the Company’s Common Stock in the open market or in negotiated transactions, from time to time, depending on market and other conditions. The repurchase plan was first announced on November 11, 2003. On November 19, 2003, the Company repurchased 1,000,000 shares of its Common Stock. Accordingly, as of July 31, 2004, the Company has completed the authorized repurchase program.</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 Upon Senior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7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6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of the Company pursuant to Rule 13a-14(a) under the Securities Exchange Act of 1934.</w:t>
      </w:r>
    </w:p>
    <w:p>
      <w:pPr>
        <w:spacing w:after="0" w:line="1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of the Company pursuant to Rule 13a-14(a) under the Securities Exchange Act of 1934.</w:t>
      </w:r>
    </w:p>
    <w:p>
      <w:pPr>
        <w:spacing w:after="0" w:line="1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18 U.S.C. Section 1350, as adopted pursuant to Section 906 of the Sarbanes-Oxley Act of 2002.</w:t>
      </w:r>
    </w:p>
    <w:p>
      <w:pPr>
        <w:sectPr>
          <w:pgSz w:w="11900" w:h="16838" w:orient="portrait"/>
          <w:cols w:equalWidth="0" w:num="1">
            <w:col w:w="11420"/>
          </w:cols>
          <w:pgMar w:left="240" w:top="274" w:right="239" w:bottom="1440" w:gutter="0" w:footer="0" w:header="0"/>
        </w:sectPr>
      </w:pPr>
    </w:p>
    <w:bookmarkStart w:id="21" w:name="page22"/>
    <w:bookmarkEnd w:id="21"/>
    <w:p>
      <w:pPr>
        <w:spacing w:after="0"/>
        <w:tabs>
          <w:tab w:leader="none" w:pos="8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32.2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906 of the Sarbanes-Oxley Act of 2002.</w:t>
      </w:r>
    </w:p>
    <w:p>
      <w:pPr>
        <w:spacing w:after="0" w:line="117" w:lineRule="exact"/>
        <w:rPr>
          <w:sz w:val="20"/>
          <w:szCs w:val="20"/>
          <w:color w:val="auto"/>
        </w:rPr>
      </w:pPr>
    </w:p>
    <w:p>
      <w:pPr>
        <w:ind w:left="820" w:hanging="809"/>
        <w:spacing w:after="0" w:line="306" w:lineRule="auto"/>
        <w:tabs>
          <w:tab w:leader="none" w:pos="8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Certain cautionary statements of the Company to be taken into account in conjunction with consideration and review of the Company’s publicly-disseminated documents (including oral statements made by others on behalf of the Company) that include forward-looking information (included as Exhibit 99.1 to the Company’s Current Report on Form 8-K filed on April 14, 2004,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461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 with the Securities and Exchange Commission.</w:t>
      </w:r>
    </w:p>
    <w:p>
      <w:pPr>
        <w:spacing w:after="0" w:line="15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Reports on Form 8-K:</w:t>
      </w:r>
    </w:p>
    <w:p>
      <w:pPr>
        <w:spacing w:after="0" w:line="82" w:lineRule="exact"/>
        <w:rPr>
          <w:rFonts w:ascii="Arial" w:cs="Arial" w:eastAsia="Arial" w:hAnsi="Arial"/>
          <w:sz w:val="18"/>
          <w:szCs w:val="18"/>
          <w:b w:val="1"/>
          <w:bCs w:val="1"/>
          <w:color w:val="auto"/>
        </w:rPr>
      </w:pPr>
    </w:p>
    <w:p>
      <w:pPr>
        <w:ind w:left="4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During the second quarter of fiscal 2004, the Company furnished the following Current Reports on Form 8-K to the Securities and Exchange Commission (“SEC”):</w:t>
      </w:r>
    </w:p>
    <w:p>
      <w:pPr>
        <w:spacing w:after="0" w:line="37" w:lineRule="exact"/>
        <w:rPr>
          <w:rFonts w:ascii="Arial" w:cs="Arial" w:eastAsia="Arial" w:hAnsi="Arial"/>
          <w:sz w:val="18"/>
          <w:szCs w:val="18"/>
          <w:b w:val="1"/>
          <w:bCs w:val="1"/>
          <w:color w:val="auto"/>
        </w:rPr>
      </w:pPr>
    </w:p>
    <w:p>
      <w:pPr>
        <w:ind w:left="800" w:hanging="346"/>
        <w:spacing w:after="0" w:line="256" w:lineRule="auto"/>
        <w:tabs>
          <w:tab w:leader="none" w:pos="800" w:val="left"/>
        </w:tabs>
        <w:numPr>
          <w:ilvl w:val="1"/>
          <w:numId w:val="7"/>
        </w:numPr>
        <w:rPr>
          <w:rFonts w:ascii="Arial" w:cs="Arial" w:eastAsia="Arial" w:hAnsi="Arial"/>
          <w:sz w:val="18"/>
          <w:szCs w:val="18"/>
          <w:color w:val="auto"/>
        </w:rPr>
      </w:pPr>
      <w:r>
        <w:rPr>
          <w:rFonts w:ascii="Arial" w:cs="Arial" w:eastAsia="Arial" w:hAnsi="Arial"/>
          <w:sz w:val="18"/>
          <w:szCs w:val="18"/>
          <w:color w:val="auto"/>
        </w:rPr>
        <w:t>On May 11, 2004, the Company furnished a Current Report on Form 8-K under Item 12 (Results of Operations and Financial Condition) containing a press release announcing sales results for the first quarter of fiscal 2004, which ended on May 1, 2004. In addition, the Company announced that it boosted its marketing spend in the first quarter by over $3.5 million in institutional television advertising, to help establish its George Foreman men’s apparel brand.</w:t>
      </w:r>
    </w:p>
    <w:p>
      <w:pPr>
        <w:spacing w:after="0" w:line="48" w:lineRule="exact"/>
        <w:rPr>
          <w:rFonts w:ascii="Arial" w:cs="Arial" w:eastAsia="Arial" w:hAnsi="Arial"/>
          <w:sz w:val="18"/>
          <w:szCs w:val="18"/>
          <w:color w:val="auto"/>
        </w:rPr>
      </w:pPr>
    </w:p>
    <w:p>
      <w:pPr>
        <w:ind w:left="800" w:hanging="346"/>
        <w:spacing w:after="0" w:line="239" w:lineRule="auto"/>
        <w:tabs>
          <w:tab w:leader="none" w:pos="800" w:val="left"/>
        </w:tabs>
        <w:numPr>
          <w:ilvl w:val="1"/>
          <w:numId w:val="7"/>
        </w:numPr>
        <w:rPr>
          <w:rFonts w:ascii="Arial" w:cs="Arial" w:eastAsia="Arial" w:hAnsi="Arial"/>
          <w:sz w:val="18"/>
          <w:szCs w:val="18"/>
          <w:color w:val="auto"/>
        </w:rPr>
      </w:pPr>
      <w:r>
        <w:rPr>
          <w:rFonts w:ascii="Arial" w:cs="Arial" w:eastAsia="Arial" w:hAnsi="Arial"/>
          <w:sz w:val="18"/>
          <w:szCs w:val="18"/>
          <w:color w:val="auto"/>
        </w:rPr>
        <w:t>On May 20, 2004, the Company furnished a Current Report on Form 8-K under Item 12 (Results of Operations and Financial Condition) containing a press release announcing operating results for the first quarter of fiscal 2004, which ended on May 1, 2004. In addition, the Company announced that on May 19, 2004, the Company signed a sale agreement with Ecko.Complex, LLC to sell its 50.5% joint venture interest in the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and full-price stores to Ecko. Complex, LLC.</w:t>
      </w:r>
    </w:p>
    <w:p>
      <w:pPr>
        <w:spacing w:after="0" w:line="61" w:lineRule="exact"/>
        <w:rPr>
          <w:rFonts w:ascii="Arial" w:cs="Arial" w:eastAsia="Arial" w:hAnsi="Arial"/>
          <w:sz w:val="18"/>
          <w:szCs w:val="18"/>
          <w:color w:val="auto"/>
        </w:rPr>
      </w:pPr>
    </w:p>
    <w:p>
      <w:pPr>
        <w:ind w:left="800" w:right="80" w:hanging="346"/>
        <w:spacing w:after="0" w:line="268" w:lineRule="auto"/>
        <w:tabs>
          <w:tab w:leader="none" w:pos="800" w:val="left"/>
        </w:tabs>
        <w:numPr>
          <w:ilvl w:val="1"/>
          <w:numId w:val="7"/>
        </w:numPr>
        <w:rPr>
          <w:rFonts w:ascii="Arial" w:cs="Arial" w:eastAsia="Arial" w:hAnsi="Arial"/>
          <w:sz w:val="18"/>
          <w:szCs w:val="18"/>
          <w:color w:val="auto"/>
        </w:rPr>
      </w:pPr>
      <w:r>
        <w:rPr>
          <w:rFonts w:ascii="Arial" w:cs="Arial" w:eastAsia="Arial" w:hAnsi="Arial"/>
          <w:sz w:val="18"/>
          <w:szCs w:val="18"/>
          <w:color w:val="auto"/>
        </w:rPr>
        <w:t>On June 4, 2004, the Company furnished a Current Report on Form 8-K under Item 12 (Results of Operations and Financial Condition) containing a press release announcing the Company’s sales for the month ended May 29, 2004.</w:t>
      </w:r>
    </w:p>
    <w:p>
      <w:pPr>
        <w:spacing w:after="0" w:line="37" w:lineRule="exact"/>
        <w:rPr>
          <w:rFonts w:ascii="Arial" w:cs="Arial" w:eastAsia="Arial" w:hAnsi="Arial"/>
          <w:sz w:val="18"/>
          <w:szCs w:val="18"/>
          <w:color w:val="auto"/>
        </w:rPr>
      </w:pPr>
    </w:p>
    <w:p>
      <w:pPr>
        <w:ind w:left="800" w:right="520" w:hanging="346"/>
        <w:spacing w:after="0" w:line="325" w:lineRule="auto"/>
        <w:tabs>
          <w:tab w:leader="none" w:pos="800" w:val="left"/>
        </w:tabs>
        <w:numPr>
          <w:ilvl w:val="1"/>
          <w:numId w:val="7"/>
        </w:numPr>
        <w:rPr>
          <w:rFonts w:ascii="Arial" w:cs="Arial" w:eastAsia="Arial" w:hAnsi="Arial"/>
          <w:sz w:val="16"/>
          <w:szCs w:val="16"/>
          <w:color w:val="auto"/>
        </w:rPr>
      </w:pPr>
      <w:r>
        <w:rPr>
          <w:rFonts w:ascii="Arial" w:cs="Arial" w:eastAsia="Arial" w:hAnsi="Arial"/>
          <w:sz w:val="16"/>
          <w:szCs w:val="16"/>
          <w:color w:val="auto"/>
        </w:rPr>
        <w:t>On June 14, 2004, the Company furnished a Current Report on Form 8-K under Item 9 (Regulation FD Disclosure), containing a press release announcing that the Company and George Foreman agreed to extend the exclusive George Foreman licensing agreement.</w:t>
      </w:r>
    </w:p>
    <w:p>
      <w:pPr>
        <w:spacing w:after="0" w:line="1" w:lineRule="exact"/>
        <w:rPr>
          <w:rFonts w:ascii="Arial" w:cs="Arial" w:eastAsia="Arial" w:hAnsi="Arial"/>
          <w:sz w:val="16"/>
          <w:szCs w:val="16"/>
          <w:color w:val="auto"/>
        </w:rPr>
      </w:pPr>
    </w:p>
    <w:p>
      <w:pPr>
        <w:ind w:left="800" w:right="100" w:hanging="346"/>
        <w:spacing w:after="0" w:line="268" w:lineRule="auto"/>
        <w:tabs>
          <w:tab w:leader="none" w:pos="800" w:val="left"/>
        </w:tabs>
        <w:numPr>
          <w:ilvl w:val="1"/>
          <w:numId w:val="7"/>
        </w:numPr>
        <w:rPr>
          <w:rFonts w:ascii="Arial" w:cs="Arial" w:eastAsia="Arial" w:hAnsi="Arial"/>
          <w:sz w:val="18"/>
          <w:szCs w:val="18"/>
          <w:color w:val="auto"/>
        </w:rPr>
      </w:pPr>
      <w:r>
        <w:rPr>
          <w:rFonts w:ascii="Arial" w:cs="Arial" w:eastAsia="Arial" w:hAnsi="Arial"/>
          <w:sz w:val="18"/>
          <w:szCs w:val="18"/>
          <w:color w:val="auto"/>
        </w:rPr>
        <w:t>On July 8, 2004, the Company furnished a Current Report on Form 8-K under Item 12 (Results of Operations and Financial Condition) containing a press release announcing the Company’s sales for the month ended July 3, 2004.</w:t>
      </w:r>
    </w:p>
    <w:p>
      <w:pPr>
        <w:sectPr>
          <w:pgSz w:w="11900" w:h="16838" w:orient="portrait"/>
          <w:cols w:equalWidth="0" w:num="1">
            <w:col w:w="11300"/>
          </w:cols>
          <w:pgMar w:left="240" w:top="280" w:right="359" w:bottom="1440" w:gutter="0" w:footer="0" w:header="0"/>
        </w:sectPr>
      </w:pPr>
    </w:p>
    <w:bookmarkStart w:id="22" w:name="page23"/>
    <w:bookmarkEnd w:id="22"/>
    <w:p>
      <w:pPr>
        <w:jc w:val="center"/>
        <w:ind w:right="-8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spacing w:after="0"/>
        <w:tabs>
          <w:tab w:leader="none" w:pos="5480" w:val="left"/>
          <w:tab w:leader="none" w:pos="6040" w:val="left"/>
        </w:tabs>
        <w:rPr>
          <w:sz w:val="20"/>
          <w:szCs w:val="20"/>
          <w:color w:val="auto"/>
        </w:rPr>
      </w:pPr>
      <w:r>
        <w:rPr>
          <w:rFonts w:ascii="Arial" w:cs="Arial" w:eastAsia="Arial" w:hAnsi="Arial"/>
          <w:sz w:val="18"/>
          <w:szCs w:val="18"/>
          <w:color w:val="auto"/>
        </w:rPr>
        <w:t>Date: September 9, 2004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80010</wp:posOffset>
            </wp:positionV>
            <wp:extent cx="34048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0540"/>
          </w:cols>
          <w:pgMar w:left="240" w:top="280" w:right="111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David A. Levin, certify that:</w:t>
      </w:r>
    </w:p>
    <w:p>
      <w:pPr>
        <w:spacing w:after="0" w:line="7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Casual Male Retail Group, Inc.;</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460" w:hanging="452"/>
        <w:spacing w:after="0" w:line="325"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9, 2004</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92976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Dennis R. Hernreich, certify that:</w:t>
      </w:r>
    </w:p>
    <w:p>
      <w:pPr>
        <w:spacing w:after="0" w:line="77"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Casual Male Retail Group, Inc.;</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460" w:hanging="452"/>
        <w:spacing w:after="0" w:line="325"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9, 2004</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92976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connection with the Quarterly Report on Form 10-Q of Casual Male Retail Group, Inc. (the “Company”) for the period ended July 31, 2004, as filed with the Securities and Exchange Commission on the date hereof (the “Report”), I, David A. Levin, Chief Executive Officer of the Company, certify pursuant to 18 U.S.C. § 1350, as adopted pursuant to § 906 of the Sarbanes-Oxley Act of 2002, that:</w:t>
      </w:r>
    </w:p>
    <w:p>
      <w:pPr>
        <w:spacing w:after="0" w:line="46" w:lineRule="exact"/>
        <w:rPr>
          <w:sz w:val="20"/>
          <w:szCs w:val="20"/>
          <w:color w:val="auto"/>
        </w:rPr>
      </w:pPr>
    </w:p>
    <w:p>
      <w:pPr>
        <w:ind w:left="1480" w:right="720" w:hanging="567"/>
        <w:spacing w:after="0" w:line="268" w:lineRule="auto"/>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37" w:lineRule="exact"/>
        <w:rPr>
          <w:rFonts w:ascii="Arial" w:cs="Arial" w:eastAsia="Arial" w:hAnsi="Arial"/>
          <w:sz w:val="18"/>
          <w:szCs w:val="18"/>
          <w:color w:val="auto"/>
        </w:rPr>
      </w:pPr>
    </w:p>
    <w:p>
      <w:pPr>
        <w:ind w:left="1480" w:right="500" w:hanging="567"/>
        <w:spacing w:after="0" w:line="268" w:lineRule="auto"/>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99"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 September 9, 2004</w:t>
      </w:r>
      <w:r>
        <w:rPr>
          <w:sz w:val="20"/>
          <w:szCs w:val="20"/>
          <w:color w:val="auto"/>
        </w:rPr>
        <w:tab/>
      </w:r>
      <w:r>
        <w:rPr>
          <w:rFonts w:ascii="Arial" w:cs="Arial" w:eastAsia="Arial" w:hAnsi="Arial"/>
          <w:sz w:val="16"/>
          <w:szCs w:val="16"/>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22555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Executive Officer</w:t>
      </w:r>
    </w:p>
    <w:p>
      <w:pPr>
        <w:spacing w:after="0" w:line="151"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connection with the Quarterly Report on Form 10-Q of Casual Male Retail Group, Inc. (the “Company”) for the period ended July 31, 2004, as filed with the Securities and Exchange Commission on the date hereof (the “Report”), I, Dennis R. Hernreich, Chief Financial Officer of the Company, certify pursuant to 18 U.S.C. § 1350, as adopted pursuant to § 906 of the Sarbanes-Oxley Act of 2002, that:</w:t>
      </w:r>
    </w:p>
    <w:p>
      <w:pPr>
        <w:spacing w:after="0" w:line="46" w:lineRule="exact"/>
        <w:rPr>
          <w:sz w:val="20"/>
          <w:szCs w:val="20"/>
          <w:color w:val="auto"/>
        </w:rPr>
      </w:pPr>
    </w:p>
    <w:p>
      <w:pPr>
        <w:ind w:left="1480" w:right="720" w:hanging="567"/>
        <w:spacing w:after="0" w:line="268" w:lineRule="auto"/>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37" w:lineRule="exact"/>
        <w:rPr>
          <w:rFonts w:ascii="Arial" w:cs="Arial" w:eastAsia="Arial" w:hAnsi="Arial"/>
          <w:sz w:val="18"/>
          <w:szCs w:val="18"/>
          <w:color w:val="auto"/>
        </w:rPr>
      </w:pPr>
    </w:p>
    <w:p>
      <w:pPr>
        <w:ind w:left="1480" w:right="500" w:hanging="567"/>
        <w:spacing w:after="0" w:line="268" w:lineRule="auto"/>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99" w:lineRule="exact"/>
        <w:rPr>
          <w:sz w:val="20"/>
          <w:szCs w:val="20"/>
          <w:color w:val="auto"/>
        </w:rPr>
      </w:pPr>
    </w:p>
    <w:p>
      <w:pPr>
        <w:spacing w:after="0"/>
        <w:tabs>
          <w:tab w:leader="none" w:pos="6380" w:val="left"/>
        </w:tabs>
        <w:rPr>
          <w:sz w:val="20"/>
          <w:szCs w:val="20"/>
          <w:color w:val="auto"/>
        </w:rPr>
      </w:pPr>
      <w:r>
        <w:rPr>
          <w:rFonts w:ascii="Arial" w:cs="Arial" w:eastAsia="Arial" w:hAnsi="Arial"/>
          <w:sz w:val="18"/>
          <w:szCs w:val="18"/>
          <w:color w:val="auto"/>
        </w:rPr>
        <w:t>Dated: September 9, 2004</w:t>
      </w:r>
      <w:r>
        <w:rPr>
          <w:sz w:val="20"/>
          <w:szCs w:val="20"/>
          <w:color w:val="auto"/>
        </w:rPr>
        <w:tab/>
      </w:r>
      <w:r>
        <w:rPr>
          <w:rFonts w:ascii="Arial" w:cs="Arial" w:eastAsia="Arial" w:hAnsi="Arial"/>
          <w:sz w:val="16"/>
          <w:szCs w:val="16"/>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80010</wp:posOffset>
            </wp:positionV>
            <wp:extent cx="202374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3"/>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2"/>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upperLetter"/>
      <w:start w:val="1"/>
    </w:lvl>
  </w:abstractNum>
  <w:abstractNum w:abstractNumId="6">
    <w:nsid w:val="5BD062C2"/>
    <w:multiLevelType w:val="hybridMultilevel"/>
    <w:lvl w:ilvl="0">
      <w:lvlJc w:val="left"/>
      <w:lvlText w:val="%1."/>
      <w:numFmt w:val="upperLetter"/>
      <w:start w:val="2"/>
    </w:lvl>
    <w:lvl w:ilvl="1">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2019-12-20T17:04:32Z</dcterms:created>
  <dcterms:modified xsi:type="dcterms:W3CDTF">2019-12-20T17:04:32Z</dcterms:modified>
</cp:coreProperties>
</file>