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Destination XL Group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25065K104</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2014</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8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w:t>
      </w:r>
    </w:p>
    <w:p>
      <w:pPr>
        <w:spacing w:after="0" w:line="46" w:lineRule="exact"/>
        <w:rPr>
          <w:sz w:val="24"/>
          <w:szCs w:val="24"/>
          <w:color w:val="auto"/>
        </w:rPr>
      </w:pPr>
    </w:p>
    <w:p>
      <w:pPr>
        <w:ind w:right="300"/>
        <w:spacing w:after="0" w:line="261" w:lineRule="auto"/>
        <w:rPr>
          <w:sz w:val="20"/>
          <w:szCs w:val="20"/>
          <w:color w:val="auto"/>
        </w:rPr>
      </w:pPr>
      <w:r>
        <w:rPr>
          <w:rFonts w:ascii="Arial" w:cs="Arial" w:eastAsia="Arial" w:hAnsi="Arial"/>
          <w:sz w:val="18"/>
          <w:szCs w:val="18"/>
          <w:color w:val="auto"/>
        </w:rPr>
        <w:t>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p>
    <w:p>
      <w:pPr>
        <w:spacing w:after="0" w:line="144" w:lineRule="exact"/>
        <w:rPr>
          <w:sz w:val="20"/>
          <w:szCs w:val="20"/>
          <w:color w:val="auto"/>
        </w:rPr>
      </w:pPr>
    </w:p>
    <w:p>
      <w:pPr>
        <w:ind w:left="260"/>
        <w:spacing w:after="0"/>
        <w:tabs>
          <w:tab w:leader="none" w:pos="5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377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37718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I.R.S. Identification Nos. of above persons (entities only).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RBC Global Asset Management (U.S.) Inc.</w:t>
            </w:r>
          </w:p>
        </w:tc>
        <w:tc>
          <w:tcPr>
            <w:tcW w:w="0" w:type="dxa"/>
            <w:vAlign w:val="bottom"/>
          </w:tcPr>
          <w:p>
            <w:pPr>
              <w:spacing w:after="0"/>
              <w:rPr>
                <w:sz w:val="1"/>
                <w:szCs w:val="1"/>
                <w:color w:val="auto"/>
              </w:rPr>
            </w:pPr>
          </w:p>
        </w:tc>
      </w:tr>
      <w:tr>
        <w:trPr>
          <w:trHeight w:val="164"/>
        </w:trPr>
        <w:tc>
          <w:tcPr>
            <w:tcW w:w="42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40" w:type="dxa"/>
            <w:vAlign w:val="bottom"/>
          </w:tcPr>
          <w:p>
            <w:pPr>
              <w:spacing w:after="0"/>
              <w:rPr>
                <w:sz w:val="14"/>
                <w:szCs w:val="14"/>
                <w:color w:val="auto"/>
              </w:rPr>
            </w:pPr>
          </w:p>
        </w:tc>
        <w:tc>
          <w:tcPr>
            <w:tcW w:w="10980" w:type="dxa"/>
            <w:vAlign w:val="bottom"/>
            <w:gridSpan w:val="4"/>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240" w:type="dxa"/>
            <w:vAlign w:val="bottom"/>
            <w:gridSpan w:val="3"/>
          </w:tcPr>
          <w:p>
            <w:pPr>
              <w:ind w:left="1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spacing w:after="0"/>
              <w:rPr>
                <w:sz w:val="20"/>
                <w:szCs w:val="20"/>
                <w:color w:val="auto"/>
              </w:rPr>
            </w:pPr>
          </w:p>
        </w:tc>
        <w:tc>
          <w:tcPr>
            <w:tcW w:w="9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1100" w:type="dxa"/>
            <w:vAlign w:val="bottom"/>
            <w:gridSpan w:val="3"/>
          </w:tcPr>
          <w:p>
            <w:pPr>
              <w:ind w:left="100"/>
              <w:spacing w:after="0"/>
              <w:rPr>
                <w:sz w:val="20"/>
                <w:szCs w:val="20"/>
                <w:color w:val="auto"/>
              </w:rPr>
            </w:pPr>
            <w:r>
              <w:rPr>
                <w:rFonts w:ascii="Arial" w:cs="Arial" w:eastAsia="Arial" w:hAnsi="Arial"/>
                <w:sz w:val="18"/>
                <w:szCs w:val="18"/>
                <w:color w:val="auto"/>
                <w:w w:val="89"/>
              </w:rPr>
              <w:t>SEC use only</w:t>
            </w:r>
          </w:p>
        </w:tc>
        <w:tc>
          <w:tcPr>
            <w:tcW w:w="9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Minnesota</w:t>
            </w:r>
          </w:p>
        </w:tc>
        <w:tc>
          <w:tcPr>
            <w:tcW w:w="0" w:type="dxa"/>
            <w:vAlign w:val="bottom"/>
          </w:tcPr>
          <w:p>
            <w:pPr>
              <w:spacing w:after="0"/>
              <w:rPr>
                <w:sz w:val="1"/>
                <w:szCs w:val="1"/>
                <w:color w:val="auto"/>
              </w:rPr>
            </w:pPr>
          </w:p>
        </w:tc>
      </w:tr>
      <w:tr>
        <w:trPr>
          <w:trHeight w:val="226"/>
        </w:trPr>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988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ind w:left="2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200" w:type="dxa"/>
            <w:vAlign w:val="bottom"/>
            <w:tcBorders>
              <w:right w:val="single" w:sz="8" w:color="auto"/>
            </w:tcBorders>
            <w:gridSpan w:val="3"/>
            <w:vMerge w:val="continue"/>
          </w:tcPr>
          <w:p>
            <w:pPr>
              <w:spacing w:after="0"/>
              <w:rPr>
                <w:sz w:val="4"/>
                <w:szCs w:val="4"/>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4"/>
                <w:szCs w:val="4"/>
                <w:color w:val="auto"/>
              </w:rPr>
            </w:pPr>
          </w:p>
        </w:tc>
        <w:tc>
          <w:tcPr>
            <w:tcW w:w="988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Borders>
              <w:right w:val="single" w:sz="8" w:color="auto"/>
            </w:tcBorders>
            <w:vMerge w:val="restart"/>
          </w:tcPr>
          <w:p>
            <w:pPr>
              <w:jc w:val="center"/>
              <w:ind w:right="204"/>
              <w:spacing w:after="0"/>
              <w:rPr>
                <w:sz w:val="20"/>
                <w:szCs w:val="20"/>
                <w:color w:val="auto"/>
              </w:rPr>
            </w:pPr>
            <w:r>
              <w:rPr>
                <w:rFonts w:ascii="Arial" w:cs="Arial" w:eastAsia="Arial" w:hAnsi="Arial"/>
                <w:sz w:val="18"/>
                <w:szCs w:val="18"/>
                <w:color w:val="auto"/>
                <w:w w:val="81"/>
              </w:rPr>
              <w:t>shares</w:t>
            </w:r>
          </w:p>
        </w:tc>
        <w:tc>
          <w:tcPr>
            <w:tcW w:w="28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80" w:type="dxa"/>
            <w:vAlign w:val="bottom"/>
            <w:vMerge w:val="restart"/>
          </w:tcPr>
          <w:p>
            <w:pPr>
              <w:ind w:left="240"/>
              <w:spacing w:after="0"/>
              <w:rPr>
                <w:sz w:val="20"/>
                <w:szCs w:val="20"/>
                <w:color w:val="auto"/>
              </w:rPr>
            </w:pPr>
            <w:r>
              <w:rPr>
                <w:rFonts w:ascii="Arial" w:cs="Arial" w:eastAsia="Arial" w:hAnsi="Arial"/>
                <w:sz w:val="22"/>
                <w:szCs w:val="22"/>
                <w:color w:val="auto"/>
              </w:rPr>
              <w:t>4,583,653</w:t>
            </w:r>
          </w:p>
        </w:tc>
        <w:tc>
          <w:tcPr>
            <w:tcW w:w="0" w:type="dxa"/>
            <w:vAlign w:val="bottom"/>
          </w:tcPr>
          <w:p>
            <w:pPr>
              <w:spacing w:after="0"/>
              <w:rPr>
                <w:sz w:val="1"/>
                <w:szCs w:val="1"/>
                <w:color w:val="auto"/>
              </w:rPr>
            </w:pPr>
          </w:p>
        </w:tc>
      </w:tr>
      <w:tr>
        <w:trPr>
          <w:trHeight w:val="230"/>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0"/>
              </w:rPr>
              <w:t>owned by</w:t>
            </w:r>
          </w:p>
        </w:tc>
        <w:tc>
          <w:tcPr>
            <w:tcW w:w="2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Borders>
              <w:right w:val="single" w:sz="8" w:color="auto"/>
            </w:tcBorders>
          </w:tcPr>
          <w:p>
            <w:pPr>
              <w:jc w:val="center"/>
              <w:ind w:right="224"/>
              <w:spacing w:after="0" w:line="182" w:lineRule="exact"/>
              <w:rPr>
                <w:sz w:val="20"/>
                <w:szCs w:val="20"/>
                <w:color w:val="auto"/>
              </w:rPr>
            </w:pPr>
            <w:r>
              <w:rPr>
                <w:rFonts w:ascii="Arial" w:cs="Arial" w:eastAsia="Arial" w:hAnsi="Arial"/>
                <w:sz w:val="18"/>
                <w:szCs w:val="18"/>
                <w:color w:val="auto"/>
                <w:w w:val="86"/>
              </w:rPr>
              <w:t>each</w:t>
            </w:r>
          </w:p>
        </w:tc>
        <w:tc>
          <w:tcPr>
            <w:tcW w:w="2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5"/>
                <w:szCs w:val="15"/>
                <w:color w:val="auto"/>
              </w:rPr>
            </w:pPr>
          </w:p>
        </w:tc>
        <w:tc>
          <w:tcPr>
            <w:tcW w:w="9880" w:type="dxa"/>
            <w:vAlign w:val="bottom"/>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20" w:type="dxa"/>
            <w:vAlign w:val="bottom"/>
          </w:tcPr>
          <w:p>
            <w:pPr>
              <w:spacing w:after="0"/>
              <w:rPr>
                <w:sz w:val="20"/>
                <w:szCs w:val="20"/>
                <w:color w:val="auto"/>
              </w:rPr>
            </w:pPr>
          </w:p>
        </w:tc>
        <w:tc>
          <w:tcPr>
            <w:tcW w:w="780" w:type="dxa"/>
            <w:vAlign w:val="bottom"/>
            <w:tcBorders>
              <w:right w:val="single" w:sz="8" w:color="auto"/>
            </w:tcBorders>
            <w:gridSpan w:val="2"/>
          </w:tcPr>
          <w:p>
            <w:pPr>
              <w:jc w:val="center"/>
              <w:ind w:right="164"/>
              <w:spacing w:after="0"/>
              <w:rPr>
                <w:sz w:val="20"/>
                <w:szCs w:val="20"/>
                <w:color w:val="auto"/>
              </w:rPr>
            </w:pPr>
            <w:r>
              <w:rPr>
                <w:rFonts w:ascii="Arial" w:cs="Arial" w:eastAsia="Arial" w:hAnsi="Arial"/>
                <w:sz w:val="18"/>
                <w:szCs w:val="18"/>
                <w:color w:val="auto"/>
                <w:w w:val="87"/>
              </w:rPr>
              <w:t>person</w:t>
            </w:r>
          </w:p>
        </w:tc>
        <w:tc>
          <w:tcPr>
            <w:tcW w:w="2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80" w:type="dxa"/>
            <w:vAlign w:val="bottom"/>
          </w:tcPr>
          <w:p>
            <w:pPr>
              <w:ind w:left="24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right w:val="single" w:sz="8" w:color="auto"/>
            </w:tcBorders>
            <w:vMerge w:val="restart"/>
          </w:tcPr>
          <w:p>
            <w:pPr>
              <w:jc w:val="center"/>
              <w:ind w:right="224"/>
              <w:spacing w:after="0"/>
              <w:rPr>
                <w:sz w:val="20"/>
                <w:szCs w:val="20"/>
                <w:color w:val="auto"/>
              </w:rPr>
            </w:pPr>
            <w:r>
              <w:rPr>
                <w:rFonts w:ascii="Arial" w:cs="Arial" w:eastAsia="Arial" w:hAnsi="Arial"/>
                <w:sz w:val="18"/>
                <w:szCs w:val="18"/>
                <w:color w:val="auto"/>
              </w:rPr>
              <w:t>with:</w:t>
            </w:r>
          </w:p>
        </w:tc>
        <w:tc>
          <w:tcPr>
            <w:tcW w:w="2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1"/>
                <w:szCs w:val="11"/>
                <w:color w:val="auto"/>
              </w:rPr>
            </w:pPr>
          </w:p>
        </w:tc>
        <w:tc>
          <w:tcPr>
            <w:tcW w:w="988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28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ind w:left="240"/>
              <w:spacing w:after="0"/>
              <w:rPr>
                <w:sz w:val="20"/>
                <w:szCs w:val="20"/>
                <w:color w:val="auto"/>
              </w:rPr>
            </w:pPr>
            <w:r>
              <w:rPr>
                <w:rFonts w:ascii="Arial" w:cs="Arial" w:eastAsia="Arial" w:hAnsi="Arial"/>
                <w:sz w:val="22"/>
                <w:szCs w:val="22"/>
                <w:color w:val="auto"/>
              </w:rPr>
              <w:t>6,933,640</w:t>
            </w:r>
          </w:p>
        </w:tc>
        <w:tc>
          <w:tcPr>
            <w:tcW w:w="0" w:type="dxa"/>
            <w:vAlign w:val="bottom"/>
          </w:tcPr>
          <w:p>
            <w:pPr>
              <w:spacing w:after="0"/>
              <w:rPr>
                <w:sz w:val="1"/>
                <w:szCs w:val="1"/>
                <w:color w:val="auto"/>
              </w:rPr>
            </w:pPr>
          </w:p>
        </w:tc>
      </w:tr>
      <w:tr>
        <w:trPr>
          <w:trHeight w:val="278"/>
        </w:trPr>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right w:val="single" w:sz="8" w:color="auto"/>
            </w:tcBorders>
          </w:tcPr>
          <w:p>
            <w:pPr>
              <w:spacing w:after="0"/>
              <w:rPr>
                <w:sz w:val="24"/>
                <w:szCs w:val="24"/>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Aggregate</w:t>
            </w:r>
          </w:p>
        </w:tc>
        <w:tc>
          <w:tcPr>
            <w:tcW w:w="996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amount beneficially owned by each reporting person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1"/>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6,933,640</w:t>
            </w:r>
          </w:p>
        </w:tc>
        <w:tc>
          <w:tcPr>
            <w:tcW w:w="0" w:type="dxa"/>
            <w:vAlign w:val="bottom"/>
          </w:tcPr>
          <w:p>
            <w:pPr>
              <w:spacing w:after="0"/>
              <w:rPr>
                <w:sz w:val="1"/>
                <w:szCs w:val="1"/>
                <w:color w:val="auto"/>
              </w:rPr>
            </w:pPr>
          </w:p>
        </w:tc>
      </w:tr>
      <w:tr>
        <w:trPr>
          <w:trHeight w:val="226"/>
        </w:trPr>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right w:val="single" w:sz="8" w:color="auto"/>
            </w:tcBorders>
          </w:tcPr>
          <w:p>
            <w:pPr>
              <w:spacing w:after="0"/>
              <w:rPr>
                <w:sz w:val="19"/>
                <w:szCs w:val="19"/>
                <w:color w:val="auto"/>
              </w:rPr>
            </w:pP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42"/>
        </w:trPr>
        <w:tc>
          <w:tcPr>
            <w:tcW w:w="460" w:type="dxa"/>
            <w:vAlign w:val="bottom"/>
            <w:tcBorders>
              <w:bottom w:val="single" w:sz="8" w:color="auto"/>
              <w:right w:val="single" w:sz="8" w:color="auto"/>
            </w:tcBorders>
            <w:gridSpan w:val="2"/>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96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13.7%</w:t>
            </w:r>
          </w:p>
        </w:tc>
        <w:tc>
          <w:tcPr>
            <w:tcW w:w="8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9"/>
                <w:szCs w:val="19"/>
                <w:color w:val="auto"/>
              </w:rPr>
            </w:pPr>
          </w:p>
        </w:tc>
        <w:tc>
          <w:tcPr>
            <w:tcW w:w="1098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IA</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p>
    <w:p>
      <w:pPr>
        <w:spacing w:after="0" w:line="256" w:lineRule="exact"/>
        <w:rPr>
          <w:sz w:val="20"/>
          <w:szCs w:val="20"/>
          <w:color w:val="auto"/>
        </w:rPr>
      </w:pPr>
    </w:p>
    <w:p>
      <w:pPr>
        <w:ind w:left="1100" w:right="7860" w:hanging="633"/>
        <w:spacing w:after="0" w:line="342" w:lineRule="auto"/>
        <w:tabs>
          <w:tab w:leader="none" w:pos="1100" w:val="left"/>
        </w:tabs>
        <w:numPr>
          <w:ilvl w:val="0"/>
          <w:numId w:val="3"/>
        </w:numPr>
        <w:rPr>
          <w:rFonts w:ascii="Arial" w:cs="Arial" w:eastAsia="Arial" w:hAnsi="Arial"/>
          <w:sz w:val="16"/>
          <w:szCs w:val="16"/>
          <w:color w:val="auto"/>
        </w:rPr>
      </w:pPr>
      <w:r>
        <w:rPr>
          <w:rFonts w:ascii="Arial" w:cs="Arial" w:eastAsia="Arial" w:hAnsi="Arial"/>
          <w:sz w:val="16"/>
          <w:szCs w:val="16"/>
          <w:color w:val="auto"/>
        </w:rPr>
        <w:t>Name of Issuer Destination XL Group Inc.</w:t>
      </w:r>
    </w:p>
    <w:p>
      <w:pPr>
        <w:spacing w:after="0" w:line="29" w:lineRule="exact"/>
        <w:rPr>
          <w:rFonts w:ascii="Arial" w:cs="Arial" w:eastAsia="Arial" w:hAnsi="Arial"/>
          <w:sz w:val="16"/>
          <w:szCs w:val="16"/>
          <w:color w:val="auto"/>
        </w:rPr>
      </w:pPr>
    </w:p>
    <w:p>
      <w:pPr>
        <w:ind w:left="1100" w:right="6380" w:hanging="633"/>
        <w:spacing w:after="0" w:line="258"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Address of Issuer’s Principal Executive Offices 555 Turnpike Street</w:t>
      </w:r>
    </w:p>
    <w:p>
      <w:pPr>
        <w:spacing w:after="0" w:line="1"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Canton, MA 02021</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000" w:hanging="53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RBC Global Asset Management (U.S.) Inc.</w:t>
      </w:r>
    </w:p>
    <w:p>
      <w:pPr>
        <w:spacing w:after="0" w:line="116" w:lineRule="exact"/>
        <w:rPr>
          <w:rFonts w:ascii="Arial" w:cs="Arial" w:eastAsia="Arial" w:hAnsi="Arial"/>
          <w:sz w:val="18"/>
          <w:szCs w:val="18"/>
          <w:color w:val="auto"/>
        </w:rPr>
      </w:pPr>
    </w:p>
    <w:p>
      <w:pPr>
        <w:ind w:left="1000" w:right="5620" w:hanging="533"/>
        <w:spacing w:after="0" w:line="258"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50 South Sixth Street</w:t>
      </w:r>
    </w:p>
    <w:p>
      <w:pPr>
        <w:spacing w:after="0" w:line="1"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Suite 2350</w:t>
      </w:r>
    </w:p>
    <w:p>
      <w:pPr>
        <w:spacing w:after="0" w:line="116"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Minneapolis, Minnesota 55402</w:t>
      </w:r>
    </w:p>
    <w:p>
      <w:pPr>
        <w:spacing w:after="0" w:line="130" w:lineRule="exact"/>
        <w:rPr>
          <w:rFonts w:ascii="Arial" w:cs="Arial" w:eastAsia="Arial" w:hAnsi="Arial"/>
          <w:sz w:val="18"/>
          <w:szCs w:val="18"/>
          <w:color w:val="auto"/>
        </w:rPr>
      </w:pPr>
    </w:p>
    <w:p>
      <w:pPr>
        <w:ind w:left="1000" w:hanging="53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RBC Global Asset Management (U.S.) Inc. is incorporated under the laws of Minnesota</w:t>
      </w:r>
    </w:p>
    <w:p>
      <w:pPr>
        <w:spacing w:after="0" w:line="116" w:lineRule="exact"/>
        <w:rPr>
          <w:rFonts w:ascii="Arial" w:cs="Arial" w:eastAsia="Arial" w:hAnsi="Arial"/>
          <w:sz w:val="18"/>
          <w:szCs w:val="18"/>
          <w:color w:val="auto"/>
        </w:rPr>
      </w:pPr>
    </w:p>
    <w:p>
      <w:pPr>
        <w:ind w:left="1000" w:right="8000" w:hanging="533"/>
        <w:spacing w:after="0" w:line="342"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29" w:lineRule="exact"/>
        <w:rPr>
          <w:rFonts w:ascii="Arial" w:cs="Arial" w:eastAsia="Arial" w:hAnsi="Arial"/>
          <w:sz w:val="16"/>
          <w:szCs w:val="16"/>
          <w:color w:val="auto"/>
        </w:rPr>
      </w:pPr>
    </w:p>
    <w:p>
      <w:pPr>
        <w:ind w:left="1000" w:right="8760" w:hanging="533"/>
        <w:spacing w:after="0" w:line="342"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CUSIP Number 25065K104</w:t>
      </w:r>
    </w:p>
    <w:p>
      <w:pPr>
        <w:spacing w:after="0" w:line="28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4" w:lineRule="exact"/>
        <w:rPr>
          <w:sz w:val="20"/>
          <w:szCs w:val="20"/>
          <w:color w:val="auto"/>
        </w:rPr>
      </w:pPr>
    </w:p>
    <w:p>
      <w:pPr>
        <w:ind w:left="980" w:hanging="513"/>
        <w:spacing w:after="0" w:line="207" w:lineRule="exact"/>
        <w:tabs>
          <w:tab w:leader="none" w:pos="98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980" w:hanging="513"/>
        <w:spacing w:after="0" w:line="207" w:lineRule="exact"/>
        <w:tabs>
          <w:tab w:leader="none" w:pos="98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980" w:hanging="513"/>
        <w:spacing w:after="0" w:line="207" w:lineRule="exact"/>
        <w:tabs>
          <w:tab w:leader="none" w:pos="98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980" w:hanging="513"/>
        <w:spacing w:after="0" w:line="207" w:lineRule="exact"/>
        <w:tabs>
          <w:tab w:leader="none" w:pos="98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980" w:hanging="513"/>
        <w:spacing w:after="0" w:line="207" w:lineRule="exact"/>
        <w:tabs>
          <w:tab w:leader="none" w:pos="98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980" w:hanging="513"/>
        <w:spacing w:after="0" w:line="207" w:lineRule="exact"/>
        <w:tabs>
          <w:tab w:leader="none" w:pos="98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980" w:hanging="513"/>
        <w:spacing w:after="0" w:line="207" w:lineRule="exact"/>
        <w:tabs>
          <w:tab w:leader="none" w:pos="98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980" w:hanging="513"/>
        <w:spacing w:after="0" w:line="207" w:lineRule="exact"/>
        <w:tabs>
          <w:tab w:leader="none" w:pos="98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340" w:hanging="873"/>
        <w:spacing w:after="0" w:line="239" w:lineRule="exact"/>
        <w:tabs>
          <w:tab w:leader="none" w:pos="975"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color w:val="auto"/>
        </w:rPr>
      </w:pPr>
    </w:p>
    <w:p>
      <w:pPr>
        <w:ind w:left="980" w:hanging="513"/>
        <w:spacing w:after="0" w:line="207" w:lineRule="exact"/>
        <w:tabs>
          <w:tab w:leader="none" w:pos="98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13d-1(b)(1)(ii)(J);</w:t>
      </w:r>
    </w:p>
    <w:p>
      <w:pPr>
        <w:spacing w:after="0" w:line="117" w:lineRule="exact"/>
        <w:rPr>
          <w:rFonts w:ascii="Arial" w:cs="Arial" w:eastAsia="Arial" w:hAnsi="Arial"/>
          <w:sz w:val="18"/>
          <w:szCs w:val="18"/>
          <w:color w:val="auto"/>
        </w:rPr>
      </w:pPr>
    </w:p>
    <w:p>
      <w:pPr>
        <w:ind w:left="980" w:hanging="513"/>
        <w:spacing w:after="0" w:line="207" w:lineRule="exact"/>
        <w:tabs>
          <w:tab w:leader="none" w:pos="98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§240.13d-1(b)(1)(ii)(K).</w:t>
      </w:r>
    </w:p>
    <w:p>
      <w:pPr>
        <w:sectPr>
          <w:pgSz w:w="11900" w:h="16838" w:orient="portrait"/>
          <w:cols w:equalWidth="0" w:num="1">
            <w:col w:w="10900"/>
          </w:cols>
          <w:pgMar w:left="240" w:top="270" w:right="759" w:bottom="1440" w:gutter="0" w:footer="0" w:header="0"/>
        </w:sectPr>
      </w:pPr>
    </w:p>
    <w:bookmarkStart w:id="3" w:name="page4"/>
    <w:bookmarkEnd w:id="3"/>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64" w:lineRule="exact"/>
        <w:rPr>
          <w:sz w:val="20"/>
          <w:szCs w:val="20"/>
          <w:color w:val="auto"/>
        </w:rPr>
      </w:pPr>
    </w:p>
    <w:p>
      <w:pPr>
        <w:ind w:left="1100" w:hanging="633"/>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See Item 9 of the Cover Page.</w:t>
      </w:r>
    </w:p>
    <w:p>
      <w:pPr>
        <w:spacing w:after="0" w:line="117" w:lineRule="exact"/>
        <w:rPr>
          <w:rFonts w:ascii="Arial" w:cs="Arial" w:eastAsia="Arial" w:hAnsi="Arial"/>
          <w:sz w:val="18"/>
          <w:szCs w:val="18"/>
          <w:color w:val="auto"/>
        </w:rPr>
      </w:pPr>
    </w:p>
    <w:p>
      <w:pPr>
        <w:ind w:left="1100" w:hanging="633"/>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See Item 11 of the Cover Page.</w:t>
      </w:r>
    </w:p>
    <w:p>
      <w:pPr>
        <w:spacing w:after="0" w:line="117" w:lineRule="exact"/>
        <w:rPr>
          <w:rFonts w:ascii="Arial" w:cs="Arial" w:eastAsia="Arial" w:hAnsi="Arial"/>
          <w:sz w:val="18"/>
          <w:szCs w:val="18"/>
          <w:color w:val="auto"/>
        </w:rPr>
      </w:pPr>
    </w:p>
    <w:p>
      <w:pPr>
        <w:ind w:left="1100" w:hanging="633"/>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1460" w:right="7140" w:hanging="358"/>
        <w:spacing w:after="0" w:line="277" w:lineRule="auto"/>
        <w:tabs>
          <w:tab w:leader="none" w:pos="14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See Item 5 of the Cover Page.</w:t>
      </w:r>
    </w:p>
    <w:p>
      <w:pPr>
        <w:spacing w:after="0" w:line="75" w:lineRule="exact"/>
        <w:rPr>
          <w:rFonts w:ascii="Arial" w:cs="Arial" w:eastAsia="Arial" w:hAnsi="Arial"/>
          <w:sz w:val="18"/>
          <w:szCs w:val="18"/>
          <w:color w:val="auto"/>
        </w:rPr>
      </w:pPr>
    </w:p>
    <w:p>
      <w:pPr>
        <w:ind w:left="1460" w:right="6960" w:hanging="358"/>
        <w:spacing w:after="0" w:line="277" w:lineRule="auto"/>
        <w:tabs>
          <w:tab w:leader="none" w:pos="14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See Item 6 of the Cover Page.</w:t>
      </w:r>
    </w:p>
    <w:p>
      <w:pPr>
        <w:spacing w:after="0" w:line="75" w:lineRule="exact"/>
        <w:rPr>
          <w:rFonts w:ascii="Arial" w:cs="Arial" w:eastAsia="Arial" w:hAnsi="Arial"/>
          <w:sz w:val="18"/>
          <w:szCs w:val="18"/>
          <w:color w:val="auto"/>
        </w:rPr>
      </w:pPr>
    </w:p>
    <w:p>
      <w:pPr>
        <w:ind w:left="1460" w:right="6240" w:hanging="358"/>
        <w:spacing w:after="0" w:line="277" w:lineRule="auto"/>
        <w:tabs>
          <w:tab w:leader="none" w:pos="14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Item 7 of the Cover Page.</w:t>
      </w:r>
    </w:p>
    <w:p>
      <w:pPr>
        <w:spacing w:after="0" w:line="75" w:lineRule="exact"/>
        <w:rPr>
          <w:rFonts w:ascii="Arial" w:cs="Arial" w:eastAsia="Arial" w:hAnsi="Arial"/>
          <w:sz w:val="18"/>
          <w:szCs w:val="18"/>
          <w:color w:val="auto"/>
        </w:rPr>
      </w:pPr>
    </w:p>
    <w:p>
      <w:pPr>
        <w:ind w:left="1460" w:right="6060" w:hanging="358"/>
        <w:spacing w:after="0" w:line="277" w:lineRule="auto"/>
        <w:tabs>
          <w:tab w:leader="none" w:pos="14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Item 8 of the Cover Page.</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For computations regarding securities which represent a right to acquire an underlying security see §240.13d-3(d)(1).</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jc w:val="both"/>
        <w:ind w:left="92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270" w:right="239" w:bottom="1440" w:gutter="0" w:footer="0" w:header="0"/>
        </w:sectPr>
      </w:pPr>
    </w:p>
    <w:bookmarkStart w:id="4" w:name="page5"/>
    <w:bookmarkEnd w:id="4"/>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3, 2015</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RBC GLOBAL ASSET MANAGEMENT (U.S.) INC.</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Michael T.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Michael T. Lee / Chief Executive Officer, President &amp; Chief Investment</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5715</wp:posOffset>
            </wp:positionV>
            <wp:extent cx="34048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Name/Title</w:t>
      </w:r>
    </w:p>
    <w:sectPr>
      <w:pgSz w:w="11900" w:h="16838" w:orient="portrait"/>
      <w:cols w:equalWidth="0" w:num="1">
        <w:col w:w="11240"/>
      </w:cols>
      <w:pgMar w:left="2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2019-12-20T20:39:14Z</dcterms:created>
  <dcterms:modified xsi:type="dcterms:W3CDTF">2019-12-20T20:39:14Z</dcterms:modified>
</cp:coreProperties>
</file>