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798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9869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MESDAG WILLEM</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275" w:lineRule="auto"/>
        <w:rPr>
          <w:sz w:val="20"/>
          <w:szCs w:val="20"/>
          <w:color w:val="auto"/>
        </w:rPr>
      </w:pPr>
      <w:r>
        <w:rPr>
          <w:rFonts w:ascii="Times New Roman" w:cs="Times New Roman" w:eastAsia="Times New Roman" w:hAnsi="Times New Roman"/>
          <w:sz w:val="17"/>
          <w:szCs w:val="17"/>
          <w:color w:val="0000FF"/>
        </w:rPr>
        <w:t>C/O RED MOUNTAIN CAPITAL MANAGEMENT INC</w:t>
      </w:r>
    </w:p>
    <w:p>
      <w:pPr>
        <w:spacing w:after="0" w:line="1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1999 AVENUE OF THE STARS, STE 1100</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r>
      <w:tr>
        <w:trPr>
          <w:trHeight w:val="22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LOS ANGELES  CA</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90067</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7"/>
        </w:trPr>
        <w:tc>
          <w:tcPr>
            <w:tcW w:w="3840" w:type="dxa"/>
            <w:vAlign w:val="bottom"/>
            <w:gridSpan w:val="4"/>
          </w:tcPr>
          <w:p>
            <w:pPr>
              <w:ind w:left="60"/>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r>
      <w:tr>
        <w:trPr>
          <w:trHeight w:val="148"/>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60" w:type="dxa"/>
            <w:vAlign w:val="bottom"/>
          </w:tcPr>
          <w:p>
            <w:pPr>
              <w:ind w:left="320"/>
              <w:spacing w:after="0" w:line="148" w:lineRule="exact"/>
              <w:rPr>
                <w:sz w:val="20"/>
                <w:szCs w:val="20"/>
                <w:color w:val="auto"/>
              </w:rPr>
            </w:pPr>
            <w:r>
              <w:rPr>
                <w:rFonts w:ascii="Arial" w:cs="Arial" w:eastAsia="Arial" w:hAnsi="Arial"/>
                <w:sz w:val="13"/>
                <w:szCs w:val="13"/>
                <w:color w:val="auto"/>
              </w:rPr>
              <w:t>10% Owner</w:t>
            </w:r>
          </w:p>
        </w:tc>
      </w:tr>
      <w:tr>
        <w:trPr>
          <w:trHeight w:val="170"/>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6"/>
        </w:trPr>
        <w:tc>
          <w:tcPr>
            <w:tcW w:w="2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02/03/2025</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60" w:space="180"/>
            <w:col w:w="7240"/>
          </w:cols>
          <w:pgMar w:left="460" w:top="216" w:right="359" w:bottom="1440" w:gutter="0" w:footer="0" w:header="0"/>
          <w:type w:val="continuous"/>
        </w:sectPr>
      </w:pPr>
    </w:p>
    <w:p>
      <w:pPr>
        <w:spacing w:after="0" w:line="4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40"/>
              <w:spacing w:after="0"/>
              <w:rPr>
                <w:sz w:val="20"/>
                <w:szCs w:val="20"/>
                <w:color w:val="auto"/>
              </w:rPr>
            </w:pPr>
            <w:r>
              <w:rPr>
                <w:rFonts w:ascii="Times New Roman" w:cs="Times New Roman" w:eastAsia="Times New Roman" w:hAnsi="Times New Roman"/>
                <w:sz w:val="17"/>
                <w:szCs w:val="17"/>
                <w:color w:val="0000FF"/>
              </w:rPr>
              <w:t>2,593,758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06"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tcBorders>
              <w:right w:val="single" w:sz="8" w:color="2C2C2C"/>
            </w:tcBorders>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2.66</w:t>
            </w:r>
            <w:r>
              <w:rPr>
                <w:rFonts w:ascii="Times New Roman" w:cs="Times New Roman" w:eastAsia="Times New Roman" w:hAnsi="Times New Roman"/>
                <w:sz w:val="21"/>
                <w:szCs w:val="21"/>
                <w:color w:val="008000"/>
                <w:vertAlign w:val="superscript"/>
              </w:rPr>
              <w:t>(3)</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13,627</w:t>
            </w:r>
            <w:r>
              <w:rPr>
                <w:rFonts w:ascii="Times New Roman" w:cs="Times New Roman" w:eastAsia="Times New Roman" w:hAnsi="Times New Roman"/>
                <w:sz w:val="21"/>
                <w:szCs w:val="21"/>
                <w:color w:val="008000"/>
                <w:vertAlign w:val="superscript"/>
              </w:rPr>
              <w:t>(4)</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13,627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3"/>
                <w:szCs w:val="13"/>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02/03/2025</w:t>
            </w:r>
          </w:p>
        </w:tc>
        <w:tc>
          <w:tcPr>
            <w:tcW w:w="110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493,327</w:t>
            </w:r>
          </w:p>
        </w:tc>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-1843405</wp:posOffset>
            </wp:positionV>
            <wp:extent cx="29210" cy="1849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91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jc w:val="both"/>
        <w:ind w:left="40" w:right="320"/>
        <w:spacing w:after="0" w:line="235"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Stock Units (DSUs) issued pursuant to the Director's elected form of compensation for quarterly annual retainer and committee chairperson fee.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per share value is determined by the closing price of the Company's common stock on February 3,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DSU is credited to the Reporting Person under the Company's Director Plan (the "Director Plan"). Each DSU represents ownership equivalent to one share of the Company's common stock.</w:t>
      </w:r>
    </w:p>
    <w:p>
      <w:pPr>
        <w:spacing w:after="0" w:line="41" w:lineRule="exact"/>
        <w:rPr>
          <w:rFonts w:ascii="Times New Roman" w:cs="Times New Roman" w:eastAsia="Times New Roman" w:hAnsi="Times New Roman"/>
          <w:sz w:val="13"/>
          <w:szCs w:val="13"/>
          <w:color w:val="008000"/>
        </w:rPr>
      </w:pPr>
    </w:p>
    <w:p>
      <w:pPr>
        <w:ind w:left="40" w:right="62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DSUs credited under the Director Plan are payable in the form elected or provided under the Director Plan on the earlier of (i) the Reporting Person's date of separation of service, or (ii) upon death, disability or change in control as defined under the Director Plan.</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Willem Mesdag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253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of himself and the other</w:t>
      </w:r>
      <w:r>
        <w:rPr>
          <w:sz w:val="20"/>
          <w:szCs w:val="20"/>
          <w:color w:val="auto"/>
        </w:rPr>
        <w:tab/>
      </w:r>
      <w:r>
        <w:rPr>
          <w:rFonts w:ascii="Times New Roman" w:cs="Times New Roman" w:eastAsia="Times New Roman" w:hAnsi="Times New Roman"/>
          <w:sz w:val="16"/>
          <w:szCs w:val="16"/>
          <w:color w:val="0000FF"/>
        </w:rPr>
        <w:t>02/05/2025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8102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74566"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2025-02-05T15:24:49Z</dcterms:created>
  <dcterms:modified xsi:type="dcterms:W3CDTF">2025-02-05T15:24:49Z</dcterms:modified>
</cp:coreProperties>
</file>