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8,679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133,093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130,537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8,679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March 19, 2019, based on the Company's performance over the applicable performance period under the 2017-2018 Long-Term Incentive Plan.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2019-12-23T15:08:55Z</dcterms:created>
  <dcterms:modified xsi:type="dcterms:W3CDTF">2019-12-23T15:08:55Z</dcterms:modified>
</cp:coreProperties>
</file>