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3)*</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148711302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July 1, 2011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31" w:lineRule="exact"/>
        <w:rPr>
          <w:sz w:val="24"/>
          <w:szCs w:val="24"/>
          <w:color w:val="auto"/>
        </w:rPr>
      </w:pPr>
    </w:p>
    <w:p>
      <w:pPr>
        <w:jc w:val="both"/>
        <w:ind w:right="10100" w:firstLine="8"/>
        <w:spacing w:after="0" w:line="431" w:lineRule="auto"/>
        <w:tabs>
          <w:tab w:leader="none" w:pos="27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6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Persons who respond to the collection of information contained in this form are not required to respond unless the form displays a currently valid OMD control number.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22"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3"/>
          </w:tcPr>
          <w:p>
            <w:pPr>
              <w:jc w:val="right"/>
              <w:ind w:right="630"/>
              <w:spacing w:after="0"/>
              <w:rPr>
                <w:sz w:val="20"/>
                <w:szCs w:val="20"/>
                <w:color w:val="auto"/>
              </w:rPr>
            </w:pPr>
            <w:r>
              <w:rPr>
                <w:rFonts w:ascii="Arial" w:cs="Arial" w:eastAsia="Arial" w:hAnsi="Arial"/>
                <w:sz w:val="18"/>
                <w:szCs w:val="18"/>
                <w:color w:val="auto"/>
                <w:w w:val="99"/>
              </w:rPr>
              <w:t>148711302</w:t>
            </w:r>
          </w:p>
        </w:tc>
        <w:tc>
          <w:tcPr>
            <w:tcW w:w="8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40" w:type="dxa"/>
            <w:vAlign w:val="bottom"/>
            <w:tcBorders>
              <w:bottom w:val="single" w:sz="8" w:color="auto"/>
            </w:tcBorders>
            <w:gridSpan w:val="3"/>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Glenhill Advisors, LLC</w:t>
            </w:r>
          </w:p>
        </w:tc>
        <w:tc>
          <w:tcPr>
            <w:tcW w:w="0" w:type="dxa"/>
            <w:vAlign w:val="bottom"/>
          </w:tcPr>
          <w:p>
            <w:pPr>
              <w:spacing w:after="0"/>
              <w:rPr>
                <w:sz w:val="1"/>
                <w:szCs w:val="1"/>
                <w:color w:val="auto"/>
              </w:rPr>
            </w:pPr>
          </w:p>
        </w:tc>
      </w:tr>
      <w:tr>
        <w:trPr>
          <w:trHeight w:val="256"/>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40" w:type="dxa"/>
            <w:vAlign w:val="bottom"/>
            <w:tcBorders>
              <w:bottom w:val="single" w:sz="8" w:color="auto"/>
            </w:tcBorders>
            <w:gridSpan w:val="3"/>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30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40" w:type="dxa"/>
            <w:vAlign w:val="bottom"/>
            <w:tcBorders>
              <w:bottom w:val="single" w:sz="8" w:color="auto"/>
            </w:tcBorders>
            <w:gridSpan w:val="3"/>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Delaware</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4,464,641</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4,464,641</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4,464,641</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9.22%</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IA, HC</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830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3"/>
          </w:tcPr>
          <w:p>
            <w:pPr>
              <w:jc w:val="right"/>
              <w:ind w:right="630"/>
              <w:spacing w:after="0"/>
              <w:rPr>
                <w:sz w:val="20"/>
                <w:szCs w:val="20"/>
                <w:color w:val="auto"/>
              </w:rPr>
            </w:pPr>
            <w:r>
              <w:rPr>
                <w:rFonts w:ascii="Arial" w:cs="Arial" w:eastAsia="Arial" w:hAnsi="Arial"/>
                <w:sz w:val="18"/>
                <w:szCs w:val="18"/>
                <w:color w:val="auto"/>
                <w:w w:val="99"/>
              </w:rPr>
              <w:t>148711302</w:t>
            </w:r>
          </w:p>
        </w:tc>
        <w:tc>
          <w:tcPr>
            <w:tcW w:w="8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40" w:type="dxa"/>
            <w:vAlign w:val="bottom"/>
            <w:tcBorders>
              <w:bottom w:val="single" w:sz="8" w:color="auto"/>
            </w:tcBorders>
            <w:gridSpan w:val="3"/>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5"/>
              </w:rPr>
              <w:t>Glenn J. Krevlin</w:t>
            </w:r>
          </w:p>
        </w:tc>
        <w:tc>
          <w:tcPr>
            <w:tcW w:w="114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40" w:type="dxa"/>
            <w:vAlign w:val="bottom"/>
            <w:tcBorders>
              <w:bottom w:val="single" w:sz="8" w:color="auto"/>
            </w:tcBorders>
            <w:gridSpan w:val="3"/>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30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40" w:type="dxa"/>
            <w:vAlign w:val="bottom"/>
            <w:tcBorders>
              <w:bottom w:val="single" w:sz="8" w:color="auto"/>
            </w:tcBorders>
            <w:gridSpan w:val="3"/>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rPr>
              <w:t>United States</w:t>
            </w: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4,464,641</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4,464,641</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4,464,641</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9.22%</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IN, HC</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830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3"/>
          </w:tcPr>
          <w:p>
            <w:pPr>
              <w:jc w:val="right"/>
              <w:ind w:right="630"/>
              <w:spacing w:after="0"/>
              <w:rPr>
                <w:sz w:val="20"/>
                <w:szCs w:val="20"/>
                <w:color w:val="auto"/>
              </w:rPr>
            </w:pPr>
            <w:r>
              <w:rPr>
                <w:rFonts w:ascii="Arial" w:cs="Arial" w:eastAsia="Arial" w:hAnsi="Arial"/>
                <w:sz w:val="18"/>
                <w:szCs w:val="18"/>
                <w:color w:val="auto"/>
                <w:w w:val="99"/>
              </w:rPr>
              <w:t>148711302</w:t>
            </w:r>
          </w:p>
        </w:tc>
        <w:tc>
          <w:tcPr>
            <w:tcW w:w="8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40" w:type="dxa"/>
            <w:vAlign w:val="bottom"/>
            <w:tcBorders>
              <w:bottom w:val="single" w:sz="8" w:color="auto"/>
            </w:tcBorders>
            <w:gridSpan w:val="3"/>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Glenhill Capital Management, LLC</w:t>
            </w:r>
          </w:p>
        </w:tc>
        <w:tc>
          <w:tcPr>
            <w:tcW w:w="0" w:type="dxa"/>
            <w:vAlign w:val="bottom"/>
          </w:tcPr>
          <w:p>
            <w:pPr>
              <w:spacing w:after="0"/>
              <w:rPr>
                <w:sz w:val="1"/>
                <w:szCs w:val="1"/>
                <w:color w:val="auto"/>
              </w:rPr>
            </w:pPr>
          </w:p>
        </w:tc>
      </w:tr>
      <w:tr>
        <w:trPr>
          <w:trHeight w:val="256"/>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40" w:type="dxa"/>
            <w:vAlign w:val="bottom"/>
            <w:tcBorders>
              <w:bottom w:val="single" w:sz="8" w:color="auto"/>
            </w:tcBorders>
            <w:gridSpan w:val="3"/>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30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40" w:type="dxa"/>
            <w:vAlign w:val="bottom"/>
            <w:tcBorders>
              <w:bottom w:val="single" w:sz="8" w:color="auto"/>
            </w:tcBorders>
            <w:gridSpan w:val="3"/>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Delaware</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4,464,641</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4,464,641</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4,464,641</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9.22%</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IA, HC</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830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3"/>
          </w:tcPr>
          <w:p>
            <w:pPr>
              <w:jc w:val="right"/>
              <w:ind w:right="630"/>
              <w:spacing w:after="0"/>
              <w:rPr>
                <w:sz w:val="20"/>
                <w:szCs w:val="20"/>
                <w:color w:val="auto"/>
              </w:rPr>
            </w:pPr>
            <w:r>
              <w:rPr>
                <w:rFonts w:ascii="Arial" w:cs="Arial" w:eastAsia="Arial" w:hAnsi="Arial"/>
                <w:sz w:val="18"/>
                <w:szCs w:val="18"/>
                <w:color w:val="auto"/>
                <w:w w:val="99"/>
              </w:rPr>
              <w:t>148711302</w:t>
            </w:r>
          </w:p>
        </w:tc>
        <w:tc>
          <w:tcPr>
            <w:tcW w:w="8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40" w:type="dxa"/>
            <w:vAlign w:val="bottom"/>
            <w:tcBorders>
              <w:bottom w:val="single" w:sz="8" w:color="auto"/>
            </w:tcBorders>
            <w:gridSpan w:val="3"/>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Glenhill Capital Overseas Master Fund, LP</w:t>
            </w:r>
          </w:p>
        </w:tc>
        <w:tc>
          <w:tcPr>
            <w:tcW w:w="0" w:type="dxa"/>
            <w:vAlign w:val="bottom"/>
          </w:tcPr>
          <w:p>
            <w:pPr>
              <w:spacing w:after="0"/>
              <w:rPr>
                <w:sz w:val="1"/>
                <w:szCs w:val="1"/>
                <w:color w:val="auto"/>
              </w:rPr>
            </w:pPr>
          </w:p>
        </w:tc>
      </w:tr>
      <w:tr>
        <w:trPr>
          <w:trHeight w:val="256"/>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40" w:type="dxa"/>
            <w:vAlign w:val="bottom"/>
            <w:tcBorders>
              <w:bottom w:val="single" w:sz="8" w:color="auto"/>
            </w:tcBorders>
            <w:gridSpan w:val="3"/>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30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40" w:type="dxa"/>
            <w:vAlign w:val="bottom"/>
            <w:tcBorders>
              <w:bottom w:val="single" w:sz="8" w:color="auto"/>
            </w:tcBorders>
            <w:gridSpan w:val="3"/>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w w:val="94"/>
              </w:rPr>
              <w:t>Cayman Islands</w:t>
            </w: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3,258,100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3,258,100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3,258,100</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6.73%</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830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1(a). Name of Issuer: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Casual Male Retail Group,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555 Turnpike Street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Canton, MA 02021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Glenhill Advisors, LLC, Glenn J. Krevlin, Glenhill Capital Management, LLC and Glenhill Capital Overseas Master Fund, LP.</w:t>
      </w:r>
    </w:p>
    <w:p>
      <w:pPr>
        <w:spacing w:after="0" w:line="131"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Glenn J. Krevlin is the managing member and control person of Glenhill Advisors, LLC. Glenhill Advisors, LLC is the managing member of Glenhill Capital Management, LLC. Glenhill Capital Management, LLC is the general partner and investment advisor of Glenhill Capital LP, managing member of Glenhill Concentrated Long Master Fund, LLC, a security holder of the Issuer, and sole shareholder of Glenhill Capital Overseas GP, Ltd. Glenhill Capital Overseas GP, Ltd. is general partner of Glenhill Capital Overseas Master Fund, LP, a security holder of the Issuer.</w:t>
      </w:r>
    </w:p>
    <w:p>
      <w:pPr>
        <w:spacing w:after="0" w:line="60"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color w:val="auto"/>
        </w:rPr>
        <w:t>Pursuant to an internal restructuring (the “Restructuring”) effective July 1, 2011, Glenhill Capital LP transferred all of the shares of Common Stock of the Issuer held by it to Glenhill Capital Overseas Master Fund, LP. Accordingly, as of July 1, 2011, Glenhill Capital LP does not beneficially own any shares of the Issuer’s Common Stock as a result of the Restructuring.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156 West 56</w:t>
      </w:r>
      <w:r>
        <w:rPr>
          <w:rFonts w:ascii="Arial" w:cs="Arial" w:eastAsia="Arial" w:hAnsi="Arial"/>
          <w:sz w:val="15"/>
          <w:szCs w:val="15"/>
          <w:color w:val="auto"/>
        </w:rPr>
        <w:t>th</w:t>
      </w:r>
      <w:r>
        <w:rPr>
          <w:rFonts w:ascii="Arial" w:cs="Arial" w:eastAsia="Arial" w:hAnsi="Arial"/>
          <w:sz w:val="18"/>
          <w:szCs w:val="18"/>
          <w:color w:val="auto"/>
        </w:rPr>
        <w:t xml:space="preserve"> Street, 17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response(s) to Item 4 on the attached cover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148711302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3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30" w:lineRule="exact"/>
        <w:rPr>
          <w:rFonts w:ascii="Arial" w:cs="Arial" w:eastAsia="Arial" w:hAnsi="Arial"/>
          <w:sz w:val="18"/>
          <w:szCs w:val="18"/>
          <w:color w:val="auto"/>
        </w:rPr>
      </w:pPr>
    </w:p>
    <w:p>
      <w:pPr>
        <w:jc w:val="both"/>
        <w:ind w:left="900" w:right="140"/>
        <w:spacing w:after="0" w:line="264" w:lineRule="auto"/>
        <w:rPr>
          <w:rFonts w:ascii="Arial" w:cs="Arial" w:eastAsia="Arial" w:hAnsi="Arial"/>
          <w:sz w:val="18"/>
          <w:szCs w:val="18"/>
          <w:color w:val="auto"/>
        </w:rPr>
      </w:pPr>
      <w:r>
        <w:rPr>
          <w:rFonts w:ascii="Arial" w:cs="Arial" w:eastAsia="Arial" w:hAnsi="Arial"/>
          <w:sz w:val="18"/>
          <w:szCs w:val="18"/>
          <w:color w:val="auto"/>
        </w:rPr>
        <w:t>See the response(s) to Item 11 on the attached cover page(s), which was determined by dividing the number of shares beneficially held by the Reporting Person by 48,431,074, the number of shares of common stock issued and outstanding as reported in the Issuer’s Form 10-K/A filed with the Securities and Exchange Commission on May 31, 2011.</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30"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30"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30"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130" w:lineRule="exact"/>
        <w:rPr>
          <w:rFonts w:ascii="Arial" w:cs="Arial" w:eastAsia="Arial" w:hAnsi="Arial"/>
          <w:sz w:val="18"/>
          <w:szCs w:val="18"/>
          <w:color w:val="auto"/>
        </w:rPr>
      </w:pPr>
    </w:p>
    <w:p>
      <w:pPr>
        <w:ind w:left="1360" w:right="5600" w:hanging="447"/>
        <w:spacing w:after="0" w:line="499" w:lineRule="auto"/>
        <w:tabs>
          <w:tab w:leader="none" w:pos="1360" w:val="left"/>
        </w:tabs>
        <w:numPr>
          <w:ilvl w:val="1"/>
          <w:numId w:val="3"/>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the response(s) to Item 8 on the attached cover page(s).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right="24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1" w:right="4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July 6, 2011</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GLENHILL ADVISORS, LLC</w:t>
      </w:r>
    </w:p>
    <w:p>
      <w:pPr>
        <w:spacing w:after="0" w:line="229" w:lineRule="exact"/>
        <w:rPr>
          <w:sz w:val="20"/>
          <w:szCs w:val="20"/>
          <w:color w:val="auto"/>
        </w:rPr>
      </w:pPr>
    </w:p>
    <w:p>
      <w:pPr>
        <w:ind w:left="628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J. KREVLIN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14605</wp:posOffset>
            </wp:positionV>
            <wp:extent cx="28644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6280"/>
        <w:spacing w:after="0"/>
        <w:tabs>
          <w:tab w:leader="none" w:pos="6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Glenn J. Krevlin</w:t>
      </w:r>
    </w:p>
    <w:p>
      <w:pPr>
        <w:spacing w:after="0" w:line="23" w:lineRule="exact"/>
        <w:rPr>
          <w:sz w:val="20"/>
          <w:szCs w:val="20"/>
          <w:color w:val="auto"/>
        </w:rPr>
      </w:pPr>
    </w:p>
    <w:p>
      <w:pPr>
        <w:ind w:left="6280"/>
        <w:spacing w:after="0"/>
        <w:tabs>
          <w:tab w:leader="none" w:pos="688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/s/ GLENN J. KREVLIN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 w:lineRule="exact"/>
        <w:rPr>
          <w:sz w:val="20"/>
          <w:szCs w:val="20"/>
          <w:color w:val="auto"/>
        </w:rPr>
      </w:pPr>
    </w:p>
    <w:p>
      <w:pPr>
        <w:ind w:left="6280"/>
        <w:spacing w:after="0"/>
        <w:tabs>
          <w:tab w:leader="none" w:pos="6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Glenn J. Krevlin</w:t>
      </w:r>
    </w:p>
    <w:p>
      <w:pPr>
        <w:spacing w:after="0" w:line="221"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GLENHILL CAPITAL MANAGEMENT, LLC</w:t>
      </w:r>
    </w:p>
    <w:p>
      <w:pPr>
        <w:spacing w:after="0" w:line="229" w:lineRule="exact"/>
        <w:rPr>
          <w:sz w:val="20"/>
          <w:szCs w:val="20"/>
          <w:color w:val="auto"/>
        </w:rPr>
      </w:pPr>
    </w:p>
    <w:tbl>
      <w:tblPr>
        <w:tblLayout w:type="fixed"/>
        <w:tblInd w:w="628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Pr>
          <w:p>
            <w:pPr>
              <w:spacing w:after="0"/>
              <w:rPr>
                <w:sz w:val="20"/>
                <w:szCs w:val="20"/>
                <w:color w:val="auto"/>
              </w:rPr>
            </w:pPr>
            <w:r>
              <w:rPr>
                <w:rFonts w:ascii="Arial" w:cs="Arial" w:eastAsia="Arial" w:hAnsi="Arial"/>
                <w:sz w:val="18"/>
                <w:szCs w:val="18"/>
                <w:color w:val="auto"/>
              </w:rPr>
              <w:t>GLENHILL ADVISORS, LLC</w:t>
            </w:r>
          </w:p>
        </w:tc>
      </w:tr>
      <w:tr>
        <w:trPr>
          <w:trHeight w:val="230"/>
        </w:trPr>
        <w:tc>
          <w:tcPr>
            <w:tcW w:w="6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GLENN J. KREVLIN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Glenn J. Krevlin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19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GLENHILL CAPITAL OVERSEAS MASTER FUND, LP</w:t>
      </w:r>
    </w:p>
    <w:p>
      <w:pPr>
        <w:spacing w:after="0" w:line="229" w:lineRule="exact"/>
        <w:rPr>
          <w:sz w:val="20"/>
          <w:szCs w:val="20"/>
          <w:color w:val="auto"/>
        </w:rPr>
      </w:pPr>
    </w:p>
    <w:tbl>
      <w:tblPr>
        <w:tblLayout w:type="fixed"/>
        <w:tblInd w:w="628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Pr>
          <w:p>
            <w:pPr>
              <w:spacing w:after="0"/>
              <w:rPr>
                <w:sz w:val="20"/>
                <w:szCs w:val="20"/>
                <w:color w:val="auto"/>
              </w:rPr>
            </w:pPr>
            <w:r>
              <w:rPr>
                <w:rFonts w:ascii="Arial" w:cs="Arial" w:eastAsia="Arial" w:hAnsi="Arial"/>
                <w:sz w:val="18"/>
                <w:szCs w:val="18"/>
                <w:color w:val="auto"/>
              </w:rPr>
              <w:t>GLENHILL CAPITAL OVERSEAS GP, LTD.</w:t>
            </w:r>
          </w:p>
        </w:tc>
      </w:tr>
      <w:tr>
        <w:trPr>
          <w:trHeight w:val="230"/>
        </w:trPr>
        <w:tc>
          <w:tcPr>
            <w:tcW w:w="6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Pr>
          <w:p>
            <w:pPr>
              <w:spacing w:after="0"/>
              <w:rPr>
                <w:sz w:val="20"/>
                <w:szCs w:val="20"/>
                <w:color w:val="auto"/>
              </w:rPr>
            </w:pPr>
            <w:r>
              <w:rPr>
                <w:rFonts w:ascii="Arial" w:cs="Arial" w:eastAsia="Arial" w:hAnsi="Arial"/>
                <w:sz w:val="18"/>
                <w:szCs w:val="18"/>
                <w:color w:val="auto"/>
              </w:rPr>
              <w:t>GLENHILL CAPITAL MANAGEMENT, LLC</w:t>
            </w:r>
          </w:p>
        </w:tc>
      </w:tr>
      <w:tr>
        <w:trPr>
          <w:trHeight w:val="230"/>
        </w:trPr>
        <w:tc>
          <w:tcPr>
            <w:tcW w:w="6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Sole Shareholder</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Pr>
          <w:p>
            <w:pPr>
              <w:spacing w:after="0"/>
              <w:rPr>
                <w:sz w:val="20"/>
                <w:szCs w:val="20"/>
                <w:color w:val="auto"/>
              </w:rPr>
            </w:pPr>
            <w:r>
              <w:rPr>
                <w:rFonts w:ascii="Arial" w:cs="Arial" w:eastAsia="Arial" w:hAnsi="Arial"/>
                <w:sz w:val="18"/>
                <w:szCs w:val="18"/>
                <w:color w:val="auto"/>
              </w:rPr>
              <w:t>GLENHILL ADVISORS, LLC</w:t>
            </w:r>
          </w:p>
        </w:tc>
      </w:tr>
      <w:tr>
        <w:trPr>
          <w:trHeight w:val="230"/>
        </w:trPr>
        <w:tc>
          <w:tcPr>
            <w:tcW w:w="6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GLENN J. KREVLIN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Glenn J. Krevlin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1" w:lineRule="exact"/>
        <w:rPr>
          <w:sz w:val="20"/>
          <w:szCs w:val="20"/>
          <w:color w:val="auto"/>
        </w:rPr>
      </w:pPr>
    </w:p>
    <w:sectPr>
      <w:pgSz w:w="11900" w:h="16838" w:orient="portrait"/>
      <w:cols w:equalWidth="0" w:num="1">
        <w:col w:w="11420"/>
      </w:cols>
      <w:pgMar w:left="240" w:top="1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2019-12-10T08:31:54Z</dcterms:created>
  <dcterms:modified xsi:type="dcterms:W3CDTF">2019-12-10T08:31:54Z</dcterms:modified>
</cp:coreProperties>
</file>