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(Amendment No. 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311150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INFORMATION TO BE INCLUDED IN STATEMENTS FILED PURSUANT TO RULE 13D-1(a)</w:t>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AND</w:t>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AMENDMENTS THERETO FILED PURSUANT TO RULE 13D-2(a)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311150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25057L102</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Seymour Holtzman</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 Jewelcor Companies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100 N. Wilkes Barre Blvd.</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Wilkes-Barre, Pennsylvania 18702</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(570) 822-6277</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July 29, 2021</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20"/>
          </w:cols>
          <w:pgMar w:left="440" w:top="368" w:right="63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CUSIP No. 25057L102</w:t>
            </w:r>
          </w:p>
        </w:tc>
        <w:tc>
          <w:tcPr>
            <w:tcW w:w="7020" w:type="dxa"/>
            <w:vAlign w:val="bottom"/>
          </w:tcPr>
          <w:p>
            <w:pPr>
              <w:ind w:left="1400"/>
              <w:spacing w:after="0"/>
              <w:rPr>
                <w:sz w:val="20"/>
                <w:szCs w:val="20"/>
                <w:color w:val="auto"/>
              </w:rPr>
            </w:pPr>
            <w:r>
              <w:rPr>
                <w:rFonts w:ascii="Arial" w:cs="Arial" w:eastAsia="Arial" w:hAnsi="Arial"/>
                <w:sz w:val="18"/>
                <w:szCs w:val="18"/>
                <w:color w:val="auto"/>
              </w:rPr>
              <w:t>13D</w:t>
            </w:r>
          </w:p>
        </w:tc>
      </w:tr>
      <w:tr>
        <w:trPr>
          <w:trHeight w:val="148"/>
        </w:trPr>
        <w:tc>
          <w:tcPr>
            <w:tcW w:w="4000" w:type="dxa"/>
            <w:vAlign w:val="bottom"/>
            <w:tcBorders>
              <w:bottom w:val="single" w:sz="8" w:color="auto"/>
            </w:tcBorders>
          </w:tcPr>
          <w:p>
            <w:pPr>
              <w:spacing w:after="0"/>
              <w:rPr>
                <w:sz w:val="12"/>
                <w:szCs w:val="12"/>
                <w:color w:val="auto"/>
              </w:rPr>
            </w:pPr>
          </w:p>
        </w:tc>
        <w:tc>
          <w:tcPr>
            <w:tcW w:w="7020" w:type="dxa"/>
            <w:vAlign w:val="bottom"/>
            <w:tcBorders>
              <w:bottom w:val="single" w:sz="8" w:color="auto"/>
            </w:tcBorders>
          </w:tcPr>
          <w:p>
            <w:pPr>
              <w:spacing w:after="0"/>
              <w:rPr>
                <w:sz w:val="12"/>
                <w:szCs w:val="12"/>
                <w:color w:val="auto"/>
              </w:rPr>
            </w:pPr>
          </w:p>
        </w:tc>
      </w:tr>
      <w:tr>
        <w:trPr>
          <w:trHeight w:val="224"/>
        </w:trPr>
        <w:tc>
          <w:tcPr>
            <w:tcW w:w="400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70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6995160</wp:posOffset>
            </wp:positionH>
            <wp:positionV relativeFrom="paragraph">
              <wp:posOffset>-154305</wp:posOffset>
            </wp:positionV>
            <wp:extent cx="8890" cy="6335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63353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8890" cy="6335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633539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-154305</wp:posOffset>
            </wp:positionV>
            <wp:extent cx="8890" cy="2623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2623185"/>
                    </a:xfrm>
                    <a:prstGeom prst="rect">
                      <a:avLst/>
                    </a:prstGeom>
                    <a:noFill/>
                  </pic:spPr>
                </pic:pic>
              </a:graphicData>
            </a:graphic>
          </wp:anchor>
        </w:drawing>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Seymour Holtzman</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5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(b)</w:t>
            </w:r>
          </w:p>
        </w:tc>
        <w:tc>
          <w:tcPr>
            <w:tcW w:w="9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9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PF</w:t>
            </w:r>
          </w:p>
        </w:tc>
        <w:tc>
          <w:tcPr>
            <w:tcW w:w="4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3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5"/>
              </w:rPr>
              <w:t>Number of</w:t>
            </w:r>
          </w:p>
        </w:tc>
        <w:tc>
          <w:tcPr>
            <w:tcW w:w="440" w:type="dxa"/>
            <w:vAlign w:val="bottom"/>
            <w:tcBorders>
              <w:right w:val="single" w:sz="8" w:color="auto"/>
            </w:tcBorders>
          </w:tcPr>
          <w:p>
            <w:pPr>
              <w:spacing w:after="0"/>
              <w:rPr>
                <w:sz w:val="24"/>
                <w:szCs w:val="24"/>
                <w:color w:val="auto"/>
              </w:rPr>
            </w:pPr>
          </w:p>
        </w:tc>
        <w:tc>
          <w:tcPr>
            <w:tcW w:w="9380" w:type="dxa"/>
            <w:vAlign w:val="bottom"/>
          </w:tcPr>
          <w:p>
            <w:pPr>
              <w:ind w:left="100"/>
              <w:spacing w:after="0"/>
              <w:rPr>
                <w:sz w:val="20"/>
                <w:szCs w:val="20"/>
                <w:color w:val="auto"/>
              </w:rPr>
            </w:pPr>
            <w:r>
              <w:rPr>
                <w:rFonts w:ascii="Arial" w:cs="Arial" w:eastAsia="Arial" w:hAnsi="Arial"/>
                <w:sz w:val="22"/>
                <w:szCs w:val="22"/>
                <w:color w:val="auto"/>
              </w:rPr>
              <w:t>4,469,018 (1)</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800" w:type="dxa"/>
            <w:vAlign w:val="bottom"/>
            <w:tcBorders>
              <w:right w:val="single" w:sz="8" w:color="auto"/>
            </w:tcBorders>
            <w:gridSpan w:val="2"/>
            <w:vMerge w:val="restart"/>
          </w:tcPr>
          <w:p>
            <w:pPr>
              <w:jc w:val="center"/>
              <w:ind w:right="183"/>
              <w:spacing w:after="0"/>
              <w:rPr>
                <w:sz w:val="20"/>
                <w:szCs w:val="20"/>
                <w:color w:val="auto"/>
              </w:rPr>
            </w:pPr>
            <w:r>
              <w:rPr>
                <w:rFonts w:ascii="Arial" w:cs="Arial" w:eastAsia="Arial" w:hAnsi="Arial"/>
                <w:sz w:val="18"/>
                <w:szCs w:val="18"/>
                <w:color w:val="auto"/>
                <w:w w:val="84"/>
              </w:rPr>
              <w:t>Shares</w:t>
            </w:r>
          </w:p>
        </w:tc>
        <w:tc>
          <w:tcPr>
            <w:tcW w:w="440" w:type="dxa"/>
            <w:vAlign w:val="bottom"/>
            <w:tcBorders>
              <w:bottom w:val="single" w:sz="8" w:color="auto"/>
              <w:right w:val="single" w:sz="8" w:color="auto"/>
            </w:tcBorders>
          </w:tcPr>
          <w:p>
            <w:pPr>
              <w:spacing w:after="0"/>
              <w:rPr>
                <w:sz w:val="3"/>
                <w:szCs w:val="3"/>
                <w:color w:val="auto"/>
              </w:rPr>
            </w:pPr>
          </w:p>
        </w:tc>
        <w:tc>
          <w:tcPr>
            <w:tcW w:w="9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800" w:type="dxa"/>
            <w:vAlign w:val="bottom"/>
            <w:tcBorders>
              <w:right w:val="single" w:sz="8" w:color="auto"/>
            </w:tcBorders>
            <w:gridSpan w:val="2"/>
            <w:vMerge w:val="continue"/>
          </w:tcPr>
          <w:p>
            <w:pPr>
              <w:spacing w:after="0"/>
              <w:rPr>
                <w:sz w:val="13"/>
                <w:szCs w:val="13"/>
                <w:color w:val="auto"/>
              </w:rPr>
            </w:pPr>
          </w:p>
        </w:tc>
        <w:tc>
          <w:tcPr>
            <w:tcW w:w="440" w:type="dxa"/>
            <w:vAlign w:val="bottom"/>
            <w:tcBorders>
              <w:right w:val="single" w:sz="8" w:color="auto"/>
            </w:tcBorders>
          </w:tcPr>
          <w:p>
            <w:pPr>
              <w:jc w:val="right"/>
              <w:ind w:right="30"/>
              <w:spacing w:after="0" w:line="156" w:lineRule="exact"/>
              <w:rPr>
                <w:sz w:val="20"/>
                <w:szCs w:val="20"/>
                <w:color w:val="auto"/>
              </w:rPr>
            </w:pPr>
            <w:r>
              <w:rPr>
                <w:rFonts w:ascii="Arial" w:cs="Arial" w:eastAsia="Arial" w:hAnsi="Arial"/>
                <w:sz w:val="18"/>
                <w:szCs w:val="18"/>
                <w:color w:val="auto"/>
              </w:rPr>
              <w:t>8.</w:t>
            </w:r>
          </w:p>
        </w:tc>
        <w:tc>
          <w:tcPr>
            <w:tcW w:w="93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440" w:type="dxa"/>
            <w:vAlign w:val="bottom"/>
            <w:tcBorders>
              <w:right w:val="single" w:sz="8" w:color="auto"/>
            </w:tcBorders>
          </w:tcPr>
          <w:p>
            <w:pPr>
              <w:spacing w:after="0"/>
              <w:rPr>
                <w:sz w:val="18"/>
                <w:szCs w:val="18"/>
                <w:color w:val="auto"/>
              </w:rPr>
            </w:pPr>
          </w:p>
        </w:tc>
        <w:tc>
          <w:tcPr>
            <w:tcW w:w="938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87"/>
              </w:rPr>
              <w:t>Each</w:t>
            </w:r>
          </w:p>
        </w:tc>
        <w:tc>
          <w:tcPr>
            <w:tcW w:w="440" w:type="dxa"/>
            <w:vAlign w:val="bottom"/>
            <w:tcBorders>
              <w:bottom w:val="single" w:sz="8" w:color="auto"/>
              <w:right w:val="single" w:sz="8" w:color="auto"/>
            </w:tcBorders>
          </w:tcPr>
          <w:p>
            <w:pPr>
              <w:spacing w:after="0"/>
              <w:rPr>
                <w:sz w:val="10"/>
                <w:szCs w:val="10"/>
                <w:color w:val="auto"/>
              </w:rPr>
            </w:pPr>
          </w:p>
        </w:tc>
        <w:tc>
          <w:tcPr>
            <w:tcW w:w="9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3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vMerge w:val="continue"/>
          </w:tcPr>
          <w:p>
            <w:pPr>
              <w:spacing w:after="0"/>
              <w:rPr>
                <w:sz w:val="13"/>
                <w:szCs w:val="13"/>
                <w:color w:val="auto"/>
              </w:rPr>
            </w:pPr>
          </w:p>
        </w:tc>
        <w:tc>
          <w:tcPr>
            <w:tcW w:w="9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9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183"/>
              <w:spacing w:after="0"/>
              <w:rPr>
                <w:sz w:val="20"/>
                <w:szCs w:val="20"/>
                <w:color w:val="auto"/>
              </w:rPr>
            </w:pPr>
            <w:r>
              <w:rPr>
                <w:rFonts w:ascii="Arial" w:cs="Arial" w:eastAsia="Arial" w:hAnsi="Arial"/>
                <w:sz w:val="18"/>
                <w:szCs w:val="18"/>
                <w:color w:val="auto"/>
                <w:w w:val="84"/>
              </w:rPr>
              <w:t>Person</w:t>
            </w:r>
          </w:p>
        </w:tc>
        <w:tc>
          <w:tcPr>
            <w:tcW w:w="440" w:type="dxa"/>
            <w:vAlign w:val="bottom"/>
            <w:tcBorders>
              <w:right w:val="single" w:sz="8" w:color="auto"/>
            </w:tcBorders>
          </w:tcPr>
          <w:p>
            <w:pPr>
              <w:spacing w:after="0"/>
              <w:rPr>
                <w:sz w:val="18"/>
                <w:szCs w:val="18"/>
                <w:color w:val="auto"/>
              </w:rPr>
            </w:pPr>
          </w:p>
        </w:tc>
        <w:tc>
          <w:tcPr>
            <w:tcW w:w="9380" w:type="dxa"/>
            <w:vAlign w:val="bottom"/>
            <w:vMerge w:val="restart"/>
          </w:tcPr>
          <w:p>
            <w:pPr>
              <w:ind w:left="100"/>
              <w:spacing w:after="0"/>
              <w:rPr>
                <w:sz w:val="20"/>
                <w:szCs w:val="20"/>
                <w:color w:val="auto"/>
              </w:rPr>
            </w:pPr>
            <w:r>
              <w:rPr>
                <w:rFonts w:ascii="Arial" w:cs="Arial" w:eastAsia="Arial" w:hAnsi="Arial"/>
                <w:sz w:val="22"/>
                <w:szCs w:val="22"/>
                <w:color w:val="auto"/>
              </w:rPr>
              <w:t>4,469,018 (1)</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Borders>
              <w:right w:val="single" w:sz="8" w:color="auto"/>
            </w:tcBorders>
          </w:tcPr>
          <w:p>
            <w:pPr>
              <w:jc w:val="center"/>
              <w:ind w:right="223"/>
              <w:spacing w:after="0" w:line="203" w:lineRule="exact"/>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right w:val="single" w:sz="8" w:color="auto"/>
            </w:tcBorders>
          </w:tcPr>
          <w:p>
            <w:pPr>
              <w:spacing w:after="0"/>
              <w:rPr>
                <w:sz w:val="17"/>
                <w:szCs w:val="17"/>
                <w:color w:val="auto"/>
              </w:rPr>
            </w:pPr>
          </w:p>
        </w:tc>
        <w:tc>
          <w:tcPr>
            <w:tcW w:w="9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93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4,469,018 (1) –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7.0%</w:t>
            </w:r>
          </w:p>
        </w:tc>
        <w:tc>
          <w:tcPr>
            <w:tcW w:w="4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4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80" w:hanging="424"/>
        <w:spacing w:after="0" w:line="277"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339,594 shares of Common Stock owned by Jewelcor Management, Inc. Mr. Holtzman is an indirect controlling shareholder of Jewelcor Management, Inc.</w:t>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CUSIP No. 25057L102</w:t>
            </w:r>
          </w:p>
        </w:tc>
        <w:tc>
          <w:tcPr>
            <w:tcW w:w="7020" w:type="dxa"/>
            <w:vAlign w:val="bottom"/>
          </w:tcPr>
          <w:p>
            <w:pPr>
              <w:ind w:left="1400"/>
              <w:spacing w:after="0"/>
              <w:rPr>
                <w:sz w:val="20"/>
                <w:szCs w:val="20"/>
                <w:color w:val="auto"/>
              </w:rPr>
            </w:pPr>
            <w:r>
              <w:rPr>
                <w:rFonts w:ascii="Arial" w:cs="Arial" w:eastAsia="Arial" w:hAnsi="Arial"/>
                <w:sz w:val="18"/>
                <w:szCs w:val="18"/>
                <w:color w:val="auto"/>
              </w:rPr>
              <w:t>13D</w:t>
            </w:r>
          </w:p>
        </w:tc>
      </w:tr>
      <w:tr>
        <w:trPr>
          <w:trHeight w:val="148"/>
        </w:trPr>
        <w:tc>
          <w:tcPr>
            <w:tcW w:w="4000" w:type="dxa"/>
            <w:vAlign w:val="bottom"/>
            <w:tcBorders>
              <w:bottom w:val="single" w:sz="8" w:color="auto"/>
            </w:tcBorders>
          </w:tcPr>
          <w:p>
            <w:pPr>
              <w:spacing w:after="0"/>
              <w:rPr>
                <w:sz w:val="12"/>
                <w:szCs w:val="12"/>
                <w:color w:val="auto"/>
              </w:rPr>
            </w:pPr>
          </w:p>
        </w:tc>
        <w:tc>
          <w:tcPr>
            <w:tcW w:w="7020" w:type="dxa"/>
            <w:vAlign w:val="bottom"/>
            <w:tcBorders>
              <w:bottom w:val="single" w:sz="8" w:color="auto"/>
            </w:tcBorders>
          </w:tcPr>
          <w:p>
            <w:pPr>
              <w:spacing w:after="0"/>
              <w:rPr>
                <w:sz w:val="12"/>
                <w:szCs w:val="12"/>
                <w:color w:val="auto"/>
              </w:rPr>
            </w:pPr>
          </w:p>
        </w:tc>
      </w:tr>
      <w:tr>
        <w:trPr>
          <w:trHeight w:val="224"/>
        </w:trPr>
        <w:tc>
          <w:tcPr>
            <w:tcW w:w="400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70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-154305</wp:posOffset>
            </wp:positionV>
            <wp:extent cx="8890" cy="6334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6334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-154305</wp:posOffset>
            </wp:positionV>
            <wp:extent cx="8890" cy="6334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6334760"/>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-154305</wp:posOffset>
            </wp:positionV>
            <wp:extent cx="8890" cy="2623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262318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Evelyn Holtzman</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5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(b)</w:t>
            </w:r>
          </w:p>
        </w:tc>
        <w:tc>
          <w:tcPr>
            <w:tcW w:w="9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9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NA</w:t>
            </w:r>
          </w:p>
        </w:tc>
        <w:tc>
          <w:tcPr>
            <w:tcW w:w="4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3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5"/>
              </w:rPr>
              <w:t>Number of</w:t>
            </w:r>
          </w:p>
        </w:tc>
        <w:tc>
          <w:tcPr>
            <w:tcW w:w="440" w:type="dxa"/>
            <w:vAlign w:val="bottom"/>
            <w:tcBorders>
              <w:right w:val="single" w:sz="8" w:color="auto"/>
            </w:tcBorders>
          </w:tcPr>
          <w:p>
            <w:pPr>
              <w:spacing w:after="0"/>
              <w:rPr>
                <w:sz w:val="24"/>
                <w:szCs w:val="24"/>
                <w:color w:val="auto"/>
              </w:rPr>
            </w:pPr>
          </w:p>
        </w:tc>
        <w:tc>
          <w:tcPr>
            <w:tcW w:w="9380" w:type="dxa"/>
            <w:vAlign w:val="bottom"/>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800" w:type="dxa"/>
            <w:vAlign w:val="bottom"/>
            <w:tcBorders>
              <w:right w:val="single" w:sz="8" w:color="auto"/>
            </w:tcBorders>
            <w:gridSpan w:val="2"/>
            <w:vMerge w:val="restart"/>
          </w:tcPr>
          <w:p>
            <w:pPr>
              <w:jc w:val="center"/>
              <w:ind w:right="183"/>
              <w:spacing w:after="0"/>
              <w:rPr>
                <w:sz w:val="20"/>
                <w:szCs w:val="20"/>
                <w:color w:val="auto"/>
              </w:rPr>
            </w:pPr>
            <w:r>
              <w:rPr>
                <w:rFonts w:ascii="Arial" w:cs="Arial" w:eastAsia="Arial" w:hAnsi="Arial"/>
                <w:sz w:val="18"/>
                <w:szCs w:val="18"/>
                <w:color w:val="auto"/>
                <w:w w:val="84"/>
              </w:rPr>
              <w:t>Shares</w:t>
            </w:r>
          </w:p>
        </w:tc>
        <w:tc>
          <w:tcPr>
            <w:tcW w:w="440" w:type="dxa"/>
            <w:vAlign w:val="bottom"/>
            <w:tcBorders>
              <w:bottom w:val="single" w:sz="8" w:color="auto"/>
              <w:right w:val="single" w:sz="8" w:color="auto"/>
            </w:tcBorders>
          </w:tcPr>
          <w:p>
            <w:pPr>
              <w:spacing w:after="0"/>
              <w:rPr>
                <w:sz w:val="3"/>
                <w:szCs w:val="3"/>
                <w:color w:val="auto"/>
              </w:rPr>
            </w:pPr>
          </w:p>
        </w:tc>
        <w:tc>
          <w:tcPr>
            <w:tcW w:w="9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800" w:type="dxa"/>
            <w:vAlign w:val="bottom"/>
            <w:tcBorders>
              <w:right w:val="single" w:sz="8" w:color="auto"/>
            </w:tcBorders>
            <w:gridSpan w:val="2"/>
            <w:vMerge w:val="continue"/>
          </w:tcPr>
          <w:p>
            <w:pPr>
              <w:spacing w:after="0"/>
              <w:rPr>
                <w:sz w:val="13"/>
                <w:szCs w:val="13"/>
                <w:color w:val="auto"/>
              </w:rPr>
            </w:pPr>
          </w:p>
        </w:tc>
        <w:tc>
          <w:tcPr>
            <w:tcW w:w="440" w:type="dxa"/>
            <w:vAlign w:val="bottom"/>
            <w:tcBorders>
              <w:right w:val="single" w:sz="8" w:color="auto"/>
            </w:tcBorders>
          </w:tcPr>
          <w:p>
            <w:pPr>
              <w:jc w:val="right"/>
              <w:ind w:right="30"/>
              <w:spacing w:after="0" w:line="156" w:lineRule="exact"/>
              <w:rPr>
                <w:sz w:val="20"/>
                <w:szCs w:val="20"/>
                <w:color w:val="auto"/>
              </w:rPr>
            </w:pPr>
            <w:r>
              <w:rPr>
                <w:rFonts w:ascii="Arial" w:cs="Arial" w:eastAsia="Arial" w:hAnsi="Arial"/>
                <w:sz w:val="18"/>
                <w:szCs w:val="18"/>
                <w:color w:val="auto"/>
              </w:rPr>
              <w:t>8.</w:t>
            </w:r>
          </w:p>
        </w:tc>
        <w:tc>
          <w:tcPr>
            <w:tcW w:w="93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440" w:type="dxa"/>
            <w:vAlign w:val="bottom"/>
            <w:tcBorders>
              <w:right w:val="single" w:sz="8" w:color="auto"/>
            </w:tcBorders>
          </w:tcPr>
          <w:p>
            <w:pPr>
              <w:spacing w:after="0"/>
              <w:rPr>
                <w:sz w:val="18"/>
                <w:szCs w:val="18"/>
                <w:color w:val="auto"/>
              </w:rPr>
            </w:pPr>
          </w:p>
        </w:tc>
        <w:tc>
          <w:tcPr>
            <w:tcW w:w="938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87"/>
              </w:rPr>
              <w:t>Each</w:t>
            </w:r>
          </w:p>
        </w:tc>
        <w:tc>
          <w:tcPr>
            <w:tcW w:w="440" w:type="dxa"/>
            <w:vAlign w:val="bottom"/>
            <w:tcBorders>
              <w:bottom w:val="single" w:sz="8" w:color="auto"/>
              <w:right w:val="single" w:sz="8" w:color="auto"/>
            </w:tcBorders>
          </w:tcPr>
          <w:p>
            <w:pPr>
              <w:spacing w:after="0"/>
              <w:rPr>
                <w:sz w:val="10"/>
                <w:szCs w:val="10"/>
                <w:color w:val="auto"/>
              </w:rPr>
            </w:pPr>
          </w:p>
        </w:tc>
        <w:tc>
          <w:tcPr>
            <w:tcW w:w="9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3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vMerge w:val="continue"/>
          </w:tcPr>
          <w:p>
            <w:pPr>
              <w:spacing w:after="0"/>
              <w:rPr>
                <w:sz w:val="13"/>
                <w:szCs w:val="13"/>
                <w:color w:val="auto"/>
              </w:rPr>
            </w:pPr>
          </w:p>
        </w:tc>
        <w:tc>
          <w:tcPr>
            <w:tcW w:w="9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9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183"/>
              <w:spacing w:after="0"/>
              <w:rPr>
                <w:sz w:val="20"/>
                <w:szCs w:val="20"/>
                <w:color w:val="auto"/>
              </w:rPr>
            </w:pPr>
            <w:r>
              <w:rPr>
                <w:rFonts w:ascii="Arial" w:cs="Arial" w:eastAsia="Arial" w:hAnsi="Arial"/>
                <w:sz w:val="18"/>
                <w:szCs w:val="18"/>
                <w:color w:val="auto"/>
                <w:w w:val="84"/>
              </w:rPr>
              <w:t>Person</w:t>
            </w:r>
          </w:p>
        </w:tc>
        <w:tc>
          <w:tcPr>
            <w:tcW w:w="440" w:type="dxa"/>
            <w:vAlign w:val="bottom"/>
            <w:tcBorders>
              <w:right w:val="single" w:sz="8" w:color="auto"/>
            </w:tcBorders>
          </w:tcPr>
          <w:p>
            <w:pPr>
              <w:spacing w:after="0"/>
              <w:rPr>
                <w:sz w:val="18"/>
                <w:szCs w:val="18"/>
                <w:color w:val="auto"/>
              </w:rPr>
            </w:pPr>
          </w:p>
        </w:tc>
        <w:tc>
          <w:tcPr>
            <w:tcW w:w="938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Borders>
              <w:right w:val="single" w:sz="8" w:color="auto"/>
            </w:tcBorders>
          </w:tcPr>
          <w:p>
            <w:pPr>
              <w:jc w:val="center"/>
              <w:ind w:right="223"/>
              <w:spacing w:after="0" w:line="203" w:lineRule="exact"/>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right w:val="single" w:sz="8" w:color="auto"/>
            </w:tcBorders>
          </w:tcPr>
          <w:p>
            <w:pPr>
              <w:spacing w:after="0"/>
              <w:rPr>
                <w:sz w:val="17"/>
                <w:szCs w:val="17"/>
                <w:color w:val="auto"/>
              </w:rPr>
            </w:pPr>
          </w:p>
        </w:tc>
        <w:tc>
          <w:tcPr>
            <w:tcW w:w="9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93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5"/>
              </w:rPr>
              <w:t>See Item 5.</w:t>
            </w: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5"/>
              </w:rPr>
              <w:t>See Item 5.</w:t>
            </w: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4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CUSIP No. 25057L102</w:t>
            </w:r>
          </w:p>
        </w:tc>
        <w:tc>
          <w:tcPr>
            <w:tcW w:w="7020" w:type="dxa"/>
            <w:vAlign w:val="bottom"/>
          </w:tcPr>
          <w:p>
            <w:pPr>
              <w:ind w:left="1400"/>
              <w:spacing w:after="0"/>
              <w:rPr>
                <w:sz w:val="20"/>
                <w:szCs w:val="20"/>
                <w:color w:val="auto"/>
              </w:rPr>
            </w:pPr>
            <w:r>
              <w:rPr>
                <w:rFonts w:ascii="Arial" w:cs="Arial" w:eastAsia="Arial" w:hAnsi="Arial"/>
                <w:sz w:val="18"/>
                <w:szCs w:val="18"/>
                <w:color w:val="auto"/>
              </w:rPr>
              <w:t>13D</w:t>
            </w:r>
          </w:p>
        </w:tc>
      </w:tr>
      <w:tr>
        <w:trPr>
          <w:trHeight w:val="148"/>
        </w:trPr>
        <w:tc>
          <w:tcPr>
            <w:tcW w:w="4000" w:type="dxa"/>
            <w:vAlign w:val="bottom"/>
            <w:tcBorders>
              <w:bottom w:val="single" w:sz="8" w:color="auto"/>
            </w:tcBorders>
          </w:tcPr>
          <w:p>
            <w:pPr>
              <w:spacing w:after="0"/>
              <w:rPr>
                <w:sz w:val="12"/>
                <w:szCs w:val="12"/>
                <w:color w:val="auto"/>
              </w:rPr>
            </w:pPr>
          </w:p>
        </w:tc>
        <w:tc>
          <w:tcPr>
            <w:tcW w:w="7020" w:type="dxa"/>
            <w:vAlign w:val="bottom"/>
            <w:tcBorders>
              <w:bottom w:val="single" w:sz="8" w:color="auto"/>
            </w:tcBorders>
          </w:tcPr>
          <w:p>
            <w:pPr>
              <w:spacing w:after="0"/>
              <w:rPr>
                <w:sz w:val="12"/>
                <w:szCs w:val="12"/>
                <w:color w:val="auto"/>
              </w:rPr>
            </w:pPr>
          </w:p>
        </w:tc>
      </w:tr>
      <w:tr>
        <w:trPr>
          <w:trHeight w:val="224"/>
        </w:trPr>
        <w:tc>
          <w:tcPr>
            <w:tcW w:w="400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70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-154305</wp:posOffset>
            </wp:positionV>
            <wp:extent cx="8890" cy="6335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63353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-154305</wp:posOffset>
            </wp:positionV>
            <wp:extent cx="8890" cy="6335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633539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-154305</wp:posOffset>
            </wp:positionV>
            <wp:extent cx="8890" cy="26231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262318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Jewelcor Management, Inc. 23-2331228</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5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(b)</w:t>
            </w:r>
          </w:p>
        </w:tc>
        <w:tc>
          <w:tcPr>
            <w:tcW w:w="9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9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NA</w:t>
            </w:r>
          </w:p>
        </w:tc>
        <w:tc>
          <w:tcPr>
            <w:tcW w:w="4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84"/>
              </w:rPr>
              <w:t>Nevada</w:t>
            </w:r>
          </w:p>
        </w:tc>
        <w:tc>
          <w:tcPr>
            <w:tcW w:w="4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3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5"/>
              </w:rPr>
              <w:t>Number of</w:t>
            </w:r>
          </w:p>
        </w:tc>
        <w:tc>
          <w:tcPr>
            <w:tcW w:w="440" w:type="dxa"/>
            <w:vAlign w:val="bottom"/>
            <w:tcBorders>
              <w:right w:val="single" w:sz="8" w:color="auto"/>
            </w:tcBorders>
          </w:tcPr>
          <w:p>
            <w:pPr>
              <w:spacing w:after="0"/>
              <w:rPr>
                <w:sz w:val="24"/>
                <w:szCs w:val="24"/>
                <w:color w:val="auto"/>
              </w:rPr>
            </w:pPr>
          </w:p>
        </w:tc>
        <w:tc>
          <w:tcPr>
            <w:tcW w:w="9380" w:type="dxa"/>
            <w:vAlign w:val="bottom"/>
          </w:tcPr>
          <w:p>
            <w:pPr>
              <w:ind w:left="100"/>
              <w:spacing w:after="0"/>
              <w:rPr>
                <w:sz w:val="20"/>
                <w:szCs w:val="20"/>
                <w:color w:val="auto"/>
              </w:rPr>
            </w:pPr>
            <w:r>
              <w:rPr>
                <w:rFonts w:ascii="Arial" w:cs="Arial" w:eastAsia="Arial" w:hAnsi="Arial"/>
                <w:sz w:val="22"/>
                <w:szCs w:val="22"/>
                <w:color w:val="auto"/>
              </w:rPr>
              <w:t>339,594</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800" w:type="dxa"/>
            <w:vAlign w:val="bottom"/>
            <w:tcBorders>
              <w:right w:val="single" w:sz="8" w:color="auto"/>
            </w:tcBorders>
            <w:gridSpan w:val="2"/>
            <w:vMerge w:val="restart"/>
          </w:tcPr>
          <w:p>
            <w:pPr>
              <w:jc w:val="center"/>
              <w:ind w:right="183"/>
              <w:spacing w:after="0"/>
              <w:rPr>
                <w:sz w:val="20"/>
                <w:szCs w:val="20"/>
                <w:color w:val="auto"/>
              </w:rPr>
            </w:pPr>
            <w:r>
              <w:rPr>
                <w:rFonts w:ascii="Arial" w:cs="Arial" w:eastAsia="Arial" w:hAnsi="Arial"/>
                <w:sz w:val="18"/>
                <w:szCs w:val="18"/>
                <w:color w:val="auto"/>
                <w:w w:val="84"/>
              </w:rPr>
              <w:t>Shares</w:t>
            </w:r>
          </w:p>
        </w:tc>
        <w:tc>
          <w:tcPr>
            <w:tcW w:w="440" w:type="dxa"/>
            <w:vAlign w:val="bottom"/>
            <w:tcBorders>
              <w:bottom w:val="single" w:sz="8" w:color="auto"/>
              <w:right w:val="single" w:sz="8" w:color="auto"/>
            </w:tcBorders>
          </w:tcPr>
          <w:p>
            <w:pPr>
              <w:spacing w:after="0"/>
              <w:rPr>
                <w:sz w:val="3"/>
                <w:szCs w:val="3"/>
                <w:color w:val="auto"/>
              </w:rPr>
            </w:pPr>
          </w:p>
        </w:tc>
        <w:tc>
          <w:tcPr>
            <w:tcW w:w="9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800" w:type="dxa"/>
            <w:vAlign w:val="bottom"/>
            <w:tcBorders>
              <w:right w:val="single" w:sz="8" w:color="auto"/>
            </w:tcBorders>
            <w:gridSpan w:val="2"/>
            <w:vMerge w:val="continue"/>
          </w:tcPr>
          <w:p>
            <w:pPr>
              <w:spacing w:after="0"/>
              <w:rPr>
                <w:sz w:val="13"/>
                <w:szCs w:val="13"/>
                <w:color w:val="auto"/>
              </w:rPr>
            </w:pPr>
          </w:p>
        </w:tc>
        <w:tc>
          <w:tcPr>
            <w:tcW w:w="440" w:type="dxa"/>
            <w:vAlign w:val="bottom"/>
            <w:tcBorders>
              <w:right w:val="single" w:sz="8" w:color="auto"/>
            </w:tcBorders>
          </w:tcPr>
          <w:p>
            <w:pPr>
              <w:jc w:val="right"/>
              <w:ind w:right="30"/>
              <w:spacing w:after="0" w:line="156" w:lineRule="exact"/>
              <w:rPr>
                <w:sz w:val="20"/>
                <w:szCs w:val="20"/>
                <w:color w:val="auto"/>
              </w:rPr>
            </w:pPr>
            <w:r>
              <w:rPr>
                <w:rFonts w:ascii="Arial" w:cs="Arial" w:eastAsia="Arial" w:hAnsi="Arial"/>
                <w:sz w:val="18"/>
                <w:szCs w:val="18"/>
                <w:color w:val="auto"/>
              </w:rPr>
              <w:t>8.</w:t>
            </w:r>
          </w:p>
        </w:tc>
        <w:tc>
          <w:tcPr>
            <w:tcW w:w="93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440" w:type="dxa"/>
            <w:vAlign w:val="bottom"/>
            <w:tcBorders>
              <w:right w:val="single" w:sz="8" w:color="auto"/>
            </w:tcBorders>
          </w:tcPr>
          <w:p>
            <w:pPr>
              <w:spacing w:after="0"/>
              <w:rPr>
                <w:sz w:val="18"/>
                <w:szCs w:val="18"/>
                <w:color w:val="auto"/>
              </w:rPr>
            </w:pPr>
          </w:p>
        </w:tc>
        <w:tc>
          <w:tcPr>
            <w:tcW w:w="938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87"/>
              </w:rPr>
              <w:t>Each</w:t>
            </w:r>
          </w:p>
        </w:tc>
        <w:tc>
          <w:tcPr>
            <w:tcW w:w="440" w:type="dxa"/>
            <w:vAlign w:val="bottom"/>
            <w:tcBorders>
              <w:bottom w:val="single" w:sz="8" w:color="auto"/>
              <w:right w:val="single" w:sz="8" w:color="auto"/>
            </w:tcBorders>
          </w:tcPr>
          <w:p>
            <w:pPr>
              <w:spacing w:after="0"/>
              <w:rPr>
                <w:sz w:val="10"/>
                <w:szCs w:val="10"/>
                <w:color w:val="auto"/>
              </w:rPr>
            </w:pPr>
          </w:p>
        </w:tc>
        <w:tc>
          <w:tcPr>
            <w:tcW w:w="9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93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vMerge w:val="continue"/>
          </w:tcPr>
          <w:p>
            <w:pPr>
              <w:spacing w:after="0"/>
              <w:rPr>
                <w:sz w:val="13"/>
                <w:szCs w:val="13"/>
                <w:color w:val="auto"/>
              </w:rPr>
            </w:pPr>
          </w:p>
        </w:tc>
        <w:tc>
          <w:tcPr>
            <w:tcW w:w="9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9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183"/>
              <w:spacing w:after="0"/>
              <w:rPr>
                <w:sz w:val="20"/>
                <w:szCs w:val="20"/>
                <w:color w:val="auto"/>
              </w:rPr>
            </w:pPr>
            <w:r>
              <w:rPr>
                <w:rFonts w:ascii="Arial" w:cs="Arial" w:eastAsia="Arial" w:hAnsi="Arial"/>
                <w:sz w:val="18"/>
                <w:szCs w:val="18"/>
                <w:color w:val="auto"/>
                <w:w w:val="84"/>
              </w:rPr>
              <w:t>Person</w:t>
            </w:r>
          </w:p>
        </w:tc>
        <w:tc>
          <w:tcPr>
            <w:tcW w:w="440" w:type="dxa"/>
            <w:vAlign w:val="bottom"/>
            <w:tcBorders>
              <w:right w:val="single" w:sz="8" w:color="auto"/>
            </w:tcBorders>
          </w:tcPr>
          <w:p>
            <w:pPr>
              <w:spacing w:after="0"/>
              <w:rPr>
                <w:sz w:val="18"/>
                <w:szCs w:val="18"/>
                <w:color w:val="auto"/>
              </w:rPr>
            </w:pPr>
          </w:p>
        </w:tc>
        <w:tc>
          <w:tcPr>
            <w:tcW w:w="9380" w:type="dxa"/>
            <w:vAlign w:val="bottom"/>
            <w:vMerge w:val="restart"/>
          </w:tcPr>
          <w:p>
            <w:pPr>
              <w:ind w:left="100"/>
              <w:spacing w:after="0"/>
              <w:rPr>
                <w:sz w:val="20"/>
                <w:szCs w:val="20"/>
                <w:color w:val="auto"/>
              </w:rPr>
            </w:pPr>
            <w:r>
              <w:rPr>
                <w:rFonts w:ascii="Arial" w:cs="Arial" w:eastAsia="Arial" w:hAnsi="Arial"/>
                <w:sz w:val="22"/>
                <w:szCs w:val="22"/>
                <w:color w:val="auto"/>
              </w:rPr>
              <w:t>339,594</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Borders>
              <w:right w:val="single" w:sz="8" w:color="auto"/>
            </w:tcBorders>
          </w:tcPr>
          <w:p>
            <w:pPr>
              <w:jc w:val="center"/>
              <w:ind w:right="223"/>
              <w:spacing w:after="0" w:line="203" w:lineRule="exact"/>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right w:val="single" w:sz="8" w:color="auto"/>
            </w:tcBorders>
          </w:tcPr>
          <w:p>
            <w:pPr>
              <w:spacing w:after="0"/>
              <w:rPr>
                <w:sz w:val="17"/>
                <w:szCs w:val="17"/>
                <w:color w:val="auto"/>
              </w:rPr>
            </w:pPr>
          </w:p>
        </w:tc>
        <w:tc>
          <w:tcPr>
            <w:tcW w:w="9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93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339,594 -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4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0.53%</w:t>
            </w:r>
          </w:p>
        </w:tc>
        <w:tc>
          <w:tcPr>
            <w:tcW w:w="4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19"/>
                <w:szCs w:val="19"/>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CO</w:t>
            </w:r>
          </w:p>
        </w:tc>
        <w:tc>
          <w:tcPr>
            <w:tcW w:w="4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This Amendment No. 62 amends and supplements the Schedule 13D, dated November 27, 1998, as amended to date (the “Schedule 13D”), originally filed with the Securities and Exchange Commission by Jewelcor Management, Inc. (“JMI”) and others with respect to the common stock, $.01 par value (the “Common Stock”), of Destination XL Group, Inc. (FKA Casual Male Retail Group, Inc.), a Delaware corporation (the “Issuer”). The address of the principal business and principal offices of the Issuer is 555 Turnpike Street, Canton, Massachusetts, 02021.</w:t>
      </w:r>
    </w:p>
    <w:p>
      <w:pPr>
        <w:sectPr>
          <w:pgSz w:w="11900" w:h="16838" w:orient="portrait"/>
          <w:cols w:equalWidth="0" w:num="1">
            <w:col w:w="11020"/>
          </w:cols>
          <w:pgMar w:left="440" w:top="274"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25057L102</w:t>
            </w:r>
          </w:p>
        </w:tc>
        <w:tc>
          <w:tcPr>
            <w:tcW w:w="2160" w:type="dxa"/>
            <w:vAlign w:val="bottom"/>
          </w:tcPr>
          <w:p>
            <w:pPr>
              <w:ind w:left="1840"/>
              <w:spacing w:after="0"/>
              <w:rPr>
                <w:sz w:val="20"/>
                <w:szCs w:val="20"/>
                <w:color w:val="auto"/>
              </w:rPr>
            </w:pPr>
            <w:r>
              <w:rPr>
                <w:rFonts w:ascii="Arial" w:cs="Arial" w:eastAsia="Arial" w:hAnsi="Arial"/>
                <w:sz w:val="18"/>
                <w:szCs w:val="18"/>
                <w:color w:val="auto"/>
                <w:w w:val="90"/>
              </w:rPr>
              <w:t>13D</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5(a) of the Schedule 13D is hereby amended and supplemented as follows:</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As of July 30, 2021, the Reporting Persons, except for JMI, included in this filing may be deemed to be the beneficial owners of 4,469,018 shares of the Issuer’s Common Stock, representing an aggregate of approximately 7.0% of the outstanding shares of the Issuer’s Common Stock based upon the 63,526,601 shares of Common Stock outstanding as of May 14, 2021 as reported by the Issuer in its Form 10-K/A filed on June 1, 2021. Such amount includes 339,954 shares of Common Stock owned by JMI. Mr. Holtzman is an indirect controlling shareholder of JMI.</w:t>
      </w:r>
    </w:p>
    <w:p>
      <w:pPr>
        <w:spacing w:after="0" w:line="171"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As of July 30, 2021, JMI beneficially owns 339,954 shares of the Issuer’s Common Stock, representing an aggregate of approximately 0.53% of the outstanding shares of the Issuer’s Common Stock. Mr. Holtzman is an indirect controlling shareholder of JMI.</w:t>
      </w:r>
    </w:p>
    <w:p>
      <w:pPr>
        <w:spacing w:after="0" w:line="146"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As of July 30, 2021, the Reporting Persons beneficially own an aggregate of 4,469,018 shares of the Issuer’s Common Stock, representing an aggregate of approximately 7.0% of the outstanding shares of the Issuer’s Common Stock based upon the 63,526,601 shares of Common Stock outstanding.</w:t>
      </w:r>
    </w:p>
    <w:p>
      <w:pPr>
        <w:sectPr>
          <w:pgSz w:w="11900" w:h="16838" w:orient="portrait"/>
          <w:cols w:equalWidth="0" w:num="1">
            <w:col w:w="10920"/>
          </w:cols>
          <w:pgMar w:left="440" w:top="270" w:right="5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25057L102</w:t>
            </w:r>
          </w:p>
        </w:tc>
        <w:tc>
          <w:tcPr>
            <w:tcW w:w="2160" w:type="dxa"/>
            <w:vAlign w:val="bottom"/>
          </w:tcPr>
          <w:p>
            <w:pPr>
              <w:ind w:left="1840"/>
              <w:spacing w:after="0"/>
              <w:rPr>
                <w:sz w:val="20"/>
                <w:szCs w:val="20"/>
                <w:color w:val="auto"/>
              </w:rPr>
            </w:pPr>
            <w:r>
              <w:rPr>
                <w:rFonts w:ascii="Arial" w:cs="Arial" w:eastAsia="Arial" w:hAnsi="Arial"/>
                <w:sz w:val="18"/>
                <w:szCs w:val="18"/>
                <w:color w:val="auto"/>
                <w:w w:val="90"/>
              </w:rPr>
              <w:t>13D</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August 5,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Seymour Holtzman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Evelyn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Evelyn Holtzman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JEWELCOR MANAGEMENT,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Seymour Holtzman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sectPr>
      <w:pgSz w:w="11900" w:h="16838" w:orient="portrait"/>
      <w:cols w:equalWidth="0" w:num="1">
        <w:col w:w="10460"/>
      </w:cols>
      <w:pgMar w:left="4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2021-08-05T07:55:00Z</dcterms:created>
  <dcterms:modified xsi:type="dcterms:W3CDTF">2021-08-05T07:55:00Z</dcterms:modified>
</cp:coreProperties>
</file>