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9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157480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183515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1" w:lineRule="exact"/>
        <w:rPr>
          <w:sz w:val="24"/>
          <w:szCs w:val="24"/>
          <w:color w:val="auto"/>
        </w:rPr>
      </w:pPr>
    </w:p>
    <w:p>
      <w:pPr>
        <w:jc w:val="center"/>
        <w:ind w:right="-39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39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184785</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05" w:lineRule="exact"/>
        <w:rPr>
          <w:sz w:val="24"/>
          <w:szCs w:val="24"/>
          <w:color w:val="auto"/>
        </w:rPr>
      </w:pPr>
    </w:p>
    <w:p>
      <w:pPr>
        <w:jc w:val="center"/>
        <w:ind w:right="-399"/>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203835</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50" w:lineRule="exact"/>
        <w:rPr>
          <w:sz w:val="24"/>
          <w:szCs w:val="24"/>
          <w:color w:val="auto"/>
        </w:rPr>
      </w:pPr>
    </w:p>
    <w:p>
      <w:pPr>
        <w:jc w:val="center"/>
        <w:ind w:right="-399"/>
        <w:spacing w:after="0"/>
        <w:rPr>
          <w:sz w:val="20"/>
          <w:szCs w:val="20"/>
          <w:color w:val="auto"/>
        </w:rPr>
      </w:pPr>
      <w:r>
        <w:rPr>
          <w:rFonts w:ascii="Arial" w:cs="Arial" w:eastAsia="Arial" w:hAnsi="Arial"/>
          <w:sz w:val="22"/>
          <w:szCs w:val="22"/>
          <w:b w:val="1"/>
          <w:bCs w:val="1"/>
          <w:color w:val="auto"/>
        </w:rPr>
        <w:t>CURRENT REPORT</w:t>
      </w:r>
    </w:p>
    <w:p>
      <w:pPr>
        <w:spacing w:after="0" w:line="4" w:lineRule="exact"/>
        <w:rPr>
          <w:sz w:val="24"/>
          <w:szCs w:val="24"/>
          <w:color w:val="auto"/>
        </w:rPr>
      </w:pPr>
    </w:p>
    <w:p>
      <w:pPr>
        <w:jc w:val="center"/>
        <w:ind w:right="-399"/>
        <w:spacing w:after="0"/>
        <w:rPr>
          <w:sz w:val="20"/>
          <w:szCs w:val="20"/>
          <w:color w:val="auto"/>
        </w:rPr>
      </w:pPr>
      <w:r>
        <w:rPr>
          <w:rFonts w:ascii="Arial" w:cs="Arial" w:eastAsia="Arial" w:hAnsi="Arial"/>
          <w:sz w:val="22"/>
          <w:szCs w:val="22"/>
          <w:b w:val="1"/>
          <w:bCs w:val="1"/>
          <w:color w:val="auto"/>
        </w:rPr>
        <w:t>PURSUANT TO SECTION 13 OR 15(d) OF THE</w:t>
      </w:r>
    </w:p>
    <w:p>
      <w:pPr>
        <w:jc w:val="center"/>
        <w:ind w:right="-399"/>
        <w:spacing w:after="0"/>
        <w:rPr>
          <w:sz w:val="20"/>
          <w:szCs w:val="20"/>
          <w:color w:val="auto"/>
        </w:rPr>
      </w:pPr>
      <w:r>
        <w:rPr>
          <w:rFonts w:ascii="Arial" w:cs="Arial" w:eastAsia="Arial" w:hAnsi="Arial"/>
          <w:sz w:val="22"/>
          <w:szCs w:val="22"/>
          <w:b w:val="1"/>
          <w:bCs w:val="1"/>
          <w:color w:val="auto"/>
        </w:rPr>
        <w:t>SECURITIES EXCHANGE ACT OF 1934</w:t>
      </w:r>
    </w:p>
    <w:p>
      <w:pPr>
        <w:spacing w:after="0" w:line="141" w:lineRule="exact"/>
        <w:rPr>
          <w:sz w:val="24"/>
          <w:szCs w:val="24"/>
          <w:color w:val="auto"/>
        </w:rPr>
      </w:pPr>
    </w:p>
    <w:p>
      <w:pPr>
        <w:jc w:val="center"/>
        <w:ind w:right="-399"/>
        <w:spacing w:after="0"/>
        <w:rPr>
          <w:sz w:val="20"/>
          <w:szCs w:val="20"/>
          <w:color w:val="auto"/>
        </w:rPr>
      </w:pPr>
      <w:r>
        <w:rPr>
          <w:rFonts w:ascii="Arial" w:cs="Arial" w:eastAsia="Arial" w:hAnsi="Arial"/>
          <w:sz w:val="18"/>
          <w:szCs w:val="18"/>
          <w:b w:val="1"/>
          <w:bCs w:val="1"/>
          <w:color w:val="auto"/>
        </w:rPr>
        <w:t>Date of Report (Date of earliest event reported): January 29, 2009</w:t>
      </w:r>
    </w:p>
    <w:p>
      <w:pPr>
        <w:spacing w:after="0" w:line="171" w:lineRule="exact"/>
        <w:rPr>
          <w:sz w:val="24"/>
          <w:szCs w:val="24"/>
          <w:color w:val="auto"/>
        </w:rPr>
      </w:pPr>
    </w:p>
    <w:p>
      <w:pPr>
        <w:jc w:val="center"/>
        <w:ind w:right="-399"/>
        <w:spacing w:after="0"/>
        <w:rPr>
          <w:sz w:val="20"/>
          <w:szCs w:val="20"/>
          <w:color w:val="auto"/>
        </w:rPr>
      </w:pPr>
      <w:r>
        <w:rPr>
          <w:rFonts w:ascii="Arial" w:cs="Arial" w:eastAsia="Arial" w:hAnsi="Arial"/>
          <w:sz w:val="18"/>
          <w:szCs w:val="18"/>
          <w:b w:val="1"/>
          <w:bCs w:val="1"/>
          <w:color w:val="auto"/>
        </w:rPr>
        <w:t>0-15898</w:t>
      </w:r>
    </w:p>
    <w:p>
      <w:pPr>
        <w:spacing w:after="0" w:line="21" w:lineRule="exact"/>
        <w:rPr>
          <w:sz w:val="24"/>
          <w:szCs w:val="24"/>
          <w:color w:val="auto"/>
        </w:rPr>
      </w:pPr>
    </w:p>
    <w:p>
      <w:pPr>
        <w:jc w:val="center"/>
        <w:ind w:right="-399"/>
        <w:spacing w:after="0"/>
        <w:rPr>
          <w:sz w:val="20"/>
          <w:szCs w:val="20"/>
          <w:color w:val="auto"/>
        </w:rPr>
      </w:pPr>
      <w:r>
        <w:rPr>
          <w:rFonts w:ascii="Arial" w:cs="Arial" w:eastAsia="Arial" w:hAnsi="Arial"/>
          <w:sz w:val="14"/>
          <w:szCs w:val="14"/>
          <w:b w:val="1"/>
          <w:bCs w:val="1"/>
          <w:color w:val="auto"/>
        </w:rPr>
        <w:t>(Commission File Number)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173355</wp:posOffset>
            </wp:positionV>
            <wp:extent cx="15176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385" w:lineRule="exact"/>
        <w:rPr>
          <w:sz w:val="24"/>
          <w:szCs w:val="24"/>
          <w:color w:val="auto"/>
        </w:rPr>
      </w:pPr>
    </w:p>
    <w:p>
      <w:pPr>
        <w:ind w:left="1880"/>
        <w:spacing w:after="0"/>
        <w:rPr>
          <w:sz w:val="20"/>
          <w:szCs w:val="20"/>
          <w:color w:val="auto"/>
        </w:rPr>
      </w:pPr>
      <w:r>
        <w:rPr>
          <w:rFonts w:ascii="Arial" w:cs="Arial" w:eastAsia="Arial" w:hAnsi="Arial"/>
          <w:sz w:val="43"/>
          <w:szCs w:val="43"/>
          <w:b w:val="1"/>
          <w:bCs w:val="1"/>
          <w:color w:val="auto"/>
        </w:rPr>
        <w:t>CASUAL MALE RETAIL GROUP, INC.</w:t>
      </w:r>
    </w:p>
    <w:p>
      <w:pPr>
        <w:spacing w:after="0" w:line="50" w:lineRule="exact"/>
        <w:rPr>
          <w:sz w:val="24"/>
          <w:szCs w:val="24"/>
          <w:color w:val="auto"/>
        </w:rPr>
      </w:pPr>
    </w:p>
    <w:tbl>
      <w:tblPr>
        <w:tblLayout w:type="fixed"/>
        <w:tblInd w:w="2180" w:type="dxa"/>
        <w:tblCellMar>
          <w:top w:w="0" w:type="dxa"/>
          <w:left w:w="0" w:type="dxa"/>
          <w:bottom w:w="0" w:type="dxa"/>
          <w:right w:w="0" w:type="dxa"/>
        </w:tblCellMar>
      </w:tblPr>
      <w:tr>
        <w:trPr>
          <w:trHeight w:val="174"/>
        </w:trPr>
        <w:tc>
          <w:tcPr>
            <w:tcW w:w="1500" w:type="dxa"/>
            <w:vAlign w:val="bottom"/>
          </w:tcPr>
          <w:p>
            <w:pPr>
              <w:spacing w:after="0"/>
              <w:rPr>
                <w:sz w:val="15"/>
                <w:szCs w:val="15"/>
                <w:color w:val="auto"/>
              </w:rPr>
            </w:pPr>
          </w:p>
        </w:tc>
        <w:tc>
          <w:tcPr>
            <w:tcW w:w="5680" w:type="dxa"/>
            <w:vAlign w:val="bottom"/>
            <w:gridSpan w:val="3"/>
          </w:tcPr>
          <w:p>
            <w:pPr>
              <w:jc w:val="center"/>
              <w:ind w:right="1552"/>
              <w:spacing w:after="0"/>
              <w:rPr>
                <w:sz w:val="20"/>
                <w:szCs w:val="20"/>
                <w:color w:val="auto"/>
              </w:rPr>
            </w:pPr>
            <w:r>
              <w:rPr>
                <w:rFonts w:ascii="Arial" w:cs="Arial" w:eastAsia="Arial" w:hAnsi="Arial"/>
                <w:sz w:val="14"/>
                <w:szCs w:val="14"/>
                <w:b w:val="1"/>
                <w:bCs w:val="1"/>
                <w:color w:val="auto"/>
                <w:w w:val="86"/>
              </w:rPr>
              <w:t>(Exact name of registrant as specified in its charter)</w:t>
            </w:r>
          </w:p>
        </w:tc>
      </w:tr>
      <w:tr>
        <w:trPr>
          <w:trHeight w:val="270"/>
        </w:trPr>
        <w:tc>
          <w:tcPr>
            <w:tcW w:w="150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2380" w:type="dxa"/>
            <w:vAlign w:val="bottom"/>
            <w:tcBorders>
              <w:bottom w:val="single" w:sz="8" w:color="auto"/>
            </w:tcBorders>
          </w:tcPr>
          <w:p>
            <w:pPr>
              <w:spacing w:after="0"/>
              <w:rPr>
                <w:sz w:val="23"/>
                <w:szCs w:val="23"/>
                <w:color w:val="auto"/>
              </w:rPr>
            </w:pPr>
          </w:p>
        </w:tc>
        <w:tc>
          <w:tcPr>
            <w:tcW w:w="2460" w:type="dxa"/>
            <w:vAlign w:val="bottom"/>
          </w:tcPr>
          <w:p>
            <w:pPr>
              <w:spacing w:after="0"/>
              <w:rPr>
                <w:sz w:val="23"/>
                <w:szCs w:val="23"/>
                <w:color w:val="auto"/>
              </w:rPr>
            </w:pPr>
          </w:p>
        </w:tc>
      </w:tr>
      <w:tr>
        <w:trPr>
          <w:trHeight w:val="426"/>
        </w:trPr>
        <w:tc>
          <w:tcPr>
            <w:tcW w:w="1500" w:type="dxa"/>
            <w:vAlign w:val="bottom"/>
          </w:tcPr>
          <w:p>
            <w:pPr>
              <w:jc w:val="center"/>
              <w:ind w:right="42"/>
              <w:spacing w:after="0"/>
              <w:rPr>
                <w:sz w:val="20"/>
                <w:szCs w:val="20"/>
                <w:color w:val="auto"/>
              </w:rPr>
            </w:pPr>
            <w:r>
              <w:rPr>
                <w:rFonts w:ascii="Arial" w:cs="Arial" w:eastAsia="Arial" w:hAnsi="Arial"/>
                <w:sz w:val="18"/>
                <w:szCs w:val="18"/>
                <w:b w:val="1"/>
                <w:bCs w:val="1"/>
                <w:color w:val="auto"/>
                <w:w w:val="88"/>
              </w:rPr>
              <w:t>Delaware</w:t>
            </w:r>
          </w:p>
        </w:tc>
        <w:tc>
          <w:tcPr>
            <w:tcW w:w="5680" w:type="dxa"/>
            <w:vAlign w:val="bottom"/>
            <w:gridSpan w:val="3"/>
          </w:tcPr>
          <w:p>
            <w:pPr>
              <w:jc w:val="center"/>
              <w:ind w:left="4240"/>
              <w:spacing w:after="0"/>
              <w:rPr>
                <w:sz w:val="20"/>
                <w:szCs w:val="20"/>
                <w:color w:val="auto"/>
              </w:rPr>
            </w:pPr>
            <w:r>
              <w:rPr>
                <w:rFonts w:ascii="Arial" w:cs="Arial" w:eastAsia="Arial" w:hAnsi="Arial"/>
                <w:sz w:val="18"/>
                <w:szCs w:val="18"/>
                <w:b w:val="1"/>
                <w:bCs w:val="1"/>
                <w:color w:val="auto"/>
                <w:w w:val="87"/>
              </w:rPr>
              <w:t>04-2623104</w:t>
            </w:r>
          </w:p>
        </w:tc>
      </w:tr>
      <w:tr>
        <w:trPr>
          <w:trHeight w:val="149"/>
        </w:trPr>
        <w:tc>
          <w:tcPr>
            <w:tcW w:w="1500" w:type="dxa"/>
            <w:vAlign w:val="bottom"/>
          </w:tcPr>
          <w:p>
            <w:pPr>
              <w:jc w:val="center"/>
              <w:ind w:right="42"/>
              <w:spacing w:after="0" w:line="149" w:lineRule="exact"/>
              <w:rPr>
                <w:sz w:val="20"/>
                <w:szCs w:val="20"/>
                <w:color w:val="auto"/>
              </w:rPr>
            </w:pPr>
            <w:r>
              <w:rPr>
                <w:rFonts w:ascii="Arial" w:cs="Arial" w:eastAsia="Arial" w:hAnsi="Arial"/>
                <w:sz w:val="14"/>
                <w:szCs w:val="14"/>
                <w:b w:val="1"/>
                <w:bCs w:val="1"/>
                <w:color w:val="auto"/>
                <w:w w:val="89"/>
              </w:rPr>
              <w:t>(State of Incorporation)</w:t>
            </w:r>
          </w:p>
        </w:tc>
        <w:tc>
          <w:tcPr>
            <w:tcW w:w="840" w:type="dxa"/>
            <w:vAlign w:val="bottom"/>
          </w:tcPr>
          <w:p>
            <w:pPr>
              <w:spacing w:after="0"/>
              <w:rPr>
                <w:sz w:val="12"/>
                <w:szCs w:val="12"/>
                <w:color w:val="auto"/>
              </w:rPr>
            </w:pPr>
          </w:p>
        </w:tc>
        <w:tc>
          <w:tcPr>
            <w:tcW w:w="2380" w:type="dxa"/>
            <w:vAlign w:val="bottom"/>
          </w:tcPr>
          <w:p>
            <w:pPr>
              <w:spacing w:after="0"/>
              <w:rPr>
                <w:sz w:val="12"/>
                <w:szCs w:val="12"/>
                <w:color w:val="auto"/>
              </w:rPr>
            </w:pPr>
          </w:p>
        </w:tc>
        <w:tc>
          <w:tcPr>
            <w:tcW w:w="2460" w:type="dxa"/>
            <w:vAlign w:val="bottom"/>
          </w:tcPr>
          <w:p>
            <w:pPr>
              <w:jc w:val="center"/>
              <w:ind w:left="1032"/>
              <w:spacing w:after="0" w:line="149" w:lineRule="exact"/>
              <w:rPr>
                <w:sz w:val="20"/>
                <w:szCs w:val="20"/>
                <w:color w:val="auto"/>
              </w:rPr>
            </w:pPr>
            <w:r>
              <w:rPr>
                <w:rFonts w:ascii="Arial" w:cs="Arial" w:eastAsia="Arial" w:hAnsi="Arial"/>
                <w:sz w:val="14"/>
                <w:szCs w:val="14"/>
                <w:b w:val="1"/>
                <w:bCs w:val="1"/>
                <w:color w:val="auto"/>
                <w:w w:val="91"/>
              </w:rPr>
              <w:t>(IRS Employer</w:t>
            </w:r>
          </w:p>
        </w:tc>
      </w:tr>
      <w:tr>
        <w:trPr>
          <w:trHeight w:val="174"/>
        </w:trPr>
        <w:tc>
          <w:tcPr>
            <w:tcW w:w="15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380" w:type="dxa"/>
            <w:vAlign w:val="bottom"/>
          </w:tcPr>
          <w:p>
            <w:pPr>
              <w:spacing w:after="0"/>
              <w:rPr>
                <w:sz w:val="15"/>
                <w:szCs w:val="15"/>
                <w:color w:val="auto"/>
              </w:rPr>
            </w:pPr>
          </w:p>
        </w:tc>
        <w:tc>
          <w:tcPr>
            <w:tcW w:w="2460" w:type="dxa"/>
            <w:vAlign w:val="bottom"/>
          </w:tcPr>
          <w:p>
            <w:pPr>
              <w:jc w:val="center"/>
              <w:ind w:left="1052"/>
              <w:spacing w:after="0"/>
              <w:rPr>
                <w:sz w:val="20"/>
                <w:szCs w:val="20"/>
                <w:color w:val="auto"/>
              </w:rPr>
            </w:pPr>
            <w:r>
              <w:rPr>
                <w:rFonts w:ascii="Arial" w:cs="Arial" w:eastAsia="Arial" w:hAnsi="Arial"/>
                <w:sz w:val="14"/>
                <w:szCs w:val="14"/>
                <w:b w:val="1"/>
                <w:bCs w:val="1"/>
                <w:color w:val="auto"/>
                <w:w w:val="90"/>
              </w:rPr>
              <w:t>Identification Number)</w:t>
            </w:r>
          </w:p>
        </w:tc>
      </w:tr>
      <w:tr>
        <w:trPr>
          <w:trHeight w:val="366"/>
        </w:trPr>
        <w:tc>
          <w:tcPr>
            <w:tcW w:w="1500" w:type="dxa"/>
            <w:vAlign w:val="bottom"/>
          </w:tcPr>
          <w:p>
            <w:pPr>
              <w:spacing w:after="0"/>
              <w:rPr>
                <w:sz w:val="24"/>
                <w:szCs w:val="24"/>
                <w:color w:val="auto"/>
              </w:rPr>
            </w:pPr>
          </w:p>
        </w:tc>
        <w:tc>
          <w:tcPr>
            <w:tcW w:w="5680" w:type="dxa"/>
            <w:vAlign w:val="bottom"/>
            <w:gridSpan w:val="3"/>
          </w:tcPr>
          <w:p>
            <w:pPr>
              <w:jc w:val="center"/>
              <w:ind w:right="1552"/>
              <w:spacing w:after="0"/>
              <w:rPr>
                <w:sz w:val="20"/>
                <w:szCs w:val="20"/>
                <w:color w:val="auto"/>
              </w:rPr>
            </w:pPr>
            <w:r>
              <w:rPr>
                <w:rFonts w:ascii="Arial" w:cs="Arial" w:eastAsia="Arial" w:hAnsi="Arial"/>
                <w:sz w:val="18"/>
                <w:szCs w:val="18"/>
                <w:b w:val="1"/>
                <w:bCs w:val="1"/>
                <w:color w:val="auto"/>
                <w:w w:val="87"/>
              </w:rPr>
              <w:t>555 Turnpike Street, Canton, Massachusetts 02021</w:t>
            </w:r>
          </w:p>
        </w:tc>
      </w:tr>
      <w:tr>
        <w:trPr>
          <w:trHeight w:val="174"/>
        </w:trPr>
        <w:tc>
          <w:tcPr>
            <w:tcW w:w="1500" w:type="dxa"/>
            <w:vAlign w:val="bottom"/>
          </w:tcPr>
          <w:p>
            <w:pPr>
              <w:spacing w:after="0"/>
              <w:rPr>
                <w:sz w:val="15"/>
                <w:szCs w:val="15"/>
                <w:color w:val="auto"/>
              </w:rPr>
            </w:pPr>
          </w:p>
        </w:tc>
        <w:tc>
          <w:tcPr>
            <w:tcW w:w="5680" w:type="dxa"/>
            <w:vAlign w:val="bottom"/>
            <w:gridSpan w:val="3"/>
          </w:tcPr>
          <w:p>
            <w:pPr>
              <w:jc w:val="center"/>
              <w:ind w:right="1532"/>
              <w:spacing w:after="0"/>
              <w:rPr>
                <w:sz w:val="20"/>
                <w:szCs w:val="20"/>
                <w:color w:val="auto"/>
              </w:rPr>
            </w:pPr>
            <w:r>
              <w:rPr>
                <w:rFonts w:ascii="Arial" w:cs="Arial" w:eastAsia="Arial" w:hAnsi="Arial"/>
                <w:sz w:val="14"/>
                <w:szCs w:val="14"/>
                <w:b w:val="1"/>
                <w:bCs w:val="1"/>
                <w:color w:val="auto"/>
                <w:w w:val="86"/>
              </w:rPr>
              <w:t>(Address of registrant’s principal executive office)</w:t>
            </w:r>
          </w:p>
        </w:tc>
      </w:tr>
      <w:tr>
        <w:trPr>
          <w:trHeight w:val="352"/>
        </w:trPr>
        <w:tc>
          <w:tcPr>
            <w:tcW w:w="1500" w:type="dxa"/>
            <w:vAlign w:val="bottom"/>
          </w:tcPr>
          <w:p>
            <w:pPr>
              <w:spacing w:after="0"/>
              <w:rPr>
                <w:sz w:val="24"/>
                <w:szCs w:val="24"/>
                <w:color w:val="auto"/>
              </w:rPr>
            </w:pPr>
          </w:p>
        </w:tc>
        <w:tc>
          <w:tcPr>
            <w:tcW w:w="3220" w:type="dxa"/>
            <w:vAlign w:val="bottom"/>
            <w:gridSpan w:val="2"/>
          </w:tcPr>
          <w:p>
            <w:pPr>
              <w:jc w:val="center"/>
              <w:ind w:left="760"/>
              <w:spacing w:after="0"/>
              <w:rPr>
                <w:sz w:val="20"/>
                <w:szCs w:val="20"/>
                <w:color w:val="auto"/>
              </w:rPr>
            </w:pPr>
            <w:r>
              <w:rPr>
                <w:rFonts w:ascii="Arial" w:cs="Arial" w:eastAsia="Arial" w:hAnsi="Arial"/>
                <w:sz w:val="18"/>
                <w:szCs w:val="18"/>
                <w:b w:val="1"/>
                <w:bCs w:val="1"/>
                <w:color w:val="auto"/>
                <w:w w:val="89"/>
              </w:rPr>
              <w:t>(781) 828-9300</w:t>
            </w:r>
          </w:p>
        </w:tc>
        <w:tc>
          <w:tcPr>
            <w:tcW w:w="2460" w:type="dxa"/>
            <w:vAlign w:val="bottom"/>
          </w:tcPr>
          <w:p>
            <w:pPr>
              <w:spacing w:after="0"/>
              <w:rPr>
                <w:sz w:val="24"/>
                <w:szCs w:val="24"/>
                <w:color w:val="auto"/>
              </w:rPr>
            </w:pPr>
          </w:p>
        </w:tc>
      </w:tr>
      <w:tr>
        <w:trPr>
          <w:trHeight w:val="174"/>
        </w:trPr>
        <w:tc>
          <w:tcPr>
            <w:tcW w:w="15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4840" w:type="dxa"/>
            <w:vAlign w:val="bottom"/>
            <w:gridSpan w:val="2"/>
          </w:tcPr>
          <w:p>
            <w:pPr>
              <w:jc w:val="center"/>
              <w:ind w:right="2392"/>
              <w:spacing w:after="0"/>
              <w:rPr>
                <w:sz w:val="20"/>
                <w:szCs w:val="20"/>
                <w:color w:val="auto"/>
              </w:rPr>
            </w:pPr>
            <w:r>
              <w:rPr>
                <w:rFonts w:ascii="Arial" w:cs="Arial" w:eastAsia="Arial" w:hAnsi="Arial"/>
                <w:sz w:val="14"/>
                <w:szCs w:val="14"/>
                <w:b w:val="1"/>
                <w:bCs w:val="1"/>
                <w:color w:val="auto"/>
                <w:w w:val="86"/>
              </w:rPr>
              <w:t>(Registrant’s telephone number)</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172085</wp:posOffset>
            </wp:positionV>
            <wp:extent cx="15176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18" w:lineRule="exact"/>
        <w:rPr>
          <w:sz w:val="24"/>
          <w:szCs w:val="24"/>
          <w:color w:val="auto"/>
        </w:rPr>
      </w:pPr>
    </w:p>
    <w:p>
      <w:pPr>
        <w:spacing w:after="0" w:line="268"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172" w:lineRule="exact"/>
        <w:rPr>
          <w:sz w:val="24"/>
          <w:szCs w:val="24"/>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11"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211"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Act(17 CFR 240.14d-2(b))</w:t>
      </w:r>
    </w:p>
    <w:p>
      <w:pPr>
        <w:spacing w:after="0" w:line="211"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88265</wp:posOffset>
            </wp:positionV>
            <wp:extent cx="72466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114300</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020"/>
          </w:cols>
          <w:pgMar w:left="240" w:top="301" w:right="639" w:bottom="1440" w:gutter="0" w:footer="0" w:header="0"/>
        </w:sectPr>
      </w:pPr>
    </w:p>
    <w:bookmarkStart w:id="1" w:name="page2"/>
    <w:bookmarkEnd w:id="1"/>
    <w:p>
      <w:pPr>
        <w:ind w:left="1040" w:right="460" w:hanging="1025"/>
        <w:spacing w:after="0" w:line="275" w:lineRule="auto"/>
        <w:tabs>
          <w:tab w:leader="none" w:pos="102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Item 5.02</w:t>
      </w:r>
      <w:r>
        <w:rPr>
          <w:sz w:val="20"/>
          <w:szCs w:val="20"/>
          <w:color w:val="auto"/>
        </w:rPr>
        <w:tab/>
      </w:r>
      <w:r>
        <w:rPr>
          <w:rFonts w:ascii="Arial" w:cs="Arial" w:eastAsia="Arial" w:hAnsi="Arial"/>
          <w:sz w:val="18"/>
          <w:szCs w:val="18"/>
          <w:b w:val="1"/>
          <w:bCs w:val="1"/>
          <w:color w:val="auto"/>
        </w:rPr>
        <w:t>Departure of Directors or Certain Officers; Election of Directors; Appointment of Certain Officers; Compensatory Arrangements of Certain Officers.</w:t>
      </w:r>
    </w:p>
    <w:p>
      <w:pPr>
        <w:spacing w:after="0" w:line="45" w:lineRule="exact"/>
        <w:rPr>
          <w:sz w:val="20"/>
          <w:szCs w:val="20"/>
          <w:color w:val="auto"/>
        </w:rPr>
      </w:pPr>
    </w:p>
    <w:p>
      <w:pPr>
        <w:ind w:right="120" w:firstLine="8"/>
        <w:spacing w:after="0" w:line="291" w:lineRule="auto"/>
        <w:tabs>
          <w:tab w:leader="none" w:pos="239" w:val="left"/>
        </w:tabs>
        <w:numPr>
          <w:ilvl w:val="0"/>
          <w:numId w:val="2"/>
        </w:numPr>
        <w:rPr>
          <w:rFonts w:ascii="Arial" w:cs="Arial" w:eastAsia="Arial" w:hAnsi="Arial"/>
          <w:sz w:val="16"/>
          <w:szCs w:val="16"/>
          <w:color w:val="auto"/>
        </w:rPr>
      </w:pPr>
      <w:r>
        <w:rPr>
          <w:rFonts w:ascii="Arial" w:cs="Arial" w:eastAsia="Arial" w:hAnsi="Arial"/>
          <w:sz w:val="16"/>
          <w:szCs w:val="16"/>
          <w:color w:val="auto"/>
        </w:rPr>
        <w:t>On January 29, 2009, Casual Male Retail Group, Inc. (the “Company”), pursuant to Board approval, repurchased certain stock options with exercise prices significantly in excess of market price from certain directors and executive officers, including David A. Levin, its President and Chief Executive Officer, and Dennis R. Hernreich, its Executive Vice President, Chief Financial Officer, Chief Operating Officer and Treasurer. Such repurchases were made pursuant to separate Option Repurchase Agreements with each of the individuals. The Company repurchased and cancelled the eligible options in exchange for cash payments equal to the fair value of the applicable options on the date of repurchase, as determined using Black-Scholes. The Black-Scholes value of each option repurchased was calculated based upon the closing stock price of the Company’s common stock on January 29, 2009.</w:t>
      </w:r>
    </w:p>
    <w:p>
      <w:pPr>
        <w:spacing w:after="0" w:line="120" w:lineRule="exact"/>
        <w:rPr>
          <w:sz w:val="20"/>
          <w:szCs w:val="20"/>
          <w:color w:val="auto"/>
        </w:rPr>
      </w:pPr>
    </w:p>
    <w:p>
      <w:pPr>
        <w:ind w:right="140"/>
        <w:spacing w:after="0" w:line="294" w:lineRule="auto"/>
        <w:rPr>
          <w:sz w:val="20"/>
          <w:szCs w:val="20"/>
          <w:color w:val="auto"/>
        </w:rPr>
      </w:pPr>
      <w:r>
        <w:rPr>
          <w:rFonts w:ascii="Arial" w:cs="Arial" w:eastAsia="Arial" w:hAnsi="Arial"/>
          <w:sz w:val="16"/>
          <w:szCs w:val="16"/>
          <w:color w:val="auto"/>
        </w:rPr>
        <w:t>The Company repurchased options with underlying shares totaling 2,291,512 for an aggregate purchase price of $7,191.73. These options had exercise prices ranging from $4.54 to $12.35 per share. Of the 2,291,512 shares underlying the repurchased and cancelled options, options covering 1,206,854 shares issued under the Company’s 2006 Incentive Compensation Plan (the “2006 Plan”) were repurchased and, pursuant to the terms of the 2006 Plan, will become available for future issuance under the 2006 Plan. In connection with the repurchase and cancellation of these options, the Company will recognize additional stock compensation expense of approximately $1.5 million in the fourth quarter of fiscal 2008 relating to the acceleration of vesting associated with the options.</w:t>
      </w:r>
    </w:p>
    <w:p>
      <w:pPr>
        <w:spacing w:after="0" w:line="116" w:lineRule="exact"/>
        <w:rPr>
          <w:sz w:val="20"/>
          <w:szCs w:val="20"/>
          <w:color w:val="auto"/>
        </w:rPr>
      </w:pPr>
    </w:p>
    <w:p>
      <w:pPr>
        <w:ind w:right="80"/>
        <w:spacing w:after="0" w:line="256" w:lineRule="auto"/>
        <w:rPr>
          <w:sz w:val="20"/>
          <w:szCs w:val="20"/>
          <w:color w:val="auto"/>
        </w:rPr>
      </w:pPr>
      <w:r>
        <w:rPr>
          <w:rFonts w:ascii="Arial" w:cs="Arial" w:eastAsia="Arial" w:hAnsi="Arial"/>
          <w:sz w:val="18"/>
          <w:szCs w:val="18"/>
          <w:color w:val="auto"/>
        </w:rPr>
        <w:t>The Company believes that this action enhances long-term stockholder value by improving the Company’s ability to incentivize and retain its employees, as well as reducing the Company’s equity award “overhang” (that is, the number of shares subject to outstanding equity awards relative to the total number of shares of common stock outstanding) through the cancellation of outstanding options that currently provide no meaningful retention or incentive value to the Company’s employees.</w:t>
      </w:r>
    </w:p>
    <w:p>
      <w:pPr>
        <w:spacing w:after="0" w:line="143"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The following table lists the aggregate number of options repurchased and the respective cash payment made to certain directors and Messrs. Levin and Hernreich pursuant to the Option Repurchase Agreements:</w:t>
      </w:r>
    </w:p>
    <w:p>
      <w:pPr>
        <w:spacing w:after="0" w:line="156"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49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820" w:type="dxa"/>
            <w:vAlign w:val="bottom"/>
            <w:gridSpan w:val="2"/>
          </w:tcPr>
          <w:p>
            <w:pPr>
              <w:jc w:val="center"/>
              <w:ind w:right="580"/>
              <w:spacing w:after="0"/>
              <w:rPr>
                <w:sz w:val="20"/>
                <w:szCs w:val="20"/>
                <w:color w:val="auto"/>
              </w:rPr>
            </w:pPr>
            <w:r>
              <w:rPr>
                <w:rFonts w:ascii="Arial" w:cs="Arial" w:eastAsia="Arial" w:hAnsi="Arial"/>
                <w:sz w:val="14"/>
                <w:szCs w:val="14"/>
                <w:b w:val="1"/>
                <w:bCs w:val="1"/>
                <w:color w:val="auto"/>
                <w:w w:val="86"/>
              </w:rPr>
              <w:t>Aggregate Number of</w:t>
            </w:r>
          </w:p>
        </w:tc>
        <w:tc>
          <w:tcPr>
            <w:tcW w:w="1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49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820" w:type="dxa"/>
            <w:vAlign w:val="bottom"/>
            <w:gridSpan w:val="2"/>
          </w:tcPr>
          <w:p>
            <w:pPr>
              <w:jc w:val="center"/>
              <w:ind w:right="580"/>
              <w:spacing w:after="0" w:line="149" w:lineRule="exact"/>
              <w:rPr>
                <w:sz w:val="20"/>
                <w:szCs w:val="20"/>
                <w:color w:val="auto"/>
              </w:rPr>
            </w:pPr>
            <w:r>
              <w:rPr>
                <w:rFonts w:ascii="Arial" w:cs="Arial" w:eastAsia="Arial" w:hAnsi="Arial"/>
                <w:sz w:val="14"/>
                <w:szCs w:val="14"/>
                <w:b w:val="1"/>
                <w:bCs w:val="1"/>
                <w:color w:val="auto"/>
                <w:w w:val="87"/>
              </w:rPr>
              <w:t>Shares Underlying</w:t>
            </w:r>
          </w:p>
        </w:tc>
        <w:tc>
          <w:tcPr>
            <w:tcW w:w="1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49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820" w:type="dxa"/>
            <w:vAlign w:val="bottom"/>
            <w:gridSpan w:val="2"/>
          </w:tcPr>
          <w:p>
            <w:pPr>
              <w:jc w:val="center"/>
              <w:ind w:right="580"/>
              <w:spacing w:after="0" w:line="149" w:lineRule="exact"/>
              <w:rPr>
                <w:sz w:val="20"/>
                <w:szCs w:val="20"/>
                <w:color w:val="auto"/>
              </w:rPr>
            </w:pPr>
            <w:r>
              <w:rPr>
                <w:rFonts w:ascii="Arial" w:cs="Arial" w:eastAsia="Arial" w:hAnsi="Arial"/>
                <w:sz w:val="14"/>
                <w:szCs w:val="14"/>
                <w:b w:val="1"/>
                <w:bCs w:val="1"/>
                <w:color w:val="auto"/>
                <w:w w:val="84"/>
              </w:rPr>
              <w:t>Stock Options</w:t>
            </w:r>
          </w:p>
        </w:tc>
        <w:tc>
          <w:tcPr>
            <w:tcW w:w="100" w:type="dxa"/>
            <w:vAlign w:val="bottom"/>
          </w:tcPr>
          <w:p>
            <w:pPr>
              <w:spacing w:after="0"/>
              <w:rPr>
                <w:sz w:val="12"/>
                <w:szCs w:val="12"/>
                <w:color w:val="auto"/>
              </w:rPr>
            </w:pPr>
          </w:p>
        </w:tc>
        <w:tc>
          <w:tcPr>
            <w:tcW w:w="86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86"/>
              </w:rPr>
              <w:t>Total Cash</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49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820" w:type="dxa"/>
            <w:vAlign w:val="bottom"/>
            <w:gridSpan w:val="2"/>
          </w:tcPr>
          <w:p>
            <w:pPr>
              <w:jc w:val="center"/>
              <w:ind w:right="580"/>
              <w:spacing w:after="0" w:line="149" w:lineRule="exact"/>
              <w:rPr>
                <w:sz w:val="20"/>
                <w:szCs w:val="20"/>
                <w:color w:val="auto"/>
              </w:rPr>
            </w:pPr>
            <w:r>
              <w:rPr>
                <w:rFonts w:ascii="Arial" w:cs="Arial" w:eastAsia="Arial" w:hAnsi="Arial"/>
                <w:sz w:val="14"/>
                <w:szCs w:val="14"/>
                <w:b w:val="1"/>
                <w:bCs w:val="1"/>
                <w:color w:val="auto"/>
                <w:w w:val="86"/>
              </w:rPr>
              <w:t>Repurchased by the</w:t>
            </w:r>
          </w:p>
        </w:tc>
        <w:tc>
          <w:tcPr>
            <w:tcW w:w="100" w:type="dxa"/>
            <w:vAlign w:val="bottom"/>
          </w:tcPr>
          <w:p>
            <w:pPr>
              <w:spacing w:after="0"/>
              <w:rPr>
                <w:sz w:val="12"/>
                <w:szCs w:val="12"/>
                <w:color w:val="auto"/>
              </w:rPr>
            </w:pPr>
          </w:p>
        </w:tc>
        <w:tc>
          <w:tcPr>
            <w:tcW w:w="86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88"/>
              </w:rPr>
              <w:t>Payment for</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4940" w:type="dxa"/>
            <w:vAlign w:val="bottom"/>
            <w:vMerge w:val="restart"/>
          </w:tcPr>
          <w:p>
            <w:pPr>
              <w:ind w:left="2340"/>
              <w:spacing w:after="0"/>
              <w:rPr>
                <w:sz w:val="20"/>
                <w:szCs w:val="20"/>
                <w:color w:val="auto"/>
              </w:rPr>
            </w:pPr>
            <w:r>
              <w:rPr>
                <w:rFonts w:ascii="Arial" w:cs="Arial" w:eastAsia="Arial" w:hAnsi="Arial"/>
                <w:sz w:val="14"/>
                <w:szCs w:val="14"/>
                <w:b w:val="1"/>
                <w:bCs w:val="1"/>
                <w:color w:val="auto"/>
              </w:rPr>
              <w:t>Title</w:t>
            </w:r>
          </w:p>
        </w:tc>
        <w:tc>
          <w:tcPr>
            <w:tcW w:w="580" w:type="dxa"/>
            <w:vAlign w:val="bottom"/>
          </w:tcPr>
          <w:p>
            <w:pPr>
              <w:spacing w:after="0"/>
              <w:rPr>
                <w:sz w:val="12"/>
                <w:szCs w:val="12"/>
                <w:color w:val="auto"/>
              </w:rPr>
            </w:pPr>
          </w:p>
        </w:tc>
        <w:tc>
          <w:tcPr>
            <w:tcW w:w="1820" w:type="dxa"/>
            <w:vAlign w:val="bottom"/>
            <w:gridSpan w:val="2"/>
          </w:tcPr>
          <w:p>
            <w:pPr>
              <w:jc w:val="center"/>
              <w:ind w:right="580"/>
              <w:spacing w:after="0" w:line="149" w:lineRule="exact"/>
              <w:rPr>
                <w:sz w:val="20"/>
                <w:szCs w:val="20"/>
                <w:color w:val="auto"/>
              </w:rPr>
            </w:pPr>
            <w:r>
              <w:rPr>
                <w:rFonts w:ascii="Arial" w:cs="Arial" w:eastAsia="Arial" w:hAnsi="Arial"/>
                <w:sz w:val="14"/>
                <w:szCs w:val="14"/>
                <w:b w:val="1"/>
                <w:bCs w:val="1"/>
                <w:color w:val="auto"/>
                <w:w w:val="86"/>
              </w:rPr>
              <w:t>Company and</w:t>
            </w:r>
          </w:p>
        </w:tc>
        <w:tc>
          <w:tcPr>
            <w:tcW w:w="96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w w:val="85"/>
              </w:rPr>
              <w:t>Cancelled Stock</w:t>
            </w:r>
          </w:p>
        </w:tc>
        <w:tc>
          <w:tcPr>
            <w:tcW w:w="0" w:type="dxa"/>
            <w:vAlign w:val="bottom"/>
          </w:tcPr>
          <w:p>
            <w:pPr>
              <w:spacing w:after="0"/>
              <w:rPr>
                <w:sz w:val="1"/>
                <w:szCs w:val="1"/>
                <w:color w:val="auto"/>
              </w:rPr>
            </w:pPr>
          </w:p>
        </w:tc>
      </w:tr>
      <w:tr>
        <w:trPr>
          <w:trHeight w:val="161"/>
        </w:trPr>
        <w:tc>
          <w:tcPr>
            <w:tcW w:w="1840" w:type="dxa"/>
            <w:vAlign w:val="bottom"/>
            <w:gridSpan w:val="3"/>
          </w:tcPr>
          <w:p>
            <w:pPr>
              <w:spacing w:after="0"/>
              <w:rPr>
                <w:sz w:val="20"/>
                <w:szCs w:val="20"/>
                <w:color w:val="auto"/>
              </w:rPr>
            </w:pPr>
            <w:r>
              <w:rPr>
                <w:rFonts w:ascii="Arial" w:cs="Arial" w:eastAsia="Arial" w:hAnsi="Arial"/>
                <w:sz w:val="14"/>
                <w:szCs w:val="14"/>
                <w:b w:val="1"/>
                <w:bCs w:val="1"/>
                <w:color w:val="auto"/>
              </w:rPr>
              <w:t>Name</w:t>
            </w:r>
          </w:p>
        </w:tc>
        <w:tc>
          <w:tcPr>
            <w:tcW w:w="380" w:type="dxa"/>
            <w:vAlign w:val="bottom"/>
          </w:tcPr>
          <w:p>
            <w:pPr>
              <w:spacing w:after="0"/>
              <w:rPr>
                <w:sz w:val="14"/>
                <w:szCs w:val="14"/>
                <w:color w:val="auto"/>
              </w:rPr>
            </w:pPr>
          </w:p>
        </w:tc>
        <w:tc>
          <w:tcPr>
            <w:tcW w:w="4940" w:type="dxa"/>
            <w:vAlign w:val="bottom"/>
            <w:vMerge w:val="continue"/>
          </w:tcPr>
          <w:p>
            <w:pPr>
              <w:spacing w:after="0"/>
              <w:rPr>
                <w:sz w:val="14"/>
                <w:szCs w:val="14"/>
                <w:color w:val="auto"/>
              </w:rPr>
            </w:pPr>
          </w:p>
        </w:tc>
        <w:tc>
          <w:tcPr>
            <w:tcW w:w="580" w:type="dxa"/>
            <w:vAlign w:val="bottom"/>
          </w:tcPr>
          <w:p>
            <w:pPr>
              <w:spacing w:after="0"/>
              <w:rPr>
                <w:sz w:val="14"/>
                <w:szCs w:val="14"/>
                <w:color w:val="auto"/>
              </w:rPr>
            </w:pPr>
          </w:p>
        </w:tc>
        <w:tc>
          <w:tcPr>
            <w:tcW w:w="1820" w:type="dxa"/>
            <w:vAlign w:val="bottom"/>
            <w:gridSpan w:val="2"/>
          </w:tcPr>
          <w:p>
            <w:pPr>
              <w:jc w:val="center"/>
              <w:ind w:right="580"/>
              <w:spacing w:after="0"/>
              <w:rPr>
                <w:sz w:val="20"/>
                <w:szCs w:val="20"/>
                <w:color w:val="auto"/>
              </w:rPr>
            </w:pPr>
            <w:r>
              <w:rPr>
                <w:rFonts w:ascii="Arial" w:cs="Arial" w:eastAsia="Arial" w:hAnsi="Arial"/>
                <w:sz w:val="14"/>
                <w:szCs w:val="14"/>
                <w:b w:val="1"/>
                <w:bCs w:val="1"/>
                <w:color w:val="auto"/>
                <w:w w:val="84"/>
              </w:rPr>
              <w:t>Cancelled</w:t>
            </w:r>
          </w:p>
        </w:tc>
        <w:tc>
          <w:tcPr>
            <w:tcW w:w="100" w:type="dxa"/>
            <w:vAlign w:val="bottom"/>
          </w:tcPr>
          <w:p>
            <w:pPr>
              <w:spacing w:after="0"/>
              <w:rPr>
                <w:sz w:val="14"/>
                <w:szCs w:val="14"/>
                <w:color w:val="auto"/>
              </w:rPr>
            </w:pPr>
          </w:p>
        </w:tc>
        <w:tc>
          <w:tcPr>
            <w:tcW w:w="86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88"/>
              </w:rPr>
              <w:t>Options(1)</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940" w:type="dxa"/>
            <w:vAlign w:val="bottom"/>
            <w:shd w:val="clear" w:color="auto" w:fill="000000"/>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18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Seymour Holtzman</w:t>
            </w:r>
          </w:p>
        </w:tc>
        <w:tc>
          <w:tcPr>
            <w:tcW w:w="532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Chairman of the Board</w:t>
            </w:r>
          </w:p>
        </w:tc>
        <w:tc>
          <w:tcPr>
            <w:tcW w:w="2400" w:type="dxa"/>
            <w:vAlign w:val="bottom"/>
            <w:gridSpan w:val="3"/>
            <w:shd w:val="clear" w:color="auto" w:fill="CCEEFF"/>
          </w:tcPr>
          <w:p>
            <w:pPr>
              <w:jc w:val="right"/>
              <w:ind w:right="580"/>
              <w:spacing w:after="0"/>
              <w:rPr>
                <w:sz w:val="20"/>
                <w:szCs w:val="20"/>
                <w:color w:val="auto"/>
              </w:rPr>
            </w:pPr>
            <w:r>
              <w:rPr>
                <w:rFonts w:ascii="Arial" w:cs="Arial" w:eastAsia="Arial" w:hAnsi="Arial"/>
                <w:sz w:val="18"/>
                <w:szCs w:val="18"/>
                <w:color w:val="auto"/>
              </w:rPr>
              <w:t>296,427</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616.43</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820" w:type="dxa"/>
            <w:vAlign w:val="bottom"/>
            <w:gridSpan w:val="2"/>
          </w:tcPr>
          <w:p>
            <w:pPr>
              <w:spacing w:after="0"/>
              <w:rPr>
                <w:sz w:val="20"/>
                <w:szCs w:val="20"/>
                <w:color w:val="auto"/>
              </w:rPr>
            </w:pPr>
            <w:r>
              <w:rPr>
                <w:rFonts w:ascii="Arial" w:cs="Arial" w:eastAsia="Arial" w:hAnsi="Arial"/>
                <w:sz w:val="18"/>
                <w:szCs w:val="18"/>
                <w:color w:val="auto"/>
              </w:rPr>
              <w:t>Alan S. Bernikow</w:t>
            </w:r>
          </w:p>
        </w:tc>
        <w:tc>
          <w:tcPr>
            <w:tcW w:w="5320" w:type="dxa"/>
            <w:vAlign w:val="bottom"/>
            <w:gridSpan w:val="2"/>
          </w:tcPr>
          <w:p>
            <w:pPr>
              <w:ind w:left="380"/>
              <w:spacing w:after="0"/>
              <w:rPr>
                <w:sz w:val="20"/>
                <w:szCs w:val="20"/>
                <w:color w:val="auto"/>
              </w:rPr>
            </w:pPr>
            <w:r>
              <w:rPr>
                <w:rFonts w:ascii="Arial" w:cs="Arial" w:eastAsia="Arial" w:hAnsi="Arial"/>
                <w:sz w:val="18"/>
                <w:szCs w:val="18"/>
                <w:color w:val="auto"/>
              </w:rPr>
              <w:t>Director</w:t>
            </w:r>
          </w:p>
        </w:tc>
        <w:tc>
          <w:tcPr>
            <w:tcW w:w="2400" w:type="dxa"/>
            <w:vAlign w:val="bottom"/>
            <w:gridSpan w:val="3"/>
          </w:tcPr>
          <w:p>
            <w:pPr>
              <w:jc w:val="right"/>
              <w:ind w:right="580"/>
              <w:spacing w:after="0"/>
              <w:rPr>
                <w:sz w:val="20"/>
                <w:szCs w:val="20"/>
                <w:color w:val="auto"/>
              </w:rPr>
            </w:pPr>
            <w:r>
              <w:rPr>
                <w:rFonts w:ascii="Arial" w:cs="Arial" w:eastAsia="Arial" w:hAnsi="Arial"/>
                <w:sz w:val="18"/>
                <w:szCs w:val="18"/>
                <w:color w:val="auto"/>
              </w:rPr>
              <w:t>65,000</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175.00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8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Jesse H. Choper</w:t>
            </w:r>
          </w:p>
        </w:tc>
        <w:tc>
          <w:tcPr>
            <w:tcW w:w="532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Director</w:t>
            </w:r>
          </w:p>
        </w:tc>
        <w:tc>
          <w:tcPr>
            <w:tcW w:w="2400" w:type="dxa"/>
            <w:vAlign w:val="bottom"/>
            <w:gridSpan w:val="3"/>
            <w:shd w:val="clear" w:color="auto" w:fill="CCEEFF"/>
          </w:tcPr>
          <w:p>
            <w:pPr>
              <w:jc w:val="right"/>
              <w:ind w:right="580"/>
              <w:spacing w:after="0"/>
              <w:rPr>
                <w:sz w:val="20"/>
                <w:szCs w:val="20"/>
                <w:color w:val="auto"/>
              </w:rPr>
            </w:pPr>
            <w:r>
              <w:rPr>
                <w:rFonts w:ascii="Arial" w:cs="Arial" w:eastAsia="Arial" w:hAnsi="Arial"/>
                <w:sz w:val="18"/>
                <w:szCs w:val="18"/>
                <w:color w:val="auto"/>
              </w:rPr>
              <w:t>65,000</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175.00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820" w:type="dxa"/>
            <w:vAlign w:val="bottom"/>
            <w:gridSpan w:val="2"/>
          </w:tcPr>
          <w:p>
            <w:pPr>
              <w:spacing w:after="0"/>
              <w:rPr>
                <w:sz w:val="20"/>
                <w:szCs w:val="20"/>
                <w:color w:val="auto"/>
              </w:rPr>
            </w:pPr>
            <w:r>
              <w:rPr>
                <w:rFonts w:ascii="Arial" w:cs="Arial" w:eastAsia="Arial" w:hAnsi="Arial"/>
                <w:sz w:val="18"/>
                <w:szCs w:val="18"/>
                <w:color w:val="auto"/>
              </w:rPr>
              <w:t>Ward K. Mooney</w:t>
            </w:r>
          </w:p>
        </w:tc>
        <w:tc>
          <w:tcPr>
            <w:tcW w:w="5320" w:type="dxa"/>
            <w:vAlign w:val="bottom"/>
            <w:gridSpan w:val="2"/>
          </w:tcPr>
          <w:p>
            <w:pPr>
              <w:ind w:left="380"/>
              <w:spacing w:after="0"/>
              <w:rPr>
                <w:sz w:val="20"/>
                <w:szCs w:val="20"/>
                <w:color w:val="auto"/>
              </w:rPr>
            </w:pPr>
            <w:r>
              <w:rPr>
                <w:rFonts w:ascii="Arial" w:cs="Arial" w:eastAsia="Arial" w:hAnsi="Arial"/>
                <w:sz w:val="18"/>
                <w:szCs w:val="18"/>
                <w:color w:val="auto"/>
              </w:rPr>
              <w:t>Director</w:t>
            </w:r>
          </w:p>
        </w:tc>
        <w:tc>
          <w:tcPr>
            <w:tcW w:w="2400" w:type="dxa"/>
            <w:vAlign w:val="bottom"/>
            <w:gridSpan w:val="3"/>
          </w:tcPr>
          <w:p>
            <w:pPr>
              <w:jc w:val="right"/>
              <w:ind w:right="580"/>
              <w:spacing w:after="0"/>
              <w:rPr>
                <w:sz w:val="20"/>
                <w:szCs w:val="20"/>
                <w:color w:val="auto"/>
              </w:rPr>
            </w:pPr>
            <w:r>
              <w:rPr>
                <w:rFonts w:ascii="Arial" w:cs="Arial" w:eastAsia="Arial" w:hAnsi="Arial"/>
                <w:sz w:val="18"/>
                <w:szCs w:val="18"/>
                <w:color w:val="auto"/>
              </w:rPr>
              <w:t>65,000</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130.00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8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George T. Porter</w:t>
            </w:r>
          </w:p>
        </w:tc>
        <w:tc>
          <w:tcPr>
            <w:tcW w:w="532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Director</w:t>
            </w:r>
          </w:p>
        </w:tc>
        <w:tc>
          <w:tcPr>
            <w:tcW w:w="2400" w:type="dxa"/>
            <w:vAlign w:val="bottom"/>
            <w:gridSpan w:val="3"/>
            <w:shd w:val="clear" w:color="auto" w:fill="CCEEFF"/>
          </w:tcPr>
          <w:p>
            <w:pPr>
              <w:jc w:val="right"/>
              <w:ind w:right="580"/>
              <w:spacing w:after="0"/>
              <w:rPr>
                <w:sz w:val="20"/>
                <w:szCs w:val="20"/>
                <w:color w:val="auto"/>
              </w:rPr>
            </w:pPr>
            <w:r>
              <w:rPr>
                <w:rFonts w:ascii="Arial" w:cs="Arial" w:eastAsia="Arial" w:hAnsi="Arial"/>
                <w:sz w:val="18"/>
                <w:szCs w:val="18"/>
                <w:color w:val="auto"/>
              </w:rPr>
              <w:t>65,000</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175.00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820" w:type="dxa"/>
            <w:vAlign w:val="bottom"/>
            <w:gridSpan w:val="2"/>
          </w:tcPr>
          <w:p>
            <w:pPr>
              <w:spacing w:after="0"/>
              <w:rPr>
                <w:sz w:val="20"/>
                <w:szCs w:val="20"/>
                <w:color w:val="auto"/>
              </w:rPr>
            </w:pPr>
            <w:r>
              <w:rPr>
                <w:rFonts w:ascii="Arial" w:cs="Arial" w:eastAsia="Arial" w:hAnsi="Arial"/>
                <w:sz w:val="18"/>
                <w:szCs w:val="18"/>
                <w:color w:val="auto"/>
              </w:rPr>
              <w:t>Mitchell S. Presser</w:t>
            </w:r>
          </w:p>
        </w:tc>
        <w:tc>
          <w:tcPr>
            <w:tcW w:w="5320" w:type="dxa"/>
            <w:vAlign w:val="bottom"/>
            <w:gridSpan w:val="2"/>
          </w:tcPr>
          <w:p>
            <w:pPr>
              <w:ind w:left="380"/>
              <w:spacing w:after="0"/>
              <w:rPr>
                <w:sz w:val="20"/>
                <w:szCs w:val="20"/>
                <w:color w:val="auto"/>
              </w:rPr>
            </w:pPr>
            <w:r>
              <w:rPr>
                <w:rFonts w:ascii="Arial" w:cs="Arial" w:eastAsia="Arial" w:hAnsi="Arial"/>
                <w:sz w:val="18"/>
                <w:szCs w:val="18"/>
                <w:color w:val="auto"/>
              </w:rPr>
              <w:t>Director</w:t>
            </w:r>
          </w:p>
        </w:tc>
        <w:tc>
          <w:tcPr>
            <w:tcW w:w="2400" w:type="dxa"/>
            <w:vAlign w:val="bottom"/>
            <w:gridSpan w:val="3"/>
          </w:tcPr>
          <w:p>
            <w:pPr>
              <w:jc w:val="right"/>
              <w:ind w:right="580"/>
              <w:spacing w:after="0"/>
              <w:rPr>
                <w:sz w:val="20"/>
                <w:szCs w:val="20"/>
                <w:color w:val="auto"/>
              </w:rPr>
            </w:pPr>
            <w:r>
              <w:rPr>
                <w:rFonts w:ascii="Arial" w:cs="Arial" w:eastAsia="Arial" w:hAnsi="Arial"/>
                <w:sz w:val="18"/>
                <w:szCs w:val="18"/>
                <w:color w:val="auto"/>
              </w:rPr>
              <w:t>40,000</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80.00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8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David A. Levin</w:t>
            </w:r>
          </w:p>
        </w:tc>
        <w:tc>
          <w:tcPr>
            <w:tcW w:w="532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President and Chief Executive Officer</w:t>
            </w:r>
          </w:p>
        </w:tc>
        <w:tc>
          <w:tcPr>
            <w:tcW w:w="2400" w:type="dxa"/>
            <w:vAlign w:val="bottom"/>
            <w:gridSpan w:val="3"/>
            <w:shd w:val="clear" w:color="auto" w:fill="CCEEFF"/>
          </w:tcPr>
          <w:p>
            <w:pPr>
              <w:jc w:val="right"/>
              <w:ind w:right="580"/>
              <w:spacing w:after="0"/>
              <w:rPr>
                <w:sz w:val="20"/>
                <w:szCs w:val="20"/>
                <w:color w:val="auto"/>
              </w:rPr>
            </w:pPr>
            <w:r>
              <w:rPr>
                <w:rFonts w:ascii="Arial" w:cs="Arial" w:eastAsia="Arial" w:hAnsi="Arial"/>
                <w:sz w:val="18"/>
                <w:szCs w:val="18"/>
                <w:color w:val="auto"/>
              </w:rPr>
              <w:t>1,145,533</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4,145.53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1820" w:type="dxa"/>
            <w:vAlign w:val="bottom"/>
            <w:gridSpan w:val="2"/>
          </w:tcPr>
          <w:p>
            <w:pPr>
              <w:spacing w:after="0"/>
              <w:rPr>
                <w:sz w:val="20"/>
                <w:szCs w:val="20"/>
                <w:color w:val="auto"/>
              </w:rPr>
            </w:pPr>
            <w:r>
              <w:rPr>
                <w:rFonts w:ascii="Arial" w:cs="Arial" w:eastAsia="Arial" w:hAnsi="Arial"/>
                <w:sz w:val="18"/>
                <w:szCs w:val="18"/>
                <w:color w:val="auto"/>
              </w:rPr>
              <w:t>Dennis R. Hernreich</w:t>
            </w:r>
          </w:p>
        </w:tc>
        <w:tc>
          <w:tcPr>
            <w:tcW w:w="5320" w:type="dxa"/>
            <w:vAlign w:val="bottom"/>
            <w:gridSpan w:val="2"/>
          </w:tcPr>
          <w:p>
            <w:pPr>
              <w:ind w:left="380"/>
              <w:spacing w:after="0"/>
              <w:rPr>
                <w:sz w:val="20"/>
                <w:szCs w:val="20"/>
                <w:color w:val="auto"/>
              </w:rPr>
            </w:pPr>
            <w:r>
              <w:rPr>
                <w:rFonts w:ascii="Arial" w:cs="Arial" w:eastAsia="Arial" w:hAnsi="Arial"/>
                <w:sz w:val="18"/>
                <w:szCs w:val="18"/>
                <w:color w:val="auto"/>
                <w:w w:val="94"/>
              </w:rPr>
              <w:t>Executive Vice President, Chief Financial Officer, Chief Operating</w:t>
            </w:r>
          </w:p>
        </w:tc>
        <w:tc>
          <w:tcPr>
            <w:tcW w:w="5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5320" w:type="dxa"/>
            <w:vAlign w:val="bottom"/>
            <w:gridSpan w:val="2"/>
          </w:tcPr>
          <w:p>
            <w:pPr>
              <w:ind w:left="380"/>
              <w:spacing w:after="0"/>
              <w:rPr>
                <w:sz w:val="20"/>
                <w:szCs w:val="20"/>
                <w:color w:val="auto"/>
              </w:rPr>
            </w:pPr>
            <w:r>
              <w:rPr>
                <w:rFonts w:ascii="Arial" w:cs="Arial" w:eastAsia="Arial" w:hAnsi="Arial"/>
                <w:sz w:val="18"/>
                <w:szCs w:val="18"/>
                <w:color w:val="auto"/>
              </w:rPr>
              <w:t>Officer and Treasurer</w:t>
            </w:r>
          </w:p>
        </w:tc>
        <w:tc>
          <w:tcPr>
            <w:tcW w:w="2400" w:type="dxa"/>
            <w:vAlign w:val="bottom"/>
            <w:gridSpan w:val="3"/>
          </w:tcPr>
          <w:p>
            <w:pPr>
              <w:jc w:val="right"/>
              <w:ind w:right="580"/>
              <w:spacing w:after="0"/>
              <w:rPr>
                <w:sz w:val="20"/>
                <w:szCs w:val="20"/>
                <w:color w:val="auto"/>
              </w:rPr>
            </w:pPr>
            <w:r>
              <w:rPr>
                <w:rFonts w:ascii="Arial" w:cs="Arial" w:eastAsia="Arial" w:hAnsi="Arial"/>
                <w:sz w:val="18"/>
                <w:szCs w:val="18"/>
                <w:color w:val="auto"/>
              </w:rPr>
              <w:t>549,552</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860" w:type="dxa"/>
            <w:vAlign w:val="bottom"/>
            <w:gridSpan w:val="2"/>
          </w:tcPr>
          <w:p>
            <w:pPr>
              <w:jc w:val="right"/>
              <w:ind w:right="20"/>
              <w:spacing w:after="0"/>
              <w:rPr>
                <w:sz w:val="20"/>
                <w:szCs w:val="20"/>
                <w:color w:val="auto"/>
              </w:rPr>
            </w:pPr>
            <w:r>
              <w:rPr>
                <w:rFonts w:ascii="Arial" w:cs="Arial" w:eastAsia="Arial" w:hAnsi="Arial"/>
                <w:sz w:val="18"/>
                <w:szCs w:val="18"/>
                <w:color w:val="auto"/>
              </w:rPr>
              <w:t>1,694.77</w:t>
            </w:r>
          </w:p>
        </w:tc>
        <w:tc>
          <w:tcPr>
            <w:tcW w:w="0" w:type="dxa"/>
            <w:vAlign w:val="bottom"/>
          </w:tcPr>
          <w:p>
            <w:pPr>
              <w:spacing w:after="0"/>
              <w:rPr>
                <w:sz w:val="1"/>
                <w:szCs w:val="1"/>
                <w:color w:val="auto"/>
              </w:rPr>
            </w:pPr>
          </w:p>
        </w:tc>
      </w:tr>
    </w:tbl>
    <w:p>
      <w:pPr>
        <w:sectPr>
          <w:pgSz w:w="11900" w:h="16838" w:orient="portrait"/>
          <w:cols w:equalWidth="0" w:num="1">
            <w:col w:w="11400"/>
          </w:cols>
          <w:pgMar w:left="240" w:top="274" w:right="259" w:bottom="1440" w:gutter="0" w:footer="0" w:header="0"/>
        </w:sectPr>
      </w:pPr>
    </w:p>
    <w:bookmarkStart w:id="2" w:name="page3"/>
    <w:bookmarkEnd w:id="2"/>
    <w:p>
      <w:pPr>
        <w:ind w:left="900" w:right="300" w:hanging="446"/>
        <w:spacing w:after="0" w:line="268" w:lineRule="auto"/>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67575" cy="27940"/>
                    </a:xfrm>
                    <a:prstGeom prst="rect">
                      <a:avLst/>
                    </a:prstGeom>
                    <a:noFill/>
                  </pic:spPr>
                </pic:pic>
              </a:graphicData>
            </a:graphic>
          </wp:anchor>
        </w:drawing>
        <w:drawing>
          <wp:anchor simplePos="0" relativeHeight="251657728" behindDoc="1" locked="0" layoutInCell="0" allowOverlap="1">
            <wp:simplePos x="0" y="0"/>
            <wp:positionH relativeFrom="page">
              <wp:posOffset>483235</wp:posOffset>
            </wp:positionH>
            <wp:positionV relativeFrom="page">
              <wp:posOffset>277495</wp:posOffset>
            </wp:positionV>
            <wp:extent cx="51435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514350" cy="8890"/>
                    </a:xfrm>
                    <a:prstGeom prst="rect">
                      <a:avLst/>
                    </a:prstGeom>
                    <a:noFill/>
                  </pic:spPr>
                </pic:pic>
              </a:graphicData>
            </a:graphic>
          </wp:anchor>
        </w:drawing>
        <w:t>Repurchase cost equals to the Black-Scholes value of the repurchased and cancelled option based upon the closing stock price of the Company’s common stock on January 29, 2009.</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color w:val="auto"/>
        </w:rPr>
        <w:t>A copy of the form of Option Repurchase Agreement is attached as Exhibit 10.1 hereto and is incorporated herein by reference.</w:t>
      </w:r>
    </w:p>
    <w:p>
      <w:pPr>
        <w:spacing w:after="0" w:line="287"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8.01</w:t>
      </w:r>
      <w:r>
        <w:rPr>
          <w:sz w:val="20"/>
          <w:szCs w:val="20"/>
          <w:color w:val="auto"/>
        </w:rPr>
        <w:tab/>
      </w:r>
      <w:r>
        <w:rPr>
          <w:rFonts w:ascii="Arial" w:cs="Arial" w:eastAsia="Arial" w:hAnsi="Arial"/>
          <w:sz w:val="15"/>
          <w:szCs w:val="15"/>
          <w:b w:val="1"/>
          <w:bCs w:val="1"/>
          <w:color w:val="auto"/>
        </w:rPr>
        <w:t>Other Events.</w:t>
      </w:r>
    </w:p>
    <w:p>
      <w:pPr>
        <w:spacing w:after="0" w:line="96"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In connection with the Company’s repurchase and cancellation of these stock options and pursuant to the terms of the 2006 Plan, approximately 1,206,854 shares of common stock will become available for future issuance under the 2006 Plan.</w:t>
      </w:r>
    </w:p>
    <w:p>
      <w:pPr>
        <w:spacing w:after="0" w:line="132" w:lineRule="exact"/>
        <w:rPr>
          <w:sz w:val="20"/>
          <w:szCs w:val="20"/>
          <w:color w:val="auto"/>
        </w:rPr>
      </w:pPr>
    </w:p>
    <w:p>
      <w:pPr>
        <w:ind w:right="300"/>
        <w:spacing w:after="0" w:line="268" w:lineRule="auto"/>
        <w:rPr>
          <w:sz w:val="20"/>
          <w:szCs w:val="20"/>
          <w:color w:val="auto"/>
        </w:rPr>
      </w:pPr>
      <w:r>
        <w:rPr>
          <w:rFonts w:ascii="Arial" w:cs="Arial" w:eastAsia="Arial" w:hAnsi="Arial"/>
          <w:sz w:val="18"/>
          <w:szCs w:val="18"/>
          <w:color w:val="auto"/>
        </w:rPr>
        <w:t>1,084,658 shares of common stock underlying the remaining repurchased options will be cancelled and will not be available for future issuance because such options were issued under the Company’s retired 1992 Stock Incentive Plan, as amended.</w:t>
      </w:r>
    </w:p>
    <w:p>
      <w:pPr>
        <w:spacing w:after="0" w:line="248"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9.01</w:t>
      </w:r>
      <w:r>
        <w:rPr>
          <w:sz w:val="20"/>
          <w:szCs w:val="20"/>
          <w:color w:val="auto"/>
        </w:rPr>
        <w:tab/>
      </w:r>
      <w:r>
        <w:rPr>
          <w:rFonts w:ascii="Arial" w:cs="Arial" w:eastAsia="Arial" w:hAnsi="Arial"/>
          <w:sz w:val="15"/>
          <w:szCs w:val="15"/>
          <w:b w:val="1"/>
          <w:bCs w:val="1"/>
          <w:color w:val="auto"/>
        </w:rPr>
        <w:t>Financial Statements and Exhibits.</w:t>
      </w:r>
    </w:p>
    <w:p>
      <w:pPr>
        <w:spacing w:after="0" w:line="96" w:lineRule="exact"/>
        <w:rPr>
          <w:sz w:val="20"/>
          <w:szCs w:val="20"/>
          <w:color w:val="auto"/>
        </w:rPr>
      </w:pPr>
    </w:p>
    <w:p>
      <w:pPr>
        <w:ind w:left="460" w:hanging="452"/>
        <w:spacing w:after="0"/>
        <w:tabs>
          <w:tab w:leader="none" w:pos="460" w:val="left"/>
        </w:tabs>
        <w:numPr>
          <w:ilvl w:val="0"/>
          <w:numId w:val="4"/>
        </w:numPr>
        <w:rPr>
          <w:rFonts w:ascii="Arial" w:cs="Arial" w:eastAsia="Arial" w:hAnsi="Arial"/>
          <w:sz w:val="18"/>
          <w:szCs w:val="18"/>
          <w:color w:val="auto"/>
        </w:rPr>
      </w:pPr>
      <w:r>
        <w:rPr>
          <w:rFonts w:ascii="Arial" w:cs="Arial" w:eastAsia="Arial" w:hAnsi="Arial"/>
          <w:sz w:val="18"/>
          <w:szCs w:val="18"/>
          <w:color w:val="auto"/>
        </w:rPr>
        <w:t>Exhibits.</w:t>
      </w:r>
    </w:p>
    <w:p>
      <w:pPr>
        <w:spacing w:after="0" w:line="207" w:lineRule="exact"/>
        <w:rPr>
          <w:sz w:val="20"/>
          <w:szCs w:val="20"/>
          <w:color w:val="auto"/>
        </w:rPr>
      </w:pPr>
    </w:p>
    <w:p>
      <w:pPr>
        <w:spacing w:after="0"/>
        <w:tabs>
          <w:tab w:leader="none" w:pos="940" w:val="left"/>
        </w:tabs>
        <w:rPr>
          <w:sz w:val="20"/>
          <w:szCs w:val="20"/>
          <w:color w:val="auto"/>
        </w:rPr>
      </w:pPr>
      <w:r>
        <w:rPr>
          <w:rFonts w:ascii="Arial" w:cs="Arial" w:eastAsia="Arial" w:hAnsi="Arial"/>
          <w:sz w:val="14"/>
          <w:szCs w:val="14"/>
          <w:b w:val="1"/>
          <w:bCs w:val="1"/>
          <w:u w:val="single" w:color="auto"/>
          <w:color w:val="auto"/>
        </w:rPr>
        <w:t>Number</w:t>
      </w:r>
      <w:r>
        <w:rPr>
          <w:sz w:val="20"/>
          <w:szCs w:val="20"/>
          <w:color w:val="auto"/>
        </w:rPr>
        <w:tab/>
      </w:r>
      <w:r>
        <w:rPr>
          <w:rFonts w:ascii="Arial" w:cs="Arial" w:eastAsia="Arial" w:hAnsi="Arial"/>
          <w:sz w:val="14"/>
          <w:szCs w:val="14"/>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605155</wp:posOffset>
            </wp:positionH>
            <wp:positionV relativeFrom="paragraph">
              <wp:posOffset>8890</wp:posOffset>
            </wp:positionV>
            <wp:extent cx="6646545"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646545" cy="8890"/>
                    </a:xfrm>
                    <a:prstGeom prst="rect">
                      <a:avLst/>
                    </a:prstGeom>
                    <a:noFill/>
                  </pic:spPr>
                </pic:pic>
              </a:graphicData>
            </a:graphic>
          </wp:anchor>
        </w:drawing>
      </w:r>
    </w:p>
    <w:p>
      <w:pPr>
        <w:spacing w:after="0" w:line="7" w:lineRule="exact"/>
        <w:rPr>
          <w:sz w:val="20"/>
          <w:szCs w:val="20"/>
          <w:color w:val="auto"/>
        </w:rPr>
      </w:pPr>
    </w:p>
    <w:p>
      <w:pPr>
        <w:spacing w:after="0"/>
        <w:tabs>
          <w:tab w:leader="none" w:pos="940" w:val="left"/>
        </w:tabs>
        <w:rPr>
          <w:sz w:val="20"/>
          <w:szCs w:val="20"/>
          <w:color w:val="auto"/>
        </w:rPr>
      </w:pPr>
      <w:r>
        <w:rPr>
          <w:rFonts w:ascii="Arial" w:cs="Arial" w:eastAsia="Arial" w:hAnsi="Arial"/>
          <w:sz w:val="18"/>
          <w:szCs w:val="18"/>
          <w:color w:val="auto"/>
        </w:rPr>
        <w:t>10.1</w:t>
      </w:r>
      <w:r>
        <w:rPr>
          <w:sz w:val="20"/>
          <w:szCs w:val="20"/>
          <w:color w:val="auto"/>
        </w:rPr>
        <w:tab/>
      </w:r>
      <w:r>
        <w:rPr>
          <w:rFonts w:ascii="Arial" w:cs="Arial" w:eastAsia="Arial" w:hAnsi="Arial"/>
          <w:sz w:val="15"/>
          <w:szCs w:val="15"/>
          <w:color w:val="auto"/>
        </w:rPr>
        <w:t>Form of Option Repurchase Agreement</w:t>
      </w:r>
    </w:p>
    <w:p>
      <w:pPr>
        <w:sectPr>
          <w:pgSz w:w="11900" w:h="16838" w:orient="portrait"/>
          <w:cols w:equalWidth="0" w:num="1">
            <w:col w:w="11340"/>
          </w:cols>
          <w:pgMar w:left="240" w:top="604" w:right="319"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SIGNATURES</w:t>
      </w:r>
    </w:p>
    <w:p>
      <w:pPr>
        <w:spacing w:after="0" w:line="171" w:lineRule="exact"/>
        <w:rPr>
          <w:sz w:val="20"/>
          <w:szCs w:val="20"/>
          <w:color w:val="auto"/>
        </w:rPr>
      </w:pPr>
    </w:p>
    <w:p>
      <w:pPr>
        <w:ind w:right="440"/>
        <w:spacing w:after="0" w:line="268"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72"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CASUAL MALE RETAIL GROUP, INC.</w:t>
      </w:r>
    </w:p>
    <w:p>
      <w:pPr>
        <w:spacing w:after="0" w:line="225" w:lineRule="exact"/>
        <w:rPr>
          <w:sz w:val="20"/>
          <w:szCs w:val="20"/>
          <w:color w:val="auto"/>
        </w:rPr>
      </w:pPr>
    </w:p>
    <w:tbl>
      <w:tblPr>
        <w:tblLayout w:type="fixed"/>
        <w:tblInd w:w="6860" w:type="dxa"/>
        <w:tblCellMar>
          <w:top w:w="0" w:type="dxa"/>
          <w:left w:w="0" w:type="dxa"/>
          <w:bottom w:w="0" w:type="dxa"/>
          <w:right w:w="0" w:type="dxa"/>
        </w:tblCellMar>
      </w:tblPr>
      <w:tr>
        <w:trPr>
          <w:trHeight w:val="222"/>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39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DENNIS R. HERNREICH</w:t>
            </w:r>
          </w:p>
        </w:tc>
      </w:tr>
      <w:tr>
        <w:trPr>
          <w:trHeight w:val="217"/>
        </w:trPr>
        <w:tc>
          <w:tcPr>
            <w:tcW w:w="580" w:type="dxa"/>
            <w:vAlign w:val="bottom"/>
          </w:tcPr>
          <w:p>
            <w:pPr>
              <w:spacing w:after="0"/>
              <w:rPr>
                <w:sz w:val="20"/>
                <w:szCs w:val="20"/>
                <w:color w:val="auto"/>
              </w:rPr>
            </w:pPr>
            <w:r>
              <w:rPr>
                <w:rFonts w:ascii="Arial" w:cs="Arial" w:eastAsia="Arial" w:hAnsi="Arial"/>
                <w:sz w:val="18"/>
                <w:szCs w:val="18"/>
                <w:color w:val="auto"/>
              </w:rPr>
              <w:t>Name:</w:t>
            </w:r>
          </w:p>
        </w:tc>
        <w:tc>
          <w:tcPr>
            <w:tcW w:w="3980" w:type="dxa"/>
            <w:vAlign w:val="bottom"/>
          </w:tcPr>
          <w:p>
            <w:pPr>
              <w:spacing w:after="0"/>
              <w:rPr>
                <w:sz w:val="20"/>
                <w:szCs w:val="20"/>
                <w:color w:val="auto"/>
              </w:rPr>
            </w:pPr>
            <w:r>
              <w:rPr>
                <w:rFonts w:ascii="Arial" w:cs="Arial" w:eastAsia="Arial" w:hAnsi="Arial"/>
                <w:sz w:val="18"/>
                <w:szCs w:val="18"/>
                <w:color w:val="auto"/>
              </w:rPr>
              <w:t>Dennis R. Hernreich</w:t>
            </w:r>
          </w:p>
        </w:tc>
      </w:tr>
      <w:tr>
        <w:trPr>
          <w:trHeight w:val="222"/>
        </w:trPr>
        <w:tc>
          <w:tcPr>
            <w:tcW w:w="580" w:type="dxa"/>
            <w:vAlign w:val="bottom"/>
          </w:tcPr>
          <w:p>
            <w:pPr>
              <w:spacing w:after="0"/>
              <w:rPr>
                <w:sz w:val="20"/>
                <w:szCs w:val="20"/>
                <w:color w:val="auto"/>
              </w:rPr>
            </w:pPr>
            <w:r>
              <w:rPr>
                <w:rFonts w:ascii="Arial" w:cs="Arial" w:eastAsia="Arial" w:hAnsi="Arial"/>
                <w:sz w:val="18"/>
                <w:szCs w:val="18"/>
                <w:color w:val="auto"/>
              </w:rPr>
              <w:t>Title:</w:t>
            </w:r>
          </w:p>
        </w:tc>
        <w:tc>
          <w:tcPr>
            <w:tcW w:w="3980" w:type="dxa"/>
            <w:vAlign w:val="bottom"/>
          </w:tcPr>
          <w:p>
            <w:pPr>
              <w:spacing w:after="0"/>
              <w:rPr>
                <w:sz w:val="20"/>
                <w:szCs w:val="20"/>
                <w:color w:val="auto"/>
              </w:rPr>
            </w:pPr>
            <w:r>
              <w:rPr>
                <w:rFonts w:ascii="Arial" w:cs="Arial" w:eastAsia="Arial" w:hAnsi="Arial"/>
                <w:sz w:val="18"/>
                <w:szCs w:val="18"/>
                <w:color w:val="auto"/>
                <w:w w:val="95"/>
              </w:rPr>
              <w:t>Executive Vice President and Chief Financial Officer</w:t>
            </w:r>
          </w:p>
        </w:tc>
      </w:tr>
    </w:tbl>
    <w:p>
      <w:pPr>
        <w:spacing w:after="0" w:line="156" w:lineRule="exact"/>
        <w:rPr>
          <w:sz w:val="20"/>
          <w:szCs w:val="20"/>
          <w:color w:val="auto"/>
        </w:rPr>
      </w:pPr>
    </w:p>
    <w:p>
      <w:pPr>
        <w:spacing w:after="0"/>
        <w:rPr>
          <w:sz w:val="20"/>
          <w:szCs w:val="20"/>
          <w:color w:val="auto"/>
        </w:rPr>
      </w:pPr>
      <w:r>
        <w:rPr>
          <w:rFonts w:ascii="Arial" w:cs="Arial" w:eastAsia="Arial" w:hAnsi="Arial"/>
          <w:sz w:val="18"/>
          <w:szCs w:val="18"/>
          <w:color w:val="auto"/>
        </w:rPr>
        <w:t>Date: February 3, 2009</w:t>
      </w:r>
    </w:p>
    <w:p>
      <w:pPr>
        <w:sectPr>
          <w:pgSz w:w="11900" w:h="16838" w:orient="portrait"/>
          <w:cols w:equalWidth="0" w:num="1">
            <w:col w:w="11420"/>
          </w:cols>
          <w:pgMar w:left="240" w:top="280" w:right="239" w:bottom="1440" w:gutter="0" w:footer="0" w:header="0"/>
        </w:sectPr>
      </w:pPr>
    </w:p>
    <w:bookmarkStart w:id="4" w:name="page5"/>
    <w:bookmarkEnd w:id="4"/>
    <w:p>
      <w:pPr>
        <w:jc w:val="right"/>
        <w:spacing w:after="0"/>
        <w:rPr>
          <w:sz w:val="20"/>
          <w:szCs w:val="20"/>
          <w:color w:val="auto"/>
        </w:rPr>
      </w:pPr>
      <w:r>
        <w:rPr>
          <w:rFonts w:ascii="Arial" w:cs="Arial" w:eastAsia="Arial" w:hAnsi="Arial"/>
          <w:sz w:val="18"/>
          <w:szCs w:val="18"/>
          <w:b w:val="1"/>
          <w:bCs w:val="1"/>
          <w:color w:val="auto"/>
        </w:rPr>
        <w:t>Exhibit 10.1</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OPTION REPURCHASE AGREEMENT</w:t>
      </w:r>
    </w:p>
    <w:p>
      <w:pPr>
        <w:spacing w:after="0" w:line="177" w:lineRule="exact"/>
        <w:rPr>
          <w:sz w:val="20"/>
          <w:szCs w:val="20"/>
          <w:color w:val="auto"/>
        </w:rPr>
      </w:pPr>
    </w:p>
    <w:p>
      <w:pPr>
        <w:ind w:left="880" w:right="1240" w:hanging="420"/>
        <w:spacing w:after="0" w:line="268" w:lineRule="auto"/>
        <w:rPr>
          <w:sz w:val="20"/>
          <w:szCs w:val="20"/>
          <w:color w:val="auto"/>
        </w:rPr>
      </w:pPr>
      <w:r>
        <w:rPr>
          <w:rFonts w:ascii="Arial" w:cs="Arial" w:eastAsia="Arial" w:hAnsi="Arial"/>
          <w:sz w:val="18"/>
          <w:szCs w:val="18"/>
          <w:color w:val="auto"/>
        </w:rPr>
        <w:t>THIS OPTION REPURCHASE AGREEMENT (“Agreement”) is made and entered into effective as of January 29, 2009, by and between (“Seller”) and Casual Male Retail Group, Inc., a Delaware corporation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-38735</wp:posOffset>
            </wp:positionV>
            <wp:extent cx="55753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557530" cy="8890"/>
                    </a:xfrm>
                    <a:prstGeom prst="rect">
                      <a:avLst/>
                    </a:prstGeom>
                    <a:noFill/>
                  </pic:spPr>
                </pic:pic>
              </a:graphicData>
            </a:graphic>
          </wp:anchor>
        </w:drawing>
      </w: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RECITALS</w:t>
      </w:r>
    </w:p>
    <w:p>
      <w:pPr>
        <w:spacing w:after="0" w:line="177"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A. The Company has adopted a stock option repurchase program pursuant to which it is offering to purchase from directors and certain key executives stock options, vested and unvested, having an exercise price of $3.00 or greater (the “Eligible Options”) for a cash payment for each Eligible Option based on the Black-Scholes valuation of such option.</w:t>
      </w:r>
    </w:p>
    <w:p>
      <w:pPr>
        <w:spacing w:after="0" w:line="140" w:lineRule="exact"/>
        <w:rPr>
          <w:sz w:val="20"/>
          <w:szCs w:val="20"/>
          <w:color w:val="auto"/>
        </w:rPr>
      </w:pPr>
    </w:p>
    <w:p>
      <w:pPr>
        <w:ind w:right="20" w:firstLine="456"/>
        <w:spacing w:after="0" w:line="268" w:lineRule="auto"/>
        <w:rPr>
          <w:sz w:val="20"/>
          <w:szCs w:val="20"/>
          <w:color w:val="auto"/>
        </w:rPr>
      </w:pPr>
      <w:r>
        <w:rPr>
          <w:rFonts w:ascii="Arial" w:cs="Arial" w:eastAsia="Arial" w:hAnsi="Arial"/>
          <w:sz w:val="18"/>
          <w:szCs w:val="18"/>
          <w:color w:val="auto"/>
        </w:rPr>
        <w:t xml:space="preserve">B. As part of such program, Seller desires to sell to the Company, and the Company desires to repurchase from Seller, the Seller’s Eligible Options set forth on </w:t>
      </w:r>
      <w:r>
        <w:rPr>
          <w:rFonts w:ascii="Arial" w:cs="Arial" w:eastAsia="Arial" w:hAnsi="Arial"/>
          <w:sz w:val="18"/>
          <w:szCs w:val="18"/>
          <w:u w:val="single" w:color="auto"/>
          <w:color w:val="auto"/>
        </w:rPr>
        <w:t>Schedule A</w:t>
      </w:r>
      <w:r>
        <w:rPr>
          <w:rFonts w:ascii="Arial" w:cs="Arial" w:eastAsia="Arial" w:hAnsi="Arial"/>
          <w:sz w:val="18"/>
          <w:szCs w:val="18"/>
          <w:color w:val="auto"/>
        </w:rPr>
        <w:t xml:space="preserve"> hereto for the purchase price set forth on </w:t>
      </w:r>
      <w:r>
        <w:rPr>
          <w:rFonts w:ascii="Arial" w:cs="Arial" w:eastAsia="Arial" w:hAnsi="Arial"/>
          <w:sz w:val="18"/>
          <w:szCs w:val="18"/>
          <w:u w:val="single" w:color="auto"/>
          <w:color w:val="auto"/>
        </w:rPr>
        <w:t>Schedule A</w:t>
      </w:r>
      <w:r>
        <w:rPr>
          <w:rFonts w:ascii="Arial" w:cs="Arial" w:eastAsia="Arial" w:hAnsi="Arial"/>
          <w:sz w:val="18"/>
          <w:szCs w:val="18"/>
          <w:color w:val="auto"/>
        </w:rPr>
        <w:t xml:space="preserve"> hereto.</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C. The Company and Seller desire to enter into this Agreement setting forth certain terms relating to such option repurchase.</w:t>
      </w:r>
    </w:p>
    <w:p>
      <w:pPr>
        <w:spacing w:after="0" w:line="171" w:lineRule="exact"/>
        <w:rPr>
          <w:sz w:val="20"/>
          <w:szCs w:val="20"/>
          <w:color w:val="auto"/>
        </w:rPr>
      </w:pPr>
    </w:p>
    <w:p>
      <w:pPr>
        <w:ind w:right="140" w:firstLine="456"/>
        <w:spacing w:after="0" w:line="268" w:lineRule="auto"/>
        <w:rPr>
          <w:sz w:val="20"/>
          <w:szCs w:val="20"/>
          <w:color w:val="auto"/>
        </w:rPr>
      </w:pPr>
      <w:r>
        <w:rPr>
          <w:rFonts w:ascii="Arial" w:cs="Arial" w:eastAsia="Arial" w:hAnsi="Arial"/>
          <w:sz w:val="18"/>
          <w:szCs w:val="18"/>
          <w:color w:val="auto"/>
        </w:rPr>
        <w:t>NOW, THEREFORE, in consideration of the premises and mutual covenants set forth in this Agreement, and such other good and valuable consideration, the receipt and sufficiency of which is hereby acknowledged, Seller and the Company agree as follows:</w:t>
      </w:r>
    </w:p>
    <w:p>
      <w:pPr>
        <w:spacing w:after="0" w:line="51" w:lineRule="exact"/>
        <w:rPr>
          <w:sz w:val="20"/>
          <w:szCs w:val="20"/>
          <w:color w:val="auto"/>
        </w:rPr>
      </w:pPr>
    </w:p>
    <w:p>
      <w:pPr>
        <w:jc w:val="both"/>
        <w:ind w:right="100" w:firstLine="464"/>
        <w:spacing w:after="0" w:line="306" w:lineRule="auto"/>
        <w:tabs>
          <w:tab w:leader="none" w:pos="632" w:val="left"/>
        </w:tabs>
        <w:numPr>
          <w:ilvl w:val="0"/>
          <w:numId w:val="5"/>
        </w:numPr>
        <w:rPr>
          <w:rFonts w:ascii="Arial" w:cs="Arial" w:eastAsia="Arial" w:hAnsi="Arial"/>
          <w:sz w:val="16"/>
          <w:szCs w:val="16"/>
          <w:color w:val="auto"/>
        </w:rPr>
      </w:pPr>
      <w:r>
        <w:rPr>
          <w:rFonts w:ascii="Arial" w:cs="Arial" w:eastAsia="Arial" w:hAnsi="Arial"/>
          <w:sz w:val="16"/>
          <w:szCs w:val="16"/>
          <w:u w:val="single" w:color="auto"/>
          <w:color w:val="auto"/>
        </w:rPr>
        <w:t>Option Repurchase</w:t>
      </w:r>
      <w:r>
        <w:rPr>
          <w:rFonts w:ascii="Arial" w:cs="Arial" w:eastAsia="Arial" w:hAnsi="Arial"/>
          <w:sz w:val="16"/>
          <w:szCs w:val="16"/>
          <w:color w:val="auto"/>
        </w:rPr>
        <w:t xml:space="preserve">. The Company hereby agrees to repurchase, and Seller hereby agrees to sell to the Company, all of Seller’s right, title and interest to the Eligible Options set forth on </w:t>
      </w:r>
      <w:r>
        <w:rPr>
          <w:rFonts w:ascii="Arial" w:cs="Arial" w:eastAsia="Arial" w:hAnsi="Arial"/>
          <w:sz w:val="16"/>
          <w:szCs w:val="16"/>
          <w:u w:val="single" w:color="auto"/>
          <w:color w:val="auto"/>
        </w:rPr>
        <w:t>Schedule A</w:t>
      </w:r>
      <w:r>
        <w:rPr>
          <w:rFonts w:ascii="Arial" w:cs="Arial" w:eastAsia="Arial" w:hAnsi="Arial"/>
          <w:sz w:val="16"/>
          <w:szCs w:val="16"/>
          <w:color w:val="auto"/>
        </w:rPr>
        <w:t xml:space="preserve"> hereto for the purchase price set forth on </w:t>
      </w:r>
      <w:r>
        <w:rPr>
          <w:rFonts w:ascii="Arial" w:cs="Arial" w:eastAsia="Arial" w:hAnsi="Arial"/>
          <w:sz w:val="16"/>
          <w:szCs w:val="16"/>
          <w:u w:val="single" w:color="auto"/>
          <w:color w:val="auto"/>
        </w:rPr>
        <w:t>Schedule A</w:t>
      </w:r>
      <w:r>
        <w:rPr>
          <w:rFonts w:ascii="Arial" w:cs="Arial" w:eastAsia="Arial" w:hAnsi="Arial"/>
          <w:sz w:val="16"/>
          <w:szCs w:val="16"/>
          <w:color w:val="auto"/>
        </w:rPr>
        <w:t xml:space="preserve"> hereto. Upon payment of such purchase price by the Company to the Seller, such Eligible Options shall be terminated and Seller shall no longer have any rights with respect to such Eligible Options.</w:t>
      </w:r>
    </w:p>
    <w:p>
      <w:pPr>
        <w:spacing w:after="0" w:line="106" w:lineRule="exact"/>
        <w:rPr>
          <w:rFonts w:ascii="Arial" w:cs="Arial" w:eastAsia="Arial" w:hAnsi="Arial"/>
          <w:sz w:val="16"/>
          <w:szCs w:val="16"/>
          <w:color w:val="auto"/>
        </w:rPr>
      </w:pPr>
    </w:p>
    <w:p>
      <w:pPr>
        <w:ind w:right="40" w:firstLine="464"/>
        <w:spacing w:after="0" w:line="298" w:lineRule="auto"/>
        <w:tabs>
          <w:tab w:leader="none" w:pos="632" w:val="left"/>
        </w:tabs>
        <w:numPr>
          <w:ilvl w:val="0"/>
          <w:numId w:val="5"/>
        </w:numPr>
        <w:rPr>
          <w:rFonts w:ascii="Arial" w:cs="Arial" w:eastAsia="Arial" w:hAnsi="Arial"/>
          <w:sz w:val="16"/>
          <w:szCs w:val="16"/>
          <w:color w:val="auto"/>
        </w:rPr>
      </w:pPr>
      <w:r>
        <w:rPr>
          <w:rFonts w:ascii="Arial" w:cs="Arial" w:eastAsia="Arial" w:hAnsi="Arial"/>
          <w:sz w:val="16"/>
          <w:szCs w:val="16"/>
          <w:u w:val="single" w:color="auto"/>
          <w:color w:val="auto"/>
        </w:rPr>
        <w:t>No Entitlement to Future Awards</w:t>
      </w:r>
      <w:r>
        <w:rPr>
          <w:rFonts w:ascii="Arial" w:cs="Arial" w:eastAsia="Arial" w:hAnsi="Arial"/>
          <w:sz w:val="16"/>
          <w:szCs w:val="16"/>
          <w:color w:val="auto"/>
        </w:rPr>
        <w:t>. The Seller acknowledges that the Seller’s participation in the option repurchase program, of which this Agreement is a part, does not entitle Seller to any equity-based awards in the future, and any such future grants are in the complete discretion of the Company. In that regard, each of the Seller and the Company acknowledge and confirm that there is no agreement, commitment, offer or understanding with or by the Company involving future grants of equity-based awards to the Seller as a result of this Agreement or otherwise.</w:t>
      </w:r>
    </w:p>
    <w:p>
      <w:pPr>
        <w:spacing w:after="0" w:line="112" w:lineRule="exact"/>
        <w:rPr>
          <w:rFonts w:ascii="Arial" w:cs="Arial" w:eastAsia="Arial" w:hAnsi="Arial"/>
          <w:sz w:val="16"/>
          <w:szCs w:val="16"/>
          <w:color w:val="auto"/>
        </w:rPr>
      </w:pPr>
    </w:p>
    <w:p>
      <w:pPr>
        <w:ind w:firstLine="464"/>
        <w:spacing w:after="0" w:line="256" w:lineRule="auto"/>
        <w:tabs>
          <w:tab w:leader="none" w:pos="632" w:val="left"/>
        </w:tabs>
        <w:numPr>
          <w:ilvl w:val="0"/>
          <w:numId w:val="5"/>
        </w:numPr>
        <w:rPr>
          <w:rFonts w:ascii="Arial" w:cs="Arial" w:eastAsia="Arial" w:hAnsi="Arial"/>
          <w:sz w:val="18"/>
          <w:szCs w:val="18"/>
          <w:color w:val="auto"/>
        </w:rPr>
      </w:pPr>
      <w:r>
        <w:rPr>
          <w:rFonts w:ascii="Arial" w:cs="Arial" w:eastAsia="Arial" w:hAnsi="Arial"/>
          <w:sz w:val="18"/>
          <w:szCs w:val="18"/>
          <w:u w:val="single" w:color="auto"/>
          <w:color w:val="auto"/>
        </w:rPr>
        <w:t>Sophistication</w:t>
      </w:r>
      <w:r>
        <w:rPr>
          <w:rFonts w:ascii="Arial" w:cs="Arial" w:eastAsia="Arial" w:hAnsi="Arial"/>
          <w:sz w:val="18"/>
          <w:szCs w:val="18"/>
          <w:color w:val="auto"/>
        </w:rPr>
        <w:t>. The Seller represents and warrants that Seller has sufficient knowledge, sophistication and experience in business and financial matters so as to be capable of evaluating the merits and risks of the transaction contemplated by this Agreement, and has so evaluated the merits and risks of such transaction. The Seller has sought such accounting, legal and tax advice as Seller has considered necessary to make an informed decision with respect to this transaction.</w:t>
      </w:r>
    </w:p>
    <w:p>
      <w:pPr>
        <w:spacing w:after="0" w:line="143" w:lineRule="exact"/>
        <w:rPr>
          <w:rFonts w:ascii="Arial" w:cs="Arial" w:eastAsia="Arial" w:hAnsi="Arial"/>
          <w:sz w:val="18"/>
          <w:szCs w:val="18"/>
          <w:color w:val="auto"/>
        </w:rPr>
      </w:pPr>
    </w:p>
    <w:p>
      <w:pPr>
        <w:ind w:right="280" w:firstLine="464"/>
        <w:spacing w:after="0" w:line="268" w:lineRule="auto"/>
        <w:tabs>
          <w:tab w:leader="none" w:pos="632" w:val="left"/>
        </w:tabs>
        <w:numPr>
          <w:ilvl w:val="0"/>
          <w:numId w:val="5"/>
        </w:numPr>
        <w:rPr>
          <w:rFonts w:ascii="Arial" w:cs="Arial" w:eastAsia="Arial" w:hAnsi="Arial"/>
          <w:sz w:val="18"/>
          <w:szCs w:val="18"/>
          <w:color w:val="auto"/>
        </w:rPr>
      </w:pPr>
      <w:r>
        <w:rPr>
          <w:rFonts w:ascii="Arial" w:cs="Arial" w:eastAsia="Arial" w:hAnsi="Arial"/>
          <w:sz w:val="18"/>
          <w:szCs w:val="18"/>
          <w:u w:val="single" w:color="auto"/>
          <w:color w:val="auto"/>
        </w:rPr>
        <w:t>Counterparts</w:t>
      </w:r>
      <w:r>
        <w:rPr>
          <w:rFonts w:ascii="Arial" w:cs="Arial" w:eastAsia="Arial" w:hAnsi="Arial"/>
          <w:sz w:val="18"/>
          <w:szCs w:val="18"/>
          <w:color w:val="auto"/>
        </w:rPr>
        <w:t>. This Agreement may be executed in counterparts, each of which shall serve as an original for all purposes, but all copies of which shall constitute but one and the same Agreement.</w:t>
      </w:r>
    </w:p>
    <w:p>
      <w:pPr>
        <w:sectPr>
          <w:pgSz w:w="11900" w:h="16838" w:orient="portrait"/>
          <w:cols w:equalWidth="0" w:num="1">
            <w:col w:w="11420"/>
          </w:cols>
          <w:pgMar w:left="240" w:top="125" w:right="239" w:bottom="1440" w:gutter="0" w:footer="0" w:header="0"/>
        </w:sectPr>
      </w:pPr>
    </w:p>
    <w:bookmarkStart w:id="5" w:name="page6"/>
    <w:bookmarkEnd w:id="5"/>
    <w:p>
      <w:pPr>
        <w:spacing w:after="0"/>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IN WITNESS WHEREOF</w:t>
      </w:r>
      <w:r>
        <w:rPr>
          <w:rFonts w:ascii="Arial" w:cs="Arial" w:eastAsia="Arial" w:hAnsi="Arial"/>
          <w:sz w:val="16"/>
          <w:szCs w:val="16"/>
          <w:color w:val="auto"/>
        </w:rPr>
        <w:t>, the parties to this Agreement have hereunto set their names as of the date first above written.</w:t>
      </w:r>
    </w:p>
    <w:p>
      <w:pPr>
        <w:spacing w:after="0" w:line="235" w:lineRule="exact"/>
        <w:rPr>
          <w:sz w:val="20"/>
          <w:szCs w:val="20"/>
          <w:color w:val="auto"/>
        </w:rPr>
      </w:pPr>
    </w:p>
    <w:p>
      <w:pPr>
        <w:ind w:left="6400"/>
        <w:spacing w:after="0"/>
        <w:rPr>
          <w:sz w:val="20"/>
          <w:szCs w:val="20"/>
          <w:color w:val="auto"/>
        </w:rPr>
      </w:pPr>
      <w:r>
        <w:rPr>
          <w:rFonts w:ascii="Arial" w:cs="Arial" w:eastAsia="Arial" w:hAnsi="Arial"/>
          <w:sz w:val="18"/>
          <w:szCs w:val="18"/>
          <w:b w:val="1"/>
          <w:bCs w:val="1"/>
          <w:color w:val="auto"/>
        </w:rPr>
        <w:t>THE COMPANY:</w:t>
      </w:r>
    </w:p>
    <w:p>
      <w:pPr>
        <w:spacing w:after="0" w:line="225" w:lineRule="exact"/>
        <w:rPr>
          <w:sz w:val="20"/>
          <w:szCs w:val="20"/>
          <w:color w:val="auto"/>
        </w:rPr>
      </w:pPr>
    </w:p>
    <w:p>
      <w:pPr>
        <w:jc w:val="right"/>
        <w:ind w:right="259"/>
        <w:spacing w:after="0"/>
        <w:rPr>
          <w:sz w:val="20"/>
          <w:szCs w:val="20"/>
          <w:color w:val="auto"/>
        </w:rPr>
      </w:pPr>
      <w:r>
        <w:rPr>
          <w:rFonts w:ascii="Arial" w:cs="Arial" w:eastAsia="Arial" w:hAnsi="Arial"/>
          <w:sz w:val="18"/>
          <w:szCs w:val="18"/>
          <w:b w:val="1"/>
          <w:bCs w:val="1"/>
          <w:color w:val="auto"/>
        </w:rPr>
        <w:t>CASUAL MALE RETAIL GROUP,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4060825</wp:posOffset>
            </wp:positionH>
            <wp:positionV relativeFrom="paragraph">
              <wp:posOffset>289560</wp:posOffset>
            </wp:positionV>
            <wp:extent cx="2898775"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200" w:lineRule="exact"/>
        <w:rPr>
          <w:sz w:val="20"/>
          <w:szCs w:val="20"/>
          <w:color w:val="auto"/>
        </w:rPr>
      </w:pPr>
    </w:p>
    <w:p>
      <w:pPr>
        <w:spacing w:after="0" w:line="254" w:lineRule="exact"/>
        <w:rPr>
          <w:sz w:val="20"/>
          <w:szCs w:val="20"/>
          <w:color w:val="auto"/>
        </w:rPr>
      </w:pPr>
    </w:p>
    <w:p>
      <w:pPr>
        <w:ind w:left="6400"/>
        <w:spacing w:after="0"/>
        <w:rPr>
          <w:sz w:val="20"/>
          <w:szCs w:val="20"/>
          <w:color w:val="auto"/>
        </w:rPr>
      </w:pPr>
      <w:r>
        <w:rPr>
          <w:rFonts w:ascii="Arial" w:cs="Arial" w:eastAsia="Arial" w:hAnsi="Arial"/>
          <w:sz w:val="18"/>
          <w:szCs w:val="18"/>
          <w:color w:val="auto"/>
        </w:rPr>
        <w:t>By: David A. Levin</w:t>
      </w:r>
    </w:p>
    <w:p>
      <w:pPr>
        <w:spacing w:after="0" w:line="15" w:lineRule="exact"/>
        <w:rPr>
          <w:sz w:val="20"/>
          <w:szCs w:val="20"/>
          <w:color w:val="auto"/>
        </w:rPr>
      </w:pPr>
    </w:p>
    <w:p>
      <w:pPr>
        <w:ind w:left="6400"/>
        <w:spacing w:after="0"/>
        <w:rPr>
          <w:sz w:val="20"/>
          <w:szCs w:val="20"/>
          <w:color w:val="auto"/>
        </w:rPr>
      </w:pPr>
      <w:r>
        <w:rPr>
          <w:rFonts w:ascii="Arial" w:cs="Arial" w:eastAsia="Arial" w:hAnsi="Arial"/>
          <w:sz w:val="18"/>
          <w:szCs w:val="18"/>
          <w:color w:val="auto"/>
        </w:rPr>
        <w:t>Its: President, CEO</w:t>
      </w:r>
    </w:p>
    <w:p>
      <w:pPr>
        <w:spacing w:after="0" w:line="213" w:lineRule="exact"/>
        <w:rPr>
          <w:sz w:val="20"/>
          <w:szCs w:val="20"/>
          <w:color w:val="auto"/>
        </w:rPr>
      </w:pPr>
    </w:p>
    <w:p>
      <w:pPr>
        <w:ind w:left="6400"/>
        <w:spacing w:after="0"/>
        <w:rPr>
          <w:sz w:val="20"/>
          <w:szCs w:val="20"/>
          <w:color w:val="auto"/>
        </w:rPr>
      </w:pPr>
      <w:r>
        <w:rPr>
          <w:rFonts w:ascii="Arial" w:cs="Arial" w:eastAsia="Arial" w:hAnsi="Arial"/>
          <w:sz w:val="18"/>
          <w:szCs w:val="18"/>
          <w:b w:val="1"/>
          <w:bCs w:val="1"/>
          <w:color w:val="auto"/>
        </w:rPr>
        <w:t>SELLER: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4060825</wp:posOffset>
            </wp:positionH>
            <wp:positionV relativeFrom="paragraph">
              <wp:posOffset>289560</wp:posOffset>
            </wp:positionV>
            <wp:extent cx="2898775"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ectPr>
          <w:pgSz w:w="11900" w:h="16838" w:orient="portrait"/>
          <w:cols w:equalWidth="0" w:num="1">
            <w:col w:w="9759"/>
          </w:cols>
          <w:pgMar w:left="700" w:top="274" w:right="1440" w:bottom="1440" w:gutter="0" w:footer="0" w:header="0"/>
        </w:sectPr>
      </w:pPr>
    </w:p>
    <w:bookmarkStart w:id="6" w:name="page7"/>
    <w:bookmarkEnd w:id="6"/>
    <w:p>
      <w:pPr>
        <w:jc w:val="center"/>
        <w:spacing w:after="0"/>
        <w:rPr>
          <w:sz w:val="20"/>
          <w:szCs w:val="20"/>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Schedule A</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9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60" w:type="dxa"/>
            <w:vAlign w:val="bottom"/>
          </w:tcPr>
          <w:p>
            <w:pPr>
              <w:jc w:val="center"/>
              <w:spacing w:after="0"/>
              <w:rPr>
                <w:sz w:val="20"/>
                <w:szCs w:val="20"/>
                <w:color w:val="auto"/>
              </w:rPr>
            </w:pPr>
            <w:r>
              <w:rPr>
                <w:rFonts w:ascii="Arial" w:cs="Arial" w:eastAsia="Arial" w:hAnsi="Arial"/>
                <w:sz w:val="14"/>
                <w:szCs w:val="14"/>
                <w:b w:val="1"/>
                <w:bCs w:val="1"/>
                <w:color w:val="auto"/>
                <w:w w:val="89"/>
              </w:rPr>
              <w:t>Number of Option</w:t>
            </w:r>
          </w:p>
        </w:tc>
        <w:tc>
          <w:tcPr>
            <w:tcW w:w="12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60" w:type="dxa"/>
            <w:vAlign w:val="bottom"/>
          </w:tcPr>
          <w:p>
            <w:pPr>
              <w:spacing w:after="0"/>
              <w:rPr>
                <w:sz w:val="14"/>
                <w:szCs w:val="14"/>
                <w:color w:val="auto"/>
              </w:rPr>
            </w:pPr>
          </w:p>
        </w:tc>
      </w:tr>
      <w:tr>
        <w:trPr>
          <w:trHeight w:val="149"/>
        </w:trPr>
        <w:tc>
          <w:tcPr>
            <w:tcW w:w="19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Number of Option</w:t>
            </w:r>
          </w:p>
        </w:tc>
        <w:tc>
          <w:tcPr>
            <w:tcW w:w="120" w:type="dxa"/>
            <w:vAlign w:val="bottom"/>
          </w:tcPr>
          <w:p>
            <w:pPr>
              <w:spacing w:after="0"/>
              <w:rPr>
                <w:sz w:val="12"/>
                <w:szCs w:val="12"/>
                <w:color w:val="auto"/>
              </w:rPr>
            </w:pPr>
          </w:p>
        </w:tc>
        <w:tc>
          <w:tcPr>
            <w:tcW w:w="15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6"/>
              </w:rPr>
              <w:t>Exercise Price Per</w:t>
            </w:r>
          </w:p>
        </w:tc>
        <w:tc>
          <w:tcPr>
            <w:tcW w:w="120" w:type="dxa"/>
            <w:vAlign w:val="bottom"/>
          </w:tcPr>
          <w:p>
            <w:pPr>
              <w:spacing w:after="0"/>
              <w:rPr>
                <w:sz w:val="12"/>
                <w:szCs w:val="12"/>
                <w:color w:val="auto"/>
              </w:rPr>
            </w:pPr>
          </w:p>
        </w:tc>
        <w:tc>
          <w:tcPr>
            <w:tcW w:w="14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3"/>
              </w:rPr>
              <w:t>Shares for</w:t>
            </w:r>
          </w:p>
        </w:tc>
        <w:tc>
          <w:tcPr>
            <w:tcW w:w="120" w:type="dxa"/>
            <w:vAlign w:val="bottom"/>
          </w:tcPr>
          <w:p>
            <w:pPr>
              <w:spacing w:after="0"/>
              <w:rPr>
                <w:sz w:val="12"/>
                <w:szCs w:val="12"/>
                <w:color w:val="auto"/>
              </w:rPr>
            </w:pPr>
          </w:p>
        </w:tc>
        <w:tc>
          <w:tcPr>
            <w:tcW w:w="14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3"/>
              </w:rPr>
              <w:t>Black-Scholes</w:t>
            </w:r>
          </w:p>
        </w:tc>
        <w:tc>
          <w:tcPr>
            <w:tcW w:w="120" w:type="dxa"/>
            <w:vAlign w:val="bottom"/>
          </w:tcPr>
          <w:p>
            <w:pPr>
              <w:spacing w:after="0"/>
              <w:rPr>
                <w:sz w:val="12"/>
                <w:szCs w:val="12"/>
                <w:color w:val="auto"/>
              </w:rPr>
            </w:pPr>
          </w:p>
        </w:tc>
        <w:tc>
          <w:tcPr>
            <w:tcW w:w="13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5"/>
              </w:rPr>
              <w:t>Total Purchase</w:t>
            </w:r>
          </w:p>
        </w:tc>
      </w:tr>
      <w:tr>
        <w:trPr>
          <w:trHeight w:val="175"/>
        </w:trPr>
        <w:tc>
          <w:tcPr>
            <w:tcW w:w="1960" w:type="dxa"/>
            <w:vAlign w:val="bottom"/>
            <w:tcBorders>
              <w:bottom w:val="single" w:sz="8" w:color="auto"/>
            </w:tcBorders>
          </w:tcPr>
          <w:p>
            <w:pPr>
              <w:ind w:left="840"/>
              <w:spacing w:after="0"/>
              <w:rPr>
                <w:sz w:val="20"/>
                <w:szCs w:val="20"/>
                <w:color w:val="auto"/>
              </w:rPr>
            </w:pPr>
            <w:r>
              <w:rPr>
                <w:rFonts w:ascii="Arial" w:cs="Arial" w:eastAsia="Arial" w:hAnsi="Arial"/>
                <w:sz w:val="14"/>
                <w:szCs w:val="14"/>
                <w:b w:val="1"/>
                <w:bCs w:val="1"/>
                <w:color w:val="auto"/>
              </w:rPr>
              <w:t>Plan</w:t>
            </w:r>
          </w:p>
        </w:tc>
        <w:tc>
          <w:tcPr>
            <w:tcW w:w="120" w:type="dxa"/>
            <w:vAlign w:val="bottom"/>
          </w:tcPr>
          <w:p>
            <w:pPr>
              <w:spacing w:after="0"/>
              <w:rPr>
                <w:sz w:val="15"/>
                <w:szCs w:val="15"/>
                <w:color w:val="auto"/>
              </w:rPr>
            </w:pPr>
          </w:p>
        </w:tc>
        <w:tc>
          <w:tcPr>
            <w:tcW w:w="1480" w:type="dxa"/>
            <w:vAlign w:val="bottom"/>
            <w:tcBorders>
              <w:bottom w:val="single" w:sz="8" w:color="auto"/>
            </w:tcBorders>
          </w:tcPr>
          <w:p>
            <w:pPr>
              <w:ind w:left="400"/>
              <w:spacing w:after="0"/>
              <w:rPr>
                <w:sz w:val="20"/>
                <w:szCs w:val="20"/>
                <w:color w:val="auto"/>
              </w:rPr>
            </w:pPr>
            <w:r>
              <w:rPr>
                <w:rFonts w:ascii="Arial" w:cs="Arial" w:eastAsia="Arial" w:hAnsi="Arial"/>
                <w:sz w:val="14"/>
                <w:szCs w:val="14"/>
                <w:b w:val="1"/>
                <w:bCs w:val="1"/>
                <w:color w:val="auto"/>
              </w:rPr>
              <w:t>Grant Date</w:t>
            </w:r>
          </w:p>
        </w:tc>
        <w:tc>
          <w:tcPr>
            <w:tcW w:w="120" w:type="dxa"/>
            <w:vAlign w:val="bottom"/>
          </w:tcPr>
          <w:p>
            <w:pPr>
              <w:spacing w:after="0"/>
              <w:rPr>
                <w:sz w:val="15"/>
                <w:szCs w:val="15"/>
                <w:color w:val="auto"/>
              </w:rPr>
            </w:pPr>
          </w:p>
        </w:tc>
        <w:tc>
          <w:tcPr>
            <w:tcW w:w="14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1"/>
              </w:rPr>
              <w:t>Shares</w:t>
            </w:r>
          </w:p>
        </w:tc>
        <w:tc>
          <w:tcPr>
            <w:tcW w:w="120" w:type="dxa"/>
            <w:vAlign w:val="bottom"/>
          </w:tcPr>
          <w:p>
            <w:pPr>
              <w:spacing w:after="0"/>
              <w:rPr>
                <w:sz w:val="15"/>
                <w:szCs w:val="15"/>
                <w:color w:val="auto"/>
              </w:rPr>
            </w:pPr>
          </w:p>
        </w:tc>
        <w:tc>
          <w:tcPr>
            <w:tcW w:w="15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7"/>
              </w:rPr>
              <w:t>Share</w:t>
            </w:r>
          </w:p>
        </w:tc>
        <w:tc>
          <w:tcPr>
            <w:tcW w:w="120" w:type="dxa"/>
            <w:vAlign w:val="bottom"/>
          </w:tcPr>
          <w:p>
            <w:pPr>
              <w:spacing w:after="0"/>
              <w:rPr>
                <w:sz w:val="15"/>
                <w:szCs w:val="15"/>
                <w:color w:val="auto"/>
              </w:rPr>
            </w:pPr>
          </w:p>
        </w:tc>
        <w:tc>
          <w:tcPr>
            <w:tcW w:w="14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4"/>
              </w:rPr>
              <w:t>Repurchase</w:t>
            </w:r>
          </w:p>
        </w:tc>
        <w:tc>
          <w:tcPr>
            <w:tcW w:w="120" w:type="dxa"/>
            <w:vAlign w:val="bottom"/>
          </w:tcPr>
          <w:p>
            <w:pPr>
              <w:spacing w:after="0"/>
              <w:rPr>
                <w:sz w:val="15"/>
                <w:szCs w:val="15"/>
                <w:color w:val="auto"/>
              </w:rPr>
            </w:pPr>
          </w:p>
        </w:tc>
        <w:tc>
          <w:tcPr>
            <w:tcW w:w="14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8"/>
              </w:rPr>
              <w:t>Valuation</w:t>
            </w:r>
          </w:p>
        </w:tc>
        <w:tc>
          <w:tcPr>
            <w:tcW w:w="120" w:type="dxa"/>
            <w:vAlign w:val="bottom"/>
          </w:tcPr>
          <w:p>
            <w:pPr>
              <w:spacing w:after="0"/>
              <w:rPr>
                <w:sz w:val="15"/>
                <w:szCs w:val="15"/>
                <w:color w:val="auto"/>
              </w:rPr>
            </w:pPr>
          </w:p>
        </w:tc>
        <w:tc>
          <w:tcPr>
            <w:tcW w:w="13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7"/>
              </w:rPr>
              <w:t>Price</w:t>
            </w:r>
          </w:p>
        </w:tc>
      </w:tr>
    </w:tbl>
    <w:p>
      <w:pPr>
        <w:spacing w:after="0" w:line="1" w:lineRule="exact"/>
        <w:rPr>
          <w:sz w:val="20"/>
          <w:szCs w:val="20"/>
          <w:color w:val="auto"/>
        </w:rPr>
      </w:pPr>
    </w:p>
    <w:sectPr>
      <w:pgSz w:w="11900" w:h="16838" w:orient="portrait"/>
      <w:cols w:equalWidth="0" w:num="1">
        <w:col w:w="11420"/>
      </w:cols>
      <w:pgMar w:left="240" w:top="280"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9495CFF"/>
    <w:multiLevelType w:val="hybridMultilevel"/>
    <w:lvl w:ilvl="0">
      <w:lvlJc w:val="left"/>
      <w:lvlText w:val="☐"/>
      <w:numFmt w:val="bullet"/>
      <w:start w:val="1"/>
    </w:lvl>
  </w:abstractNum>
  <w:abstractNum w:abstractNumId="1">
    <w:nsid w:val="2AE8944A"/>
    <w:multiLevelType w:val="hybridMultilevel"/>
    <w:lvl w:ilvl="0">
      <w:lvlJc w:val="left"/>
      <w:lvlText w:val="(%1)"/>
      <w:numFmt w:val="lowerLetter"/>
      <w:start w:val="5"/>
    </w:lvl>
  </w:abstractNum>
  <w:abstractNum w:abstractNumId="2">
    <w:nsid w:val="625558EC"/>
    <w:multiLevelType w:val="hybridMultilevel"/>
    <w:lvl w:ilvl="0">
      <w:lvlJc w:val="left"/>
      <w:lvlText w:val="(%1)"/>
      <w:numFmt w:val="decimal"/>
      <w:start w:val="1"/>
    </w:lvl>
  </w:abstractNum>
  <w:abstractNum w:abstractNumId="3">
    <w:nsid w:val="238E1F29"/>
    <w:multiLevelType w:val="hybridMultilevel"/>
    <w:lvl w:ilvl="0">
      <w:lvlJc w:val="left"/>
      <w:lvlText w:val="(%1)"/>
      <w:numFmt w:val="lowerLetter"/>
      <w:start w:val="4"/>
    </w:lvl>
  </w:abstractNum>
  <w:abstractNum w:abstractNumId="4">
    <w:nsid w:val="46E87CCD"/>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2019-12-10T06:33:13Z</dcterms:created>
  <dcterms:modified xsi:type="dcterms:W3CDTF">2019-12-10T06:33:13Z</dcterms:modified>
</cp:coreProperties>
</file>