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17, 2014</w:t>
      </w:r>
    </w:p>
    <w:p>
      <w:pPr>
        <w:spacing w:after="0" w:line="225"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6240" w:type="dxa"/>
            <w:vAlign w:val="bottom"/>
          </w:tcPr>
          <w:p>
            <w:pPr>
              <w:jc w:val="center"/>
              <w:ind w:right="3577"/>
              <w:spacing w:after="0"/>
              <w:rPr>
                <w:sz w:val="20"/>
                <w:szCs w:val="20"/>
                <w:color w:val="auto"/>
              </w:rPr>
            </w:pPr>
            <w:r>
              <w:rPr>
                <w:rFonts w:ascii="Arial" w:cs="Arial" w:eastAsia="Arial" w:hAnsi="Arial"/>
                <w:sz w:val="18"/>
                <w:szCs w:val="18"/>
                <w:b w:val="1"/>
                <w:bCs w:val="1"/>
                <w:color w:val="auto"/>
                <w:w w:val="93"/>
              </w:rPr>
              <w:t>Delaware</w:t>
            </w: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240" w:type="dxa"/>
            <w:vAlign w:val="bottom"/>
          </w:tcPr>
          <w:p>
            <w:pPr>
              <w:jc w:val="center"/>
              <w:ind w:right="35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240" w:type="dxa"/>
            <w:vAlign w:val="bottom"/>
          </w:tcPr>
          <w:p>
            <w:pPr>
              <w:jc w:val="center"/>
              <w:ind w:right="3557"/>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No.)</w:t>
            </w:r>
          </w:p>
        </w:tc>
      </w:tr>
      <w:tr>
        <w:trPr>
          <w:trHeight w:val="584"/>
        </w:trPr>
        <w:tc>
          <w:tcPr>
            <w:tcW w:w="6240" w:type="dxa"/>
            <w:vAlign w:val="bottom"/>
          </w:tcPr>
          <w:p>
            <w:pPr>
              <w:jc w:val="center"/>
              <w:ind w:right="3577"/>
              <w:spacing w:after="0"/>
              <w:rPr>
                <w:sz w:val="20"/>
                <w:szCs w:val="20"/>
                <w:color w:val="auto"/>
              </w:rPr>
            </w:pPr>
            <w:r>
              <w:rPr>
                <w:rFonts w:ascii="Arial" w:cs="Arial" w:eastAsia="Arial" w:hAnsi="Arial"/>
                <w:sz w:val="18"/>
                <w:szCs w:val="18"/>
                <w:b w:val="1"/>
                <w:bCs w:val="1"/>
                <w:color w:val="auto"/>
                <w:w w:val="93"/>
              </w:rPr>
              <w:t>555 Turnpike Street, Canton, MA</w:t>
            </w:r>
          </w:p>
        </w:tc>
        <w:tc>
          <w:tcPr>
            <w:tcW w:w="138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6240" w:type="dxa"/>
            <w:vAlign w:val="bottom"/>
          </w:tcPr>
          <w:p>
            <w:pPr>
              <w:jc w:val="center"/>
              <w:ind w:right="357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6240" w:type="dxa"/>
            <w:vAlign w:val="bottom"/>
          </w:tcPr>
          <w:p>
            <w:pPr>
              <w:jc w:val="center"/>
              <w:ind w:left="1917"/>
              <w:spacing w:after="0"/>
              <w:rPr>
                <w:sz w:val="20"/>
                <w:szCs w:val="20"/>
                <w:color w:val="auto"/>
              </w:rPr>
            </w:pPr>
            <w:r>
              <w:rPr>
                <w:rFonts w:ascii="Arial" w:cs="Arial" w:eastAsia="Arial" w:hAnsi="Arial"/>
                <w:sz w:val="18"/>
                <w:szCs w:val="18"/>
                <w:b w:val="1"/>
                <w:bCs w:val="1"/>
                <w:color w:val="auto"/>
              </w:rPr>
              <w:t>DESTINATION XL GROUP, INC.</w:t>
            </w:r>
          </w:p>
        </w:tc>
        <w:tc>
          <w:tcPr>
            <w:tcW w:w="1380" w:type="dxa"/>
            <w:vAlign w:val="bottom"/>
          </w:tcPr>
          <w:p>
            <w:pPr>
              <w:spacing w:after="0"/>
              <w:rPr>
                <w:sz w:val="24"/>
                <w:szCs w:val="24"/>
                <w:color w:val="auto"/>
              </w:rPr>
            </w:pPr>
          </w:p>
        </w:tc>
      </w:tr>
      <w:tr>
        <w:trPr>
          <w:trHeight w:val="212"/>
        </w:trPr>
        <w:tc>
          <w:tcPr>
            <w:tcW w:w="6240" w:type="dxa"/>
            <w:vAlign w:val="bottom"/>
          </w:tcPr>
          <w:p>
            <w:pPr>
              <w:jc w:val="center"/>
              <w:ind w:left="1917"/>
              <w:spacing w:after="0"/>
              <w:rPr>
                <w:sz w:val="20"/>
                <w:szCs w:val="20"/>
                <w:color w:val="auto"/>
              </w:rPr>
            </w:pPr>
            <w:r>
              <w:rPr>
                <w:rFonts w:ascii="Arial" w:cs="Arial" w:eastAsia="Arial" w:hAnsi="Arial"/>
                <w:sz w:val="18"/>
                <w:szCs w:val="18"/>
                <w:b w:val="1"/>
                <w:bCs w:val="1"/>
                <w:color w:val="auto"/>
              </w:rPr>
              <w:t>2006 INCENTIVE COMPENSATION PLAN</w:t>
            </w:r>
          </w:p>
        </w:tc>
        <w:tc>
          <w:tcPr>
            <w:tcW w:w="1380" w:type="dxa"/>
            <w:vAlign w:val="bottom"/>
          </w:tcPr>
          <w:p>
            <w:pPr>
              <w:spacing w:after="0"/>
              <w:rPr>
                <w:sz w:val="18"/>
                <w:szCs w:val="18"/>
                <w:color w:val="auto"/>
              </w:rPr>
            </w:pPr>
          </w:p>
        </w:tc>
      </w:tr>
      <w:tr>
        <w:trPr>
          <w:trHeight w:val="186"/>
        </w:trPr>
        <w:tc>
          <w:tcPr>
            <w:tcW w:w="6240" w:type="dxa"/>
            <w:vAlign w:val="bottom"/>
          </w:tcPr>
          <w:p>
            <w:pPr>
              <w:jc w:val="center"/>
              <w:ind w:left="1897"/>
              <w:spacing w:after="0"/>
              <w:rPr>
                <w:sz w:val="20"/>
                <w:szCs w:val="20"/>
                <w:color w:val="auto"/>
              </w:rPr>
            </w:pPr>
            <w:r>
              <w:rPr>
                <w:rFonts w:ascii="Arial" w:cs="Arial" w:eastAsia="Arial" w:hAnsi="Arial"/>
                <w:sz w:val="14"/>
                <w:szCs w:val="14"/>
                <w:b w:val="1"/>
                <w:bCs w:val="1"/>
                <w:color w:val="auto"/>
                <w:w w:val="94"/>
              </w:rPr>
              <w:t>(Full title of the plan)</w:t>
            </w:r>
          </w:p>
        </w:tc>
        <w:tc>
          <w:tcPr>
            <w:tcW w:w="1380" w:type="dxa"/>
            <w:vAlign w:val="bottom"/>
          </w:tcPr>
          <w:p>
            <w:pPr>
              <w:spacing w:after="0"/>
              <w:rPr>
                <w:sz w:val="16"/>
                <w:szCs w:val="16"/>
                <w:color w:val="auto"/>
              </w:rPr>
            </w:pPr>
          </w:p>
        </w:tc>
      </w:tr>
      <w:tr>
        <w:trPr>
          <w:trHeight w:val="399"/>
        </w:trPr>
        <w:tc>
          <w:tcPr>
            <w:tcW w:w="6240" w:type="dxa"/>
            <w:vAlign w:val="bottom"/>
          </w:tcPr>
          <w:p>
            <w:pPr>
              <w:jc w:val="center"/>
              <w:ind w:left="1917"/>
              <w:spacing w:after="0"/>
              <w:rPr>
                <w:sz w:val="20"/>
                <w:szCs w:val="20"/>
                <w:color w:val="auto"/>
              </w:rPr>
            </w:pPr>
            <w:r>
              <w:rPr>
                <w:rFonts w:ascii="Arial" w:cs="Arial" w:eastAsia="Arial" w:hAnsi="Arial"/>
                <w:sz w:val="18"/>
                <w:szCs w:val="18"/>
                <w:b w:val="1"/>
                <w:bCs w:val="1"/>
                <w:color w:val="auto"/>
                <w:w w:val="92"/>
              </w:rPr>
              <w:t>Robert S. Molloy</w:t>
            </w:r>
          </w:p>
        </w:tc>
        <w:tc>
          <w:tcPr>
            <w:tcW w:w="1380" w:type="dxa"/>
            <w:vAlign w:val="bottom"/>
          </w:tcPr>
          <w:p>
            <w:pPr>
              <w:spacing w:after="0"/>
              <w:rPr>
                <w:sz w:val="24"/>
                <w:szCs w:val="24"/>
                <w:color w:val="auto"/>
              </w:rPr>
            </w:pPr>
          </w:p>
        </w:tc>
      </w:tr>
      <w:tr>
        <w:trPr>
          <w:trHeight w:val="216"/>
        </w:trPr>
        <w:tc>
          <w:tcPr>
            <w:tcW w:w="6240" w:type="dxa"/>
            <w:vAlign w:val="bottom"/>
          </w:tcPr>
          <w:p>
            <w:pPr>
              <w:jc w:val="center"/>
              <w:ind w:left="1897"/>
              <w:spacing w:after="0"/>
              <w:rPr>
                <w:sz w:val="20"/>
                <w:szCs w:val="20"/>
                <w:color w:val="auto"/>
              </w:rPr>
            </w:pPr>
            <w:r>
              <w:rPr>
                <w:rFonts w:ascii="Arial" w:cs="Arial" w:eastAsia="Arial" w:hAnsi="Arial"/>
                <w:sz w:val="18"/>
                <w:szCs w:val="18"/>
                <w:b w:val="1"/>
                <w:bCs w:val="1"/>
                <w:color w:val="auto"/>
                <w:w w:val="89"/>
              </w:rPr>
              <w:t>Senior Vice President and General Counsel</w:t>
            </w:r>
          </w:p>
        </w:tc>
        <w:tc>
          <w:tcPr>
            <w:tcW w:w="1380" w:type="dxa"/>
            <w:vAlign w:val="bottom"/>
          </w:tcPr>
          <w:p>
            <w:pPr>
              <w:spacing w:after="0"/>
              <w:rPr>
                <w:sz w:val="18"/>
                <w:szCs w:val="18"/>
                <w:color w:val="auto"/>
              </w:rPr>
            </w:pPr>
          </w:p>
        </w:tc>
      </w:tr>
      <w:tr>
        <w:trPr>
          <w:trHeight w:val="216"/>
        </w:trPr>
        <w:tc>
          <w:tcPr>
            <w:tcW w:w="6240" w:type="dxa"/>
            <w:vAlign w:val="bottom"/>
          </w:tcPr>
          <w:p>
            <w:pPr>
              <w:jc w:val="center"/>
              <w:ind w:left="1917"/>
              <w:spacing w:after="0"/>
              <w:rPr>
                <w:sz w:val="20"/>
                <w:szCs w:val="20"/>
                <w:color w:val="auto"/>
              </w:rPr>
            </w:pPr>
            <w:r>
              <w:rPr>
                <w:rFonts w:ascii="Arial" w:cs="Arial" w:eastAsia="Arial" w:hAnsi="Arial"/>
                <w:sz w:val="18"/>
                <w:szCs w:val="18"/>
                <w:b w:val="1"/>
                <w:bCs w:val="1"/>
                <w:color w:val="auto"/>
                <w:w w:val="93"/>
              </w:rPr>
              <w:t>Destination XL Group, Inc.</w:t>
            </w:r>
          </w:p>
        </w:tc>
        <w:tc>
          <w:tcPr>
            <w:tcW w:w="1380" w:type="dxa"/>
            <w:vAlign w:val="bottom"/>
          </w:tcPr>
          <w:p>
            <w:pPr>
              <w:spacing w:after="0"/>
              <w:rPr>
                <w:sz w:val="18"/>
                <w:szCs w:val="18"/>
                <w:color w:val="auto"/>
              </w:rPr>
            </w:pPr>
          </w:p>
        </w:tc>
      </w:tr>
      <w:tr>
        <w:trPr>
          <w:trHeight w:val="216"/>
        </w:trPr>
        <w:tc>
          <w:tcPr>
            <w:tcW w:w="624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555 Turnpike Street</w:t>
            </w:r>
          </w:p>
        </w:tc>
        <w:tc>
          <w:tcPr>
            <w:tcW w:w="1380" w:type="dxa"/>
            <w:vAlign w:val="bottom"/>
          </w:tcPr>
          <w:p>
            <w:pPr>
              <w:spacing w:after="0"/>
              <w:rPr>
                <w:sz w:val="18"/>
                <w:szCs w:val="18"/>
                <w:color w:val="auto"/>
              </w:rPr>
            </w:pPr>
          </w:p>
        </w:tc>
      </w:tr>
      <w:tr>
        <w:trPr>
          <w:trHeight w:val="212"/>
        </w:trPr>
        <w:tc>
          <w:tcPr>
            <w:tcW w:w="6240" w:type="dxa"/>
            <w:vAlign w:val="bottom"/>
          </w:tcPr>
          <w:p>
            <w:pPr>
              <w:jc w:val="center"/>
              <w:ind w:left="1897"/>
              <w:spacing w:after="0"/>
              <w:rPr>
                <w:sz w:val="20"/>
                <w:szCs w:val="20"/>
                <w:color w:val="auto"/>
              </w:rPr>
            </w:pPr>
            <w:r>
              <w:rPr>
                <w:rFonts w:ascii="Arial" w:cs="Arial" w:eastAsia="Arial" w:hAnsi="Arial"/>
                <w:sz w:val="18"/>
                <w:szCs w:val="18"/>
                <w:b w:val="1"/>
                <w:bCs w:val="1"/>
                <w:color w:val="auto"/>
                <w:w w:val="88"/>
              </w:rPr>
              <w:t>Canton, Massachusetts 02021</w:t>
            </w:r>
          </w:p>
        </w:tc>
        <w:tc>
          <w:tcPr>
            <w:tcW w:w="1380" w:type="dxa"/>
            <w:vAlign w:val="bottom"/>
          </w:tcPr>
          <w:p>
            <w:pPr>
              <w:spacing w:after="0"/>
              <w:rPr>
                <w:sz w:val="18"/>
                <w:szCs w:val="18"/>
                <w:color w:val="auto"/>
              </w:rPr>
            </w:pPr>
          </w:p>
        </w:tc>
      </w:tr>
      <w:tr>
        <w:trPr>
          <w:trHeight w:val="186"/>
        </w:trPr>
        <w:tc>
          <w:tcPr>
            <w:tcW w:w="6240" w:type="dxa"/>
            <w:vAlign w:val="bottom"/>
          </w:tcPr>
          <w:p>
            <w:pPr>
              <w:jc w:val="center"/>
              <w:ind w:left="1917"/>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380" w:type="dxa"/>
            <w:vAlign w:val="bottom"/>
          </w:tcPr>
          <w:p>
            <w:pPr>
              <w:spacing w:after="0"/>
              <w:rPr>
                <w:sz w:val="16"/>
                <w:szCs w:val="16"/>
                <w:color w:val="auto"/>
              </w:rPr>
            </w:pPr>
          </w:p>
        </w:tc>
      </w:tr>
      <w:tr>
        <w:trPr>
          <w:trHeight w:val="394"/>
        </w:trPr>
        <w:tc>
          <w:tcPr>
            <w:tcW w:w="6240" w:type="dxa"/>
            <w:vAlign w:val="bottom"/>
          </w:tcPr>
          <w:p>
            <w:pPr>
              <w:jc w:val="center"/>
              <w:ind w:left="1917"/>
              <w:spacing w:after="0"/>
              <w:rPr>
                <w:sz w:val="20"/>
                <w:szCs w:val="20"/>
                <w:color w:val="auto"/>
              </w:rPr>
            </w:pPr>
            <w:r>
              <w:rPr>
                <w:rFonts w:ascii="Arial" w:cs="Arial" w:eastAsia="Arial" w:hAnsi="Arial"/>
                <w:sz w:val="18"/>
                <w:szCs w:val="18"/>
                <w:b w:val="1"/>
                <w:bCs w:val="1"/>
                <w:color w:val="auto"/>
                <w:w w:val="91"/>
              </w:rPr>
              <w:t>(781) 828–9300</w:t>
            </w:r>
          </w:p>
        </w:tc>
        <w:tc>
          <w:tcPr>
            <w:tcW w:w="1380" w:type="dxa"/>
            <w:vAlign w:val="bottom"/>
          </w:tcPr>
          <w:p>
            <w:pPr>
              <w:spacing w:after="0"/>
              <w:rPr>
                <w:sz w:val="24"/>
                <w:szCs w:val="24"/>
                <w:color w:val="auto"/>
              </w:rPr>
            </w:pPr>
          </w:p>
        </w:tc>
      </w:tr>
      <w:tr>
        <w:trPr>
          <w:trHeight w:val="186"/>
        </w:trPr>
        <w:tc>
          <w:tcPr>
            <w:tcW w:w="6240" w:type="dxa"/>
            <w:vAlign w:val="bottom"/>
          </w:tcPr>
          <w:p>
            <w:pPr>
              <w:jc w:val="center"/>
              <w:ind w:left="1897"/>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1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6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gridSpan w:val="5"/>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maximum</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4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w w:val="90"/>
              </w:rPr>
              <w:t>Title of securities</w:t>
            </w:r>
          </w:p>
        </w:tc>
        <w:tc>
          <w:tcPr>
            <w:tcW w:w="10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to be registered</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per share (2)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offering price</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$0.01 par value per share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8"/>
                <w:szCs w:val="18"/>
                <w:color w:val="auto"/>
                <w:w w:val="88"/>
              </w:rPr>
              <w:t>$5.97</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$8,955,000.00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$1,153.41</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4"/>
          <w:szCs w:val="24"/>
          <w:color w:val="auto"/>
        </w:rPr>
      </w:pPr>
    </w:p>
    <w:p>
      <w:pPr>
        <w:jc w:val="both"/>
        <w:ind w:left="460" w:right="6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promulgated under the Securities Act of 1933, as amended (the “Securities Act”), this Registration Statement shall also cover any additional shares of the Registrant’s Common Stock that become issuable under the Destination XL Group, Inc. 2006 Incentive Compensation Plan by reason of any stock dividend, stock split, recapitalization, or any other similar transaction without receipt of consideration that results in an increase in the number of outstanding shares of the Registrant’s Common Stock.</w:t>
      </w:r>
    </w:p>
    <w:p>
      <w:pPr>
        <w:spacing w:after="0" w:line="213"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and 457(h) of the Securities Act. The price per share and aggregate offering price are calculated on the basis of the average of the high and low prices of the Registrant’s Common Stock on the Nasdaq Global Select Market on March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26"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ADDITIONAL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GENERAL INSTRUCTION E</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registration statement (this “Registration Statement”) is being filed to register an additional 1,500,000 shares of the Registrant’s common stock which may be offered or sold from time to time pursuant to the Registrant’s 2006 Incentive Compensation Plan, as amended (the “Plan”). Pursuant to General Instruction E of Form S-8, the Registrant hereby incorporates by reference the contents of the Registrant’s following Registration Statements on Form S-8, except for Items 3 and 8 which are being updated by this Registration Statement: (i) Registration Statement on Form S-8 (File No. 333-170708) filed with the Securities and Exchange Commission (the “Commission”) on November 19, 2010 registering 2,500,000 shares under the Plan; (ii) Registration Statement on Form S-8 (File No. 333-163245) filed with the Commission on November 20, 2009 registering 750,000 shares under the Plan, and (iii) Registration Statement on Form S-8 (File No. 333-136890) filed with the Commission on August 25, 2006 registering 2,500,000 shares under the Plan.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8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February 1, 2014.</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8–A/A, filed on August 28, 2009, and all amendments and reports updating such description.</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ectPr>
          <w:pgSz w:w="11900" w:h="16838" w:orient="portrait"/>
          <w:cols w:equalWidth="0" w:num="1">
            <w:col w:w="11400"/>
          </w:cols>
          <w:pgMar w:left="240" w:top="270"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this 17th day of March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Senior Vice President, General Counsel</w:t>
      </w:r>
    </w:p>
    <w:p>
      <w:pPr>
        <w:spacing w:after="0" w:line="21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in the capacities and on the dates indicated.</w:t>
      </w:r>
    </w:p>
    <w:p>
      <w:pPr>
        <w:sectPr>
          <w:pgSz w:w="11900" w:h="16838" w:orient="portrait"/>
          <w:cols w:equalWidth="0" w:num="1">
            <w:col w:w="11320"/>
          </w:cols>
          <w:pgMar w:left="240" w:top="270" w:right="339" w:bottom="1440" w:gutter="0" w:footer="0" w:header="0"/>
        </w:sectPr>
      </w:pP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4"/>
          <w:szCs w:val="14"/>
          <w:b w:val="1"/>
          <w:bCs w:val="1"/>
          <w:u w:val="single" w:color="auto"/>
          <w:color w:val="auto"/>
        </w:rPr>
        <w:t>Signatures</w:t>
      </w:r>
    </w:p>
    <w:p>
      <w:pPr>
        <w:spacing w:after="0" w:line="266" w:lineRule="exact"/>
        <w:rPr>
          <w:sz w:val="20"/>
          <w:szCs w:val="20"/>
          <w:color w:val="auto"/>
        </w:rPr>
      </w:pPr>
    </w:p>
    <w:p>
      <w:pPr>
        <w:jc w:val="center"/>
        <w:ind w:right="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tab/>
        <w:t>D</w:t>
      </w:r>
      <w:r>
        <w:rPr>
          <w:rFonts w:ascii="Arial" w:cs="Arial" w:eastAsia="Arial" w:hAnsi="Arial"/>
          <w:sz w:val="15"/>
          <w:szCs w:val="15"/>
          <w:color w:val="auto"/>
        </w:rPr>
        <w:t>AVID</w:t>
      </w:r>
      <w:r>
        <w:rPr>
          <w:rFonts w:ascii="Arial" w:cs="Arial" w:eastAsia="Arial" w:hAnsi="Arial"/>
          <w:sz w:val="18"/>
          <w:szCs w:val="18"/>
          <w:color w:val="auto"/>
        </w:rPr>
        <w:t xml:space="preserve"> A. L</w:t>
      </w:r>
      <w:r>
        <w:rPr>
          <w:rFonts w:ascii="Arial" w:cs="Arial" w:eastAsia="Arial" w:hAnsi="Arial"/>
          <w:sz w:val="15"/>
          <w:szCs w:val="15"/>
          <w:color w:val="auto"/>
        </w:rPr>
        <w:t>EVIN</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7" w:lineRule="exact"/>
        <w:rPr>
          <w:sz w:val="20"/>
          <w:szCs w:val="20"/>
          <w:color w:val="auto"/>
        </w:rPr>
      </w:pPr>
    </w:p>
    <w:p>
      <w:pPr>
        <w:jc w:val="center"/>
        <w:ind w:right="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4"/>
          <w:szCs w:val="14"/>
          <w:color w:val="auto"/>
        </w:rPr>
        <w:t>OHN</w:t>
      </w:r>
      <w:r>
        <w:rPr>
          <w:rFonts w:ascii="Arial" w:cs="Arial" w:eastAsia="Arial" w:hAnsi="Arial"/>
          <w:sz w:val="17"/>
          <w:szCs w:val="17"/>
          <w:color w:val="auto"/>
        </w:rPr>
        <w:t xml:space="preserve"> E. K</w:t>
      </w:r>
      <w:r>
        <w:rPr>
          <w:rFonts w:ascii="Arial" w:cs="Arial" w:eastAsia="Arial" w:hAnsi="Arial"/>
          <w:sz w:val="14"/>
          <w:szCs w:val="14"/>
          <w:color w:val="auto"/>
        </w:rPr>
        <w:t>YEES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7" w:lineRule="exact"/>
        <w:rPr>
          <w:sz w:val="20"/>
          <w:szCs w:val="20"/>
          <w:color w:val="auto"/>
        </w:rPr>
      </w:pPr>
    </w:p>
    <w:p>
      <w:pPr>
        <w:jc w:val="center"/>
        <w:ind w:right="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H. S</w:t>
      </w:r>
      <w:r>
        <w:rPr>
          <w:rFonts w:ascii="Arial" w:cs="Arial" w:eastAsia="Arial" w:hAnsi="Arial"/>
          <w:sz w:val="13"/>
          <w:szCs w:val="13"/>
          <w:color w:val="auto"/>
        </w:rPr>
        <w:t>TRATTON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w:t>
      </w:r>
      <w:r>
        <w:rPr>
          <w:rFonts w:ascii="Arial" w:cs="Arial" w:eastAsia="Arial" w:hAnsi="Arial"/>
          <w:sz w:val="14"/>
          <w:szCs w:val="14"/>
          <w:color w:val="auto"/>
        </w:rPr>
        <w:t>EYMOUR</w:t>
      </w:r>
      <w:r>
        <w:rPr>
          <w:rFonts w:ascii="Arial" w:cs="Arial" w:eastAsia="Arial" w:hAnsi="Arial"/>
          <w:sz w:val="17"/>
          <w:szCs w:val="17"/>
          <w:color w:val="auto"/>
        </w:rPr>
        <w:t xml:space="preserve"> H</w:t>
      </w:r>
      <w:r>
        <w:rPr>
          <w:rFonts w:ascii="Arial" w:cs="Arial" w:eastAsia="Arial" w:hAnsi="Arial"/>
          <w:sz w:val="14"/>
          <w:szCs w:val="14"/>
          <w:color w:val="auto"/>
        </w:rPr>
        <w:t>OLTZMAN</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4"/>
          <w:szCs w:val="14"/>
          <w:color w:val="auto"/>
        </w:rPr>
        <w:t>LAN</w:t>
      </w:r>
      <w:r>
        <w:rPr>
          <w:rFonts w:ascii="Arial" w:cs="Arial" w:eastAsia="Arial" w:hAnsi="Arial"/>
          <w:sz w:val="17"/>
          <w:szCs w:val="17"/>
          <w:color w:val="auto"/>
        </w:rPr>
        <w:t xml:space="preserve"> S. B</w:t>
      </w:r>
      <w:r>
        <w:rPr>
          <w:rFonts w:ascii="Arial" w:cs="Arial" w:eastAsia="Arial" w:hAnsi="Arial"/>
          <w:sz w:val="14"/>
          <w:szCs w:val="14"/>
          <w:color w:val="auto"/>
        </w:rPr>
        <w:t>ERNIKOW</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Alan S. Bernikow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ESSE</w:t>
      </w:r>
      <w:r>
        <w:rPr>
          <w:rFonts w:ascii="Arial" w:cs="Arial" w:eastAsia="Arial" w:hAnsi="Arial"/>
          <w:sz w:val="16"/>
          <w:szCs w:val="16"/>
          <w:color w:val="auto"/>
        </w:rPr>
        <w:t xml:space="preserve"> H. C</w:t>
      </w:r>
      <w:r>
        <w:rPr>
          <w:rFonts w:ascii="Arial" w:cs="Arial" w:eastAsia="Arial" w:hAnsi="Arial"/>
          <w:sz w:val="13"/>
          <w:szCs w:val="13"/>
          <w:color w:val="auto"/>
        </w:rPr>
        <w:t>HOPER</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Jesse H. Choper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tab/>
        <w:t>W</w:t>
      </w:r>
      <w:r>
        <w:rPr>
          <w:rFonts w:ascii="Arial" w:cs="Arial" w:eastAsia="Arial" w:hAnsi="Arial"/>
          <w:sz w:val="15"/>
          <w:szCs w:val="15"/>
          <w:color w:val="auto"/>
        </w:rPr>
        <w:t>ILLEM</w:t>
      </w:r>
      <w:r>
        <w:rPr>
          <w:rFonts w:ascii="Arial" w:cs="Arial" w:eastAsia="Arial" w:hAnsi="Arial"/>
          <w:sz w:val="18"/>
          <w:szCs w:val="18"/>
          <w:color w:val="auto"/>
        </w:rPr>
        <w:t xml:space="preserve"> M</w:t>
      </w:r>
      <w:r>
        <w:rPr>
          <w:rFonts w:ascii="Arial" w:cs="Arial" w:eastAsia="Arial" w:hAnsi="Arial"/>
          <w:sz w:val="15"/>
          <w:szCs w:val="15"/>
          <w:color w:val="auto"/>
        </w:rPr>
        <w:t>ESDAG</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t>
      </w:r>
      <w:r>
        <w:rPr>
          <w:rFonts w:ascii="Arial" w:cs="Arial" w:eastAsia="Arial" w:hAnsi="Arial"/>
          <w:sz w:val="14"/>
          <w:szCs w:val="14"/>
          <w:color w:val="auto"/>
        </w:rPr>
        <w:t>ARD</w:t>
      </w:r>
      <w:r>
        <w:rPr>
          <w:rFonts w:ascii="Arial" w:cs="Arial" w:eastAsia="Arial" w:hAnsi="Arial"/>
          <w:sz w:val="17"/>
          <w:szCs w:val="17"/>
          <w:color w:val="auto"/>
        </w:rPr>
        <w:t xml:space="preserve"> K. M</w:t>
      </w:r>
      <w:r>
        <w:rPr>
          <w:rFonts w:ascii="Arial" w:cs="Arial" w:eastAsia="Arial" w:hAnsi="Arial"/>
          <w:sz w:val="14"/>
          <w:szCs w:val="14"/>
          <w:color w:val="auto"/>
        </w:rPr>
        <w:t>OONEY</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EORGE</w:t>
      </w:r>
      <w:r>
        <w:rPr>
          <w:rFonts w:ascii="Arial" w:cs="Arial" w:eastAsia="Arial" w:hAnsi="Arial"/>
          <w:sz w:val="16"/>
          <w:szCs w:val="16"/>
          <w:color w:val="auto"/>
        </w:rPr>
        <w:t xml:space="preserve"> T. P</w:t>
      </w:r>
      <w:r>
        <w:rPr>
          <w:rFonts w:ascii="Arial" w:cs="Arial" w:eastAsia="Arial" w:hAnsi="Arial"/>
          <w:sz w:val="13"/>
          <w:szCs w:val="13"/>
          <w:color w:val="auto"/>
        </w:rPr>
        <w:t>ORTER</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George T. Porter,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ITCHELL</w:t>
      </w:r>
      <w:r>
        <w:rPr>
          <w:rFonts w:ascii="Arial" w:cs="Arial" w:eastAsia="Arial" w:hAnsi="Arial"/>
          <w:sz w:val="16"/>
          <w:szCs w:val="16"/>
          <w:color w:val="auto"/>
        </w:rPr>
        <w:t xml:space="preserve"> S. P</w:t>
      </w:r>
      <w:r>
        <w:rPr>
          <w:rFonts w:ascii="Arial" w:cs="Arial" w:eastAsia="Arial" w:hAnsi="Arial"/>
          <w:sz w:val="13"/>
          <w:szCs w:val="13"/>
          <w:color w:val="auto"/>
        </w:rPr>
        <w:t>RESSER</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Mitchell S. Presser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6" w:lineRule="exact"/>
        <w:rPr>
          <w:sz w:val="20"/>
          <w:szCs w:val="20"/>
          <w:color w:val="auto"/>
        </w:rPr>
      </w:pPr>
    </w:p>
    <w:p>
      <w:pPr>
        <w:jc w:val="center"/>
        <w:ind w:right="8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w:t>
      </w:r>
      <w:r>
        <w:rPr>
          <w:rFonts w:ascii="Arial" w:cs="Arial" w:eastAsia="Arial" w:hAnsi="Arial"/>
          <w:sz w:val="14"/>
          <w:szCs w:val="14"/>
          <w:color w:val="auto"/>
        </w:rPr>
        <w:t>VY</w:t>
      </w:r>
      <w:r>
        <w:rPr>
          <w:rFonts w:ascii="Arial" w:cs="Arial" w:eastAsia="Arial" w:hAnsi="Arial"/>
          <w:sz w:val="17"/>
          <w:szCs w:val="17"/>
          <w:color w:val="auto"/>
        </w:rPr>
        <w:t xml:space="preserve"> R</w:t>
      </w:r>
      <w:r>
        <w:rPr>
          <w:rFonts w:ascii="Arial" w:cs="Arial" w:eastAsia="Arial" w:hAnsi="Arial"/>
          <w:sz w:val="14"/>
          <w:szCs w:val="14"/>
          <w:color w:val="auto"/>
        </w:rPr>
        <w:t>OSS</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Ivy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680"/>
        <w:spacing w:after="0"/>
        <w:rPr>
          <w:sz w:val="20"/>
          <w:szCs w:val="20"/>
          <w:color w:val="auto"/>
        </w:rPr>
      </w:pP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(Principal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 (Principal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Financial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of Finance and Corporate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Controller (Principal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Date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March 17, 2014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17, 2014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17, 2014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11,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12, 2014</w:t>
      </w:r>
    </w:p>
    <w:p>
      <w:pPr>
        <w:sectPr>
          <w:pgSz w:w="11900" w:h="16838" w:orient="portrait"/>
          <w:cols w:equalWidth="0" w:num="3">
            <w:col w:w="4760" w:space="720"/>
            <w:col w:w="3900" w:space="720"/>
            <w:col w:w="1220"/>
          </w:cols>
          <w:pgMar w:left="240" w:top="270" w:right="339" w:bottom="1440" w:gutter="0" w:footer="0" w:header="0"/>
          <w:type w:val="continuous"/>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60"/>
        <w:spacing w:after="0"/>
        <w:tabs>
          <w:tab w:leader="none" w:pos="56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0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Destination XL Group, Inc. 2006 Incentive Compensation Plan, as amended (included as Exhibit 10.3 to the Registrant’s Annual Report on Form</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10-K filed on March 17, 2014 and incorporated herein by reference).</w:t>
      </w:r>
    </w:p>
    <w:p>
      <w:pPr>
        <w:spacing w:after="0" w:line="10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Greenberg Traurig LLP, counsel to the Registrant.</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Greenberg Traurig LLP (included in Exhibit 5.1).</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Ernst &amp; Young LLP.</w:t>
      </w:r>
    </w:p>
    <w:p>
      <w:pPr>
        <w:sectPr>
          <w:pgSz w:w="11900" w:h="16838" w:orient="portrait"/>
          <w:cols w:equalWidth="0" w:num="1">
            <w:col w:w="11140"/>
          </w:cols>
          <w:pgMar w:left="260" w:top="27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60905" cy="368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09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March 17,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 02021</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Additional Shares to be Issued Under the Destination XL Group,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2006 Incentive Compensation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have assisted in the preparation of a Registration Statement on Form S-8 (the “Registration Statement”) to be filed with the Securities and Exchange Commission (the “Commission”) under the Securities Act of 1933, as amended (the “Securities Act”), relating to 1,500,000 shares (the “Shares”) of common stock, $0.01 par value per share (the “Common Stock”), of Destination XL Group, Inc., a Delaware corporation (the “Company”), that may be issued under the Company’s 2006 Incentive Compensation Plan, as amended (the “Plan”).</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assume that the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Commonwealth of Massachusetts,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Greenberg Traurig, LLP</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consent to the use of our reports dated March 17, 2014 with respect to the consolidated balance sheet of Destination XL Group, Inc. as of February 1, 2014 and the related consolidated statement of operations, comprehensive income (loss), changes in stockholders’ equity, and cash flows for the year ended February 1, 2014, and the effectiveness of internal control over financial reporting as of February 1, 2014,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2014</w:t>
      </w:r>
    </w:p>
    <w:p>
      <w:pPr>
        <w:spacing w:after="0" w:line="21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KPMG LLP</w:t>
      </w:r>
    </w:p>
    <w:p>
      <w:pPr>
        <w:sectPr>
          <w:pgSz w:w="11900" w:h="16838" w:orient="portrait"/>
          <w:cols w:equalWidth="0" w:num="1">
            <w:col w:w="11420"/>
          </w:cols>
          <w:pgMar w:left="240" w:top="121" w:right="239" w:bottom="1440" w:gutter="0" w:footer="0" w:header="0"/>
        </w:sectPr>
      </w:pPr>
    </w:p>
    <w:bookmarkStart w:id="6" w:name="page7"/>
    <w:bookmarkEnd w:id="6"/>
    <w:p>
      <w:pPr>
        <w:ind w:left="10480"/>
        <w:spacing w:after="0"/>
        <w:rPr>
          <w:sz w:val="20"/>
          <w:szCs w:val="20"/>
          <w:color w:val="auto"/>
        </w:rPr>
      </w:pPr>
      <w:r>
        <w:rPr>
          <w:rFonts w:ascii="Arial" w:cs="Arial" w:eastAsia="Arial" w:hAnsi="Arial"/>
          <w:sz w:val="16"/>
          <w:szCs w:val="16"/>
          <w:b w:val="1"/>
          <w:bCs w:val="1"/>
          <w:color w:val="auto"/>
        </w:rPr>
        <w:t>Exhibit 23.3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Destination XL Group, Inc. 2006 Incentive Compensation Plan, as amended, to register 1,500,000 shares of common stock, of our report dated March 15, 2013, with respect to the consolidated financial statements of Destination XL Group, Inc. included in its Annual Report (Form 10-K) for the year ended February 2, 2013,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E</w:t>
      </w:r>
      <w:r>
        <w:rPr>
          <w:rFonts w:ascii="Arial" w:cs="Arial" w:eastAsia="Arial" w:hAnsi="Arial"/>
          <w:sz w:val="15"/>
          <w:szCs w:val="15"/>
          <w:color w:val="auto"/>
        </w:rPr>
        <w:t>RNST</w:t>
      </w:r>
      <w:r>
        <w:rPr>
          <w:rFonts w:ascii="Arial" w:cs="Arial" w:eastAsia="Arial" w:hAnsi="Arial"/>
          <w:sz w:val="18"/>
          <w:szCs w:val="18"/>
          <w:color w:val="auto"/>
        </w:rPr>
        <w:t xml:space="preserve"> &amp; Y</w:t>
      </w:r>
      <w:r>
        <w:rPr>
          <w:rFonts w:ascii="Arial" w:cs="Arial" w:eastAsia="Arial" w:hAnsi="Arial"/>
          <w:sz w:val="15"/>
          <w:szCs w:val="15"/>
          <w:color w:val="auto"/>
        </w:rPr>
        <w:t>OUNG</w:t>
      </w:r>
      <w:r>
        <w:rPr>
          <w:rFonts w:ascii="Arial" w:cs="Arial" w:eastAsia="Arial" w:hAnsi="Arial"/>
          <w:sz w:val="18"/>
          <w:szCs w:val="18"/>
          <w:color w:val="auto"/>
        </w:rPr>
        <w:t xml:space="preserve">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2019-12-05T23:56:51Z</dcterms:created>
  <dcterms:modified xsi:type="dcterms:W3CDTF">2019-12-05T23:56:51Z</dcterms:modified>
</cp:coreProperties>
</file>