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1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113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McKinney Jack R</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1"/>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08/01/2013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Chief Information Officer</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81"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5.04</w:t>
            </w:r>
          </w:p>
        </w:tc>
        <w:tc>
          <w:tcPr>
            <w:tcW w:w="1140" w:type="dxa"/>
            <w:vAlign w:val="bottom"/>
          </w:tcPr>
          <w:p>
            <w:pPr>
              <w:jc w:val="right"/>
              <w:ind w:right="138"/>
              <w:spacing w:after="0" w:line="212" w:lineRule="exact"/>
              <w:rPr>
                <w:sz w:val="20"/>
                <w:szCs w:val="20"/>
                <w:color w:val="auto"/>
              </w:rPr>
            </w:pPr>
            <w:r>
              <w:rPr>
                <w:rFonts w:ascii="Arial" w:cs="Arial" w:eastAsia="Arial" w:hAnsi="Arial"/>
                <w:sz w:val="13"/>
                <w:szCs w:val="13"/>
                <w:color w:val="0000FF"/>
              </w:rPr>
              <w:t>08/01/2013</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22,034</w:t>
            </w:r>
          </w:p>
        </w:tc>
        <w:tc>
          <w:tcPr>
            <w:tcW w:w="30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0000FF"/>
              </w:rPr>
              <w:t>01/31/2015</w:t>
            </w:r>
          </w:p>
        </w:tc>
        <w:tc>
          <w:tcPr>
            <w:tcW w:w="760" w:type="dxa"/>
            <w:vAlign w:val="bottom"/>
          </w:tcPr>
          <w:p>
            <w:pPr>
              <w:ind w:left="80"/>
              <w:spacing w:after="0"/>
              <w:rPr>
                <w:sz w:val="20"/>
                <w:szCs w:val="20"/>
                <w:color w:val="auto"/>
              </w:rPr>
            </w:pPr>
            <w:r>
              <w:rPr>
                <w:rFonts w:ascii="Arial" w:cs="Arial" w:eastAsia="Arial" w:hAnsi="Arial"/>
                <w:sz w:val="13"/>
                <w:szCs w:val="13"/>
                <w:color w:val="0000FF"/>
              </w:rPr>
              <w:t>05/28/2023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22,034</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22,034</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grant was approved by a committee of the Issuer's board of directors on May 28, 2013, subject to shareholder approval of the incentive compensation plan under which the option was granted. Shareholders approved the plan on August 1, 2013. The option vests 20% on January 31, 2015, 40% on January 30, 2016 and 40% on January 28, 2017.</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Jack R.McKinney</w:t>
            </w:r>
          </w:p>
        </w:tc>
        <w:tc>
          <w:tcPr>
            <w:tcW w:w="10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08/02/2013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806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2019-12-16T05:12:46Z</dcterms:created>
  <dcterms:modified xsi:type="dcterms:W3CDTF">2019-12-16T05:12:46Z</dcterms:modified>
</cp:coreProperties>
</file>