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224790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ectPr>
          <w:pgSz w:w="11900" w:h="16838" w:orient="portrait"/>
          <w:cols w:equalWidth="0" w:num="1">
            <w:col w:w="11420"/>
          </w:cols>
          <w:pgMar w:left="240" w:top="349" w:right="239" w:bottom="1440" w:gutter="0" w:footer="0" w:header="0"/>
        </w:sectPr>
      </w:pPr>
    </w:p>
    <w:p>
      <w:pPr>
        <w:spacing w:after="0" w:line="180"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For the Quarterly Period Ended</w:t>
      </w:r>
    </w:p>
    <w:p>
      <w:pPr>
        <w:spacing w:after="0" w:line="46"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November 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Commission File Number</w:t>
      </w:r>
    </w:p>
    <w:p>
      <w:pPr>
        <w:spacing w:after="0" w:line="46"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0-15898</w:t>
      </w:r>
    </w:p>
    <w:p>
      <w:pPr>
        <w:spacing w:after="0" w:line="200" w:lineRule="exact"/>
        <w:rPr>
          <w:sz w:val="24"/>
          <w:szCs w:val="24"/>
          <w:color w:val="auto"/>
        </w:rPr>
      </w:pPr>
    </w:p>
    <w:p>
      <w:pPr>
        <w:sectPr>
          <w:pgSz w:w="11900" w:h="16838" w:orient="portrait"/>
          <w:cols w:equalWidth="0" w:num="2">
            <w:col w:w="7000" w:space="720"/>
            <w:col w:w="3700"/>
          </w:cols>
          <w:pgMar w:left="240" w:top="349" w:right="239" w:bottom="1440" w:gutter="0" w:footer="0" w:header="0"/>
          <w:type w:val="continuous"/>
        </w:sect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CASUAL MALE RETAIL GROUP,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06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5060" w:type="dxa"/>
            <w:vAlign w:val="bottom"/>
          </w:tcPr>
          <w:p>
            <w:pPr>
              <w:jc w:val="center"/>
              <w:ind w:left="3904"/>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5060" w:type="dxa"/>
            <w:vAlign w:val="bottom"/>
          </w:tcPr>
          <w:p>
            <w:pPr>
              <w:jc w:val="center"/>
              <w:ind w:left="392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02"/>
        </w:trPr>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555 Turnpike Street, Canton, MA</w:t>
            </w:r>
          </w:p>
        </w:tc>
        <w:tc>
          <w:tcPr>
            <w:tcW w:w="506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5060" w:type="dxa"/>
            <w:vAlign w:val="bottom"/>
          </w:tcPr>
          <w:p>
            <w:pPr>
              <w:jc w:val="center"/>
              <w:ind w:left="392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Times New Roman" w:cs="Times New Roman" w:eastAsia="Times New Roman" w:hAnsi="Times New Roman"/>
                <w:sz w:val="18"/>
                <w:szCs w:val="18"/>
                <w:b w:val="1"/>
                <w:bCs w:val="1"/>
                <w:color w:val="auto"/>
              </w:rPr>
              <w:t>(781) 828-9300</w:t>
            </w:r>
          </w:p>
        </w:tc>
      </w:tr>
      <w:tr>
        <w:trPr>
          <w:trHeight w:val="178"/>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both"/>
        <w:ind w:right="18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140" w:type="dxa"/>
            <w:vAlign w:val="bottom"/>
          </w:tcPr>
          <w:p>
            <w:pPr>
              <w:ind w:left="30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p>
        </w:tc>
        <w:tc>
          <w:tcPr>
            <w:tcW w:w="3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w w:val="99"/>
              </w:rPr>
              <w:t>Indicate by check mark whether the registrant is a shell company (as defined in Rule 12b-2 of the Exchange Act).</w:t>
            </w:r>
          </w:p>
        </w:tc>
        <w:tc>
          <w:tcPr>
            <w:tcW w:w="32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358"/>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as of November 23, 2007 was 41,333,389.</w:t>
            </w:r>
          </w:p>
        </w:tc>
        <w:tc>
          <w:tcPr>
            <w:tcW w:w="3280" w:type="dxa"/>
            <w:vAlign w:val="bottom"/>
          </w:tcPr>
          <w:p>
            <w:pPr>
              <w:spacing w:after="0"/>
              <w:rPr>
                <w:sz w:val="24"/>
                <w:szCs w:val="24"/>
                <w:color w:val="auto"/>
              </w:rPr>
            </w:pPr>
          </w:p>
        </w:tc>
      </w:tr>
      <w:tr>
        <w:trPr>
          <w:trHeight w:val="215"/>
        </w:trPr>
        <w:tc>
          <w:tcPr>
            <w:tcW w:w="8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Financial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40" w:type="dxa"/>
            <w:vAlign w:val="bottom"/>
          </w:tcPr>
          <w:p>
            <w:pPr>
              <w:jc w:val="center"/>
              <w:ind w:left="2152"/>
              <w:spacing w:after="0"/>
              <w:rPr>
                <w:sz w:val="20"/>
                <w:szCs w:val="20"/>
                <w:color w:val="auto"/>
              </w:rPr>
            </w:pPr>
            <w:r>
              <w:rPr>
                <w:rFonts w:ascii="Times New Roman" w:cs="Times New Roman" w:eastAsia="Times New Roman" w:hAnsi="Times New Roman"/>
                <w:sz w:val="18"/>
                <w:szCs w:val="18"/>
                <w:b w:val="1"/>
                <w:bCs w:val="1"/>
                <w:color w:val="auto"/>
                <w:w w:val="96"/>
              </w:rPr>
              <w:t>CASUAL MALE RETAIL GROUP, INC.</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40" w:type="dxa"/>
            <w:vAlign w:val="bottom"/>
          </w:tcPr>
          <w:p>
            <w:pPr>
              <w:jc w:val="center"/>
              <w:ind w:left="215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w w:val="97"/>
              </w:rPr>
              <w:t>(In thousands, except share data)</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3, 2007</w:t>
            </w:r>
          </w:p>
        </w:tc>
        <w:tc>
          <w:tcPr>
            <w:tcW w:w="3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3,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and prepaid income taxes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173,133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6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353,435</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6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38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deferred gain on sale-leaseback</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Notes payable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6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gain on sale-leaseback, net of current portion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11,945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Preferred stock, $0.01 par value, 1,000,000 shares authorized, none outstanding at November 3, 2007 and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February 3, 2007</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$0.01 par value, 75,000,000 shares authorized, 52,210,828 and 50,860,322 shares issued at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November 3, 2007 and February 3, 2007, respectively</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270,303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Treasury stock at cost, 10,877,439 shares and 6,686,029 shares at November 3, 2007 and February 3, 2007,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(87,977)</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353,435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60" w:type="dxa"/>
            <w:vAlign w:val="bottom"/>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4"/>
                <w:szCs w:val="14"/>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November 3, 2007</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October 28, 2006</w:t>
            </w:r>
          </w:p>
        </w:tc>
        <w:tc>
          <w:tcPr>
            <w:tcW w:w="60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November 3, 2007</w:t>
            </w:r>
          </w:p>
        </w:tc>
        <w:tc>
          <w:tcPr>
            <w:tcW w:w="6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October 28,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106,593</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106,851</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332,106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59,790</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182,053</w:t>
            </w: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45,899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47,061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44,929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42,082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133,195</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Provision for impairment of assets and employment contract</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jc w:val="right"/>
              <w:ind w:right="3732"/>
              <w:spacing w:after="0"/>
              <w:rPr>
                <w:sz w:val="20"/>
                <w:szCs w:val="20"/>
                <w:color w:val="auto"/>
              </w:rPr>
            </w:pPr>
            <w:r>
              <w:rPr>
                <w:rFonts w:ascii="Times New Roman" w:cs="Times New Roman" w:eastAsia="Times New Roman" w:hAnsi="Times New Roman"/>
                <w:sz w:val="18"/>
                <w:szCs w:val="18"/>
                <w:color w:val="auto"/>
              </w:rPr>
              <w:t>termination</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3,624</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46,906</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147,669</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(1,522)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(3,130)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(1,367)</w:t>
            </w:r>
          </w:p>
        </w:tc>
        <w:tc>
          <w:tcPr>
            <w:tcW w:w="28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(372)</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 basic and diluted</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jc w:val="right"/>
              <w:ind w:right="3872"/>
              <w:spacing w:after="0"/>
              <w:rPr>
                <w:sz w:val="20"/>
                <w:szCs w:val="20"/>
                <w:color w:val="auto"/>
              </w:rPr>
            </w:pPr>
            <w:r>
              <w:rPr>
                <w:rFonts w:ascii="Times New Roman" w:cs="Times New Roman" w:eastAsia="Times New Roman" w:hAnsi="Times New Roman"/>
                <w:sz w:val="18"/>
                <w:szCs w:val="18"/>
                <w:color w:val="auto"/>
              </w:rPr>
              <w:t>- basic</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41,672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34,393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jc w:val="right"/>
              <w:ind w:right="3732"/>
              <w:spacing w:after="0"/>
              <w:rPr>
                <w:sz w:val="20"/>
                <w:szCs w:val="20"/>
                <w:color w:val="auto"/>
              </w:rPr>
            </w:pPr>
            <w:r>
              <w:rPr>
                <w:rFonts w:ascii="Times New Roman" w:cs="Times New Roman" w:eastAsia="Times New Roman" w:hAnsi="Times New Roman"/>
                <w:sz w:val="18"/>
                <w:szCs w:val="18"/>
                <w:color w:val="auto"/>
              </w:rPr>
              <w:t>- diluted</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41,672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34,393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41,823</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27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3, 2007</w:t>
            </w: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October 28,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for operating activities: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12,817</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impairment of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1,657</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inventory write-down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employment contract termination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deferred gain from sale-leaseback</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(1,099)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 of common stock to related party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Issuance of common stock to Board of Directors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1,350</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(25,808)</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(1,966)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(400)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3,077</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(1,956)</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(3,637)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(16,222)</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proceeds from sale-leaseback of corporate headquarters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 of Jared M., net of cash acquired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 of earn-out provision for Rochester acquisition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(1,333)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proceeds from sale of subsidiary, LP Innovations, Inc.</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provided by investing activities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(17,280)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borrowings (repayments) under credit facility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58,652</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secured note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17,376</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(1,775)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(49,407)</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Issuance of common stock under option program and warrants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Beginning of the period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5,325</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End of the period</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27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November 3, 2007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gridSpan w:val="5"/>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1640" w:type="dxa"/>
            <w:vAlign w:val="bottom"/>
            <w:gridSpan w:val="5"/>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22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6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gridSpan w:val="2"/>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1"/>
              </w:rPr>
              <w:t>Amounts</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3, 2007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50,860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258,334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(6,686)</w:t>
            </w:r>
          </w:p>
        </w:tc>
        <w:tc>
          <w:tcPr>
            <w:tcW w:w="9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(38,570)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(1,249)</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218,046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 under option program</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Exercises of warrants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compensation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Accumulated other comprehensive income- foreign</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currency</w:t>
            </w: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November 3, 2007</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52,210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270,303</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(10,877</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(87,977</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181,444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3, 2007 included in the Company’s Annual Report on Form 10-K, which was filed with the Securities and Exchange Commission on April 2, 2007.</w:t>
      </w:r>
    </w:p>
    <w:p>
      <w:pPr>
        <w:spacing w:after="0" w:line="13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fiscal year is a 52- or 53- week period ending on the Saturday closest to January 31. Fiscal 2007 is a 52-week period ending on February 2, 2008.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2006 was a 53-week period, with the fourth quarter containing 14 weeks.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Information</w:t>
      </w:r>
    </w:p>
    <w:p>
      <w:pPr>
        <w:spacing w:after="0" w:line="90"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The Company reports its operations as one reportable segment, Big &amp; Tall Men’s Apparel, which consists of two operating segments—Casual Male and Rochester. The Company considers its operating segments to be similar in terms of economic characteristics, production processes and operations, and have therefore aggregated them into a single reporting segment.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8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goodwill pursuant to SFAS No. 141,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SFAS No. 142,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Pursuant to SFAS 142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least annually, the Company evaluates goodwill, based on its two separate operating segments, its Casual Male business and its Rochester business, by comparing the current carrying value of goodwill with the fair value of the net assets of the Company. The goodwill assigned to each operating segment represents the initial purchase price allocation to goodwill as a result of their respective acquisitions.</w:t>
      </w:r>
    </w:p>
    <w:p>
      <w:pPr>
        <w:spacing w:after="0" w:line="1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connection with the Company’s commitment subsequent to the end of the third quarter of fiscal 2007 to exit its Jared M. operations, as discussed in Note 7 below, the Company evaluated its goodwill for its Rochester business, which included the goodwill from the Jared M. acquisition and concluded that there was no impairment to the Rochester goodwill as a result of exiting its Jared M.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pursuant to the provisions of Statement of Financial Accounting Standards No. 123 (revised 2004), </w:t>
      </w: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(SFAS 123R), which requires that all share-based payments, including grants of employee stock options, be recognized as an expense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w:t>
      </w:r>
    </w:p>
    <w:p>
      <w:pPr>
        <w:sectPr>
          <w:pgSz w:w="11900" w:h="16838" w:orient="portrait"/>
          <w:cols w:equalWidth="0" w:num="1">
            <w:col w:w="11400"/>
          </w:cols>
          <w:pgMar w:left="240" w:top="272"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expense over the vesting period, net of estimated forfeitures. The estimation of stock-based awards that will ultimately vest requires significant judgment.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and future changes in estimates, may differ from the Company’s current estimates.</w:t>
      </w:r>
    </w:p>
    <w:p>
      <w:pPr>
        <w:spacing w:after="0" w:line="15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For the first nine months of fiscal 2007 and fiscal 2006, the Company recognized total compensation expense of $1.4 million and $0.5 million, respectively. The total compensation cost related to non-vested awards not yet recognized as of November 3, 2007 is approximately $3.7 million which will be expensed over a weighted average remaining life of 23.4 months.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Assumptions for Stock Options</w:t>
      </w:r>
    </w:p>
    <w:p>
      <w:pPr>
        <w:spacing w:after="0" w:line="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For the first nine months of fiscal 2007 and fiscal 2006, 766,004 and 785,000 stock options were granted, respectively. The weighted-average exercise price of the 766,004 stock options was $11.10 per share. The fair value of each option was estimated on the date of grant using the Black-Scholes option-pricing model with the following assumptions used for grants for the nine months ended November 3, 2007 and October 28, 2006: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3, 2007</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October 28, 2006</w:t>
            </w: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4.07-4.85%</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4.48%-5.02%</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2.0-4.5 yrs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 yrs.</w:t>
            </w:r>
          </w:p>
        </w:tc>
        <w:tc>
          <w:tcPr>
            <w:tcW w:w="20" w:type="dxa"/>
            <w:vAlign w:val="bottom"/>
          </w:tcPr>
          <w:p>
            <w:pPr>
              <w:spacing w:after="0"/>
              <w:rPr>
                <w:sz w:val="18"/>
                <w:szCs w:val="18"/>
                <w:color w:val="auto"/>
              </w:rPr>
            </w:pPr>
          </w:p>
        </w:tc>
      </w:tr>
      <w:tr>
        <w:trPr>
          <w:trHeight w:val="22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bl>
    <w:p>
      <w:pPr>
        <w:spacing w:after="0" w:line="1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During the first quarter of fiscal 2007, warrants to purchase approximately 1.0 million shares of the Company’s common stock were exercised. The total intrinsic value of these warrants at the time of exercise was $3.4 million. There were no material exercises of options or warrants during the second and third quarters of fiscal 2007.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Change in Accounting Principle - Inventory</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second quarter of fiscal 2006, the Company changed its inventory valuation method. Inventory for the first quarter of fiscal 2006 was principally valued at the lower of cost or market on a first in, first out (“FIFO”) basis, under the retail inventory method. Inventory for its catalog and e-commerce businesses were accounted for using the average cost method, which approximated the retail method. Commencing in the second quarter of fiscal 2006, all inventories were valued at the lower of cost or market, using a weighted-average cost method.</w:t>
      </w:r>
    </w:p>
    <w:p>
      <w:pPr>
        <w:spacing w:after="0" w:line="136"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 revaluation of inventory at July 29, 2006 using the weighted-average cost method approximated the inventory valuation under the previous FIFO retail method; accordingly, the impact of the change was not material to the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Bank of America Retail Group, Inc.</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had outstanding borrowings of $67.2 million under its credit facility, as most recently amended July 20, 2007, with Bank of America Retail Group, LLC, (the “Credit Facility”) at November 3, 2007. Outstanding standby letters of credit were $2.7 million and outstanding documentary letters of credit were $1.4 million. Average monthly borrowings outstanding under this facility during the first nine months of fiscal 2007 were approximately $47.4 million, resulting in an average unused excess availability of approximately $43.9 million. Unused excess availability at November 3, 2007 was $38.6 million. The Company was in compliance with all debt covenants under the Credit Facility at November 3, 2007.</w:t>
      </w:r>
    </w:p>
    <w:p>
      <w:pPr>
        <w:spacing w:after="0" w:line="1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fair value of amounts outstanding under the Credit Facility approximates the carrying value at November 3, 2007. At the Company’s option, any portion of the outstanding borrowings can be converted to LIBOR-based contracts; the</w:t>
      </w:r>
    </w:p>
    <w:p>
      <w:pPr>
        <w:sectPr>
          <w:pgSz w:w="11900" w:h="16838" w:orient="portrait"/>
          <w:cols w:equalWidth="0" w:num="1">
            <w:col w:w="11420"/>
          </w:cols>
          <w:pgMar w:left="240" w:top="274" w:right="239" w:bottom="1440" w:gutter="0" w:footer="0" w:header="0"/>
        </w:sectPr>
      </w:pPr>
    </w:p>
    <w:bookmarkStart w:id="7" w:name="page8"/>
    <w:bookmarkEnd w:id="7"/>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remainder bears interest based on prime. At November 3, 2007, the prime-based interest rate was 7.50%. The Company had approximately $60.0 million of its outstanding borrowings in LIBOR-based contracts with interest rates ranging from 6.04% to 7.88%. The LIBOR-based contracts expire at various dates between November 4, 2007 and November 28, 2007.</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Loan and Security Agreement with Banc of America Leasing &amp; Capital, LLC</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“Secured Note”), whereby the Company borrowed an aggregate of $17.4 million from BALC. The Secured Note is secured by a security interest in all of the Company’s rights, title and interest in and to certain equipment. The Secured Note is due July 20, 2011 and accrues interest at a per annum rate of 1.75% plus the rate of interest equal to the 30-day published LIBOR rate. Principal and interest, in arrears, are payable monthly. The Company is subject to a prepayment penalty equal to 1% of the prepaid principal until July 20, 2008, 0.5% of the prepaid principal from July 21, 2008 through July 20, 2009 and no prepayment penalty thereafter. At November 3, 2007, the outstanding balance under this Secured Note was $16.3 million.</w:t>
      </w:r>
    </w:p>
    <w:p>
      <w:pPr>
        <w:spacing w:after="0" w:line="14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Master Agreement includes certain debt covenants similar to, and no more restrictive than, those under the Company’s Credit Facility with Bank of America, N.A. The Company was in compliance with all debt covenants under the Master Agreement at November 3, 2007.</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senior subordinated notes due 2007</w:t>
      </w:r>
    </w:p>
    <w:p>
      <w:pPr>
        <w:spacing w:after="0" w:line="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May 2002, the Company issued 5% senior subordinated notes due 2007 through a private placement with the Kellwood Company. The Company made quarterly principal payments in the amount of $687,500 beginning in fiscal 2003. During the first quarter of fiscal 2007, the Company repaid these notes in full by making its final quarterly payment.</w:t>
      </w:r>
    </w:p>
    <w:p>
      <w:pPr>
        <w:spacing w:after="0" w:line="211" w:lineRule="exact"/>
        <w:rPr>
          <w:sz w:val="20"/>
          <w:szCs w:val="20"/>
          <w:color w:val="auto"/>
        </w:rPr>
      </w:pPr>
    </w:p>
    <w:p>
      <w:pPr>
        <w:ind w:right="10060" w:firstLine="8"/>
        <w:spacing w:after="0" w:line="388" w:lineRule="auto"/>
        <w:tabs>
          <w:tab w:leader="none" w:pos="176"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16"/>
          <w:szCs w:val="16"/>
          <w:u w:val="single" w:color="auto"/>
          <w:color w:val="auto"/>
        </w:rPr>
        <w:t>Earnings Per Share</w:t>
      </w:r>
    </w:p>
    <w:p>
      <w:pPr>
        <w:spacing w:after="0" w:line="1"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Pr>
          <w:p>
            <w:pPr>
              <w:spacing w:after="0"/>
              <w:rPr>
                <w:sz w:val="14"/>
                <w:szCs w:val="14"/>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25"/>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8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November 3,</w:t>
            </w:r>
          </w:p>
        </w:tc>
        <w:tc>
          <w:tcPr>
            <w:tcW w:w="3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October 28,</w:t>
            </w:r>
          </w:p>
        </w:tc>
        <w:tc>
          <w:tcPr>
            <w:tcW w:w="32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November 3,</w:t>
            </w:r>
          </w:p>
        </w:tc>
        <w:tc>
          <w:tcPr>
            <w:tcW w:w="6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October 28,</w:t>
            </w:r>
          </w:p>
        </w:tc>
        <w:tc>
          <w:tcPr>
            <w:tcW w:w="20" w:type="dxa"/>
            <w:vAlign w:val="bottom"/>
          </w:tcPr>
          <w:p>
            <w:pPr>
              <w:spacing w:after="0"/>
              <w:rPr>
                <w:sz w:val="10"/>
                <w:szCs w:val="10"/>
                <w:color w:val="auto"/>
              </w:rPr>
            </w:pPr>
          </w:p>
        </w:tc>
      </w:tr>
      <w:tr>
        <w:trPr>
          <w:trHeight w:val="179"/>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60" w:type="dxa"/>
            <w:vAlign w:val="bottom"/>
            <w:gridSpan w:val="2"/>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5"/>
                <w:szCs w:val="15"/>
                <w:color w:val="auto"/>
              </w:rPr>
            </w:pP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Outstanding</w:t>
            </w: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41,672</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2"/>
              </w:rPr>
              <w:t>34,393</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41,823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Stock options and warrants, excluding the effect of anti-dilutive options and warrants totaling 1,447</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and 2,911 shares for the three months ended November 3, 2007 and October 28, 2006,</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 and 1,800 shares for the nine months ended November 3, 2007</w:t>
            </w: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41,672</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2"/>
              </w:rPr>
              <w:t>34,393</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ind w:right="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4"/>
                <w:szCs w:val="14"/>
                <w:color w:val="auto"/>
              </w:rPr>
            </w:pPr>
          </w:p>
        </w:tc>
        <w:tc>
          <w:tcPr>
            <w:tcW w:w="26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29"/>
        </w:trPr>
        <w:tc>
          <w:tcPr>
            <w:tcW w:w="5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October 28,</w:t>
            </w:r>
          </w:p>
        </w:tc>
        <w:tc>
          <w:tcPr>
            <w:tcW w:w="340" w:type="dxa"/>
            <w:vAlign w:val="bottom"/>
          </w:tcPr>
          <w:p>
            <w:pPr>
              <w:spacing w:after="0"/>
              <w:rPr>
                <w:sz w:val="11"/>
                <w:szCs w:val="11"/>
                <w:color w:val="auto"/>
              </w:rPr>
            </w:pPr>
          </w:p>
        </w:tc>
        <w:tc>
          <w:tcPr>
            <w:tcW w:w="130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46"/>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0" w:type="dxa"/>
            <w:vAlign w:val="bottom"/>
          </w:tcPr>
          <w:p>
            <w:pPr>
              <w:spacing w:after="0"/>
              <w:rPr>
                <w:sz w:val="11"/>
                <w:szCs w:val="11"/>
                <w:color w:val="auto"/>
              </w:rPr>
            </w:pPr>
          </w:p>
        </w:tc>
      </w:tr>
      <w:tr>
        <w:trPr>
          <w:trHeight w:val="176"/>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exercise prices)</w:t>
            </w:r>
          </w:p>
        </w:tc>
        <w:tc>
          <w:tcPr>
            <w:tcW w:w="640" w:type="dxa"/>
            <w:vAlign w:val="bottom"/>
          </w:tcPr>
          <w:p>
            <w:pPr>
              <w:spacing w:after="0"/>
              <w:rPr>
                <w:sz w:val="15"/>
                <w:szCs w:val="15"/>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Pr>
          <w:p>
            <w:pPr>
              <w:spacing w:after="0"/>
              <w:rPr>
                <w:sz w:val="15"/>
                <w:szCs w:val="15"/>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15"/>
                <w:szCs w:val="15"/>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2007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2100" w:type="dxa"/>
            <w:vAlign w:val="bottom"/>
            <w:gridSpan w:val="3"/>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980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621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640" w:type="dxa"/>
            <w:vAlign w:val="bottom"/>
          </w:tcPr>
          <w:p>
            <w:pPr>
              <w:spacing w:after="0"/>
              <w:rPr>
                <w:sz w:val="18"/>
                <w:szCs w:val="18"/>
                <w:color w:val="auto"/>
              </w:rPr>
            </w:pPr>
          </w:p>
        </w:tc>
        <w:tc>
          <w:tcPr>
            <w:tcW w:w="14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at $10.65 per share</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20" w:type="dxa"/>
            <w:vAlign w:val="bottom"/>
          </w:tcPr>
          <w:p>
            <w:pPr>
              <w:spacing w:after="0"/>
              <w:rPr>
                <w:sz w:val="18"/>
                <w:szCs w:val="18"/>
                <w:color w:val="auto"/>
              </w:rPr>
            </w:pPr>
          </w:p>
        </w:tc>
      </w:tr>
      <w:tr>
        <w:trPr>
          <w:trHeight w:val="228"/>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Range of exercise prices of such options, warrants and convertible notes</w:t>
            </w:r>
          </w:p>
        </w:tc>
        <w:tc>
          <w:tcPr>
            <w:tcW w:w="2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$10.15 - $12.35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10.65</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$11.15 - $12.35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$10.65 - $11.15</w:t>
            </w:r>
          </w:p>
        </w:tc>
        <w:tc>
          <w:tcPr>
            <w:tcW w:w="20" w:type="dxa"/>
            <w:vAlign w:val="bottom"/>
          </w:tcPr>
          <w:p>
            <w:pPr>
              <w:spacing w:after="0"/>
              <w:rPr>
                <w:sz w:val="19"/>
                <w:szCs w:val="19"/>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and out-of-the-money at November 3, 2007, expire from March 29, 2014 to July 31,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 Program</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December 4, 2006, in connection with the Company’s decision to redeem a portion of its 5% senior subordinated convertible notes, the Company’s Board of Directors approved a $75.0 million stock repurchase program, replacing the existing $30.0 million stock repurchase program that was currently in place. Under this stock repurchase program, the Company is authorized to repurchase up to $75.0 million of its common stock through open market and privately negotiated transactions pursuant to Rule 10b-18 of the Exchange Act. The stock repurchase program expires on December 31, 2007 but may be terminated earlier at any time without prior notice. Under this $75.0 million stock repurchase program, the Company has acquired 4.3 million shares at an aggregate cost of $50.9 million, leaving another $24.1 million of repurchases to complete the program. During the first nine months of fiscal 2007, the Company repurchased, pursuant to this stock repurchase program, approximately 4.1 million shares for an aggregate price of $48.8 million.</w:t>
      </w:r>
    </w:p>
    <w:p>
      <w:pPr>
        <w:spacing w:after="0" w:line="141" w:lineRule="exact"/>
        <w:rPr>
          <w:sz w:val="20"/>
          <w:szCs w:val="20"/>
          <w:color w:val="auto"/>
        </w:rPr>
      </w:pPr>
    </w:p>
    <w:p>
      <w:pPr>
        <w:jc w:val="both"/>
        <w:ind w:right="380"/>
        <w:spacing w:after="0" w:line="339" w:lineRule="auto"/>
        <w:rPr>
          <w:sz w:val="20"/>
          <w:szCs w:val="20"/>
          <w:color w:val="auto"/>
        </w:rPr>
      </w:pPr>
      <w:r>
        <w:rPr>
          <w:rFonts w:ascii="Times New Roman" w:cs="Times New Roman" w:eastAsia="Times New Roman" w:hAnsi="Times New Roman"/>
          <w:sz w:val="16"/>
          <w:szCs w:val="16"/>
          <w:color w:val="auto"/>
        </w:rPr>
        <w:t>In addition to shares repurchased as part of our stock repurchase program, during the second quarter of fiscal 2007, the Company received from an employee 47,617 shares of its common stock with a value of $0.6 million as payment upon stock options exercises. These shares are included as part of treasury stock.</w:t>
      </w:r>
    </w:p>
    <w:p>
      <w:pPr>
        <w:spacing w:after="0" w:line="74"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At November 3, 2007, the Company has a total of 10.9 million shares of repurchased stock at an aggregate cost of $88.0 million which is reported by the Company as treasury stock and is reflected as a reduction in stockholders’ equity.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 158</w:t>
      </w:r>
    </w:p>
    <w:p>
      <w:pPr>
        <w:spacing w:after="0" w:line="8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2006, the FASB issued Statement of Accounting Standards No. 158 (“FAS 158”) </w:t>
      </w:r>
      <w:r>
        <w:rPr>
          <w:rFonts w:ascii="Times New Roman" w:cs="Times New Roman" w:eastAsia="Times New Roman" w:hAnsi="Times New Roman"/>
          <w:sz w:val="18"/>
          <w:szCs w:val="18"/>
          <w:i w:val="1"/>
          <w:iCs w:val="1"/>
          <w:color w:val="auto"/>
        </w:rPr>
        <w:t>Employers Accounting for Defined Benefit Pension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Postretirement Plans – an amendment of FASB Statements No. 87,88,106 and 132(R). </w:t>
      </w:r>
      <w:r>
        <w:rPr>
          <w:rFonts w:ascii="Times New Roman" w:cs="Times New Roman" w:eastAsia="Times New Roman" w:hAnsi="Times New Roman"/>
          <w:sz w:val="18"/>
          <w:szCs w:val="18"/>
          <w:color w:val="auto"/>
        </w:rPr>
        <w:t>This statement improves financial reporting by requiring an employer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the over-funded or under-funded status of a defined benefit postretirement plan as an asset or liability and to recognize changes in that funded status in the year in which the changes occur through comprehensive income. Public companies are required to initially recognize the funded status of a defined benefit postretirement plan and to provide the required disclosures as of the end of the fiscal year ending after December 15, 2006.</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Company’s Form 10-K for the fiscal year ended February 3, 2007, a FAS 158 transition adjustment in the amount of $(1,111), net of tax, was recognized as a component of the ending balance of Accumulated Other Comprehensive Income (Loss). This adjustment was misapplied as a component of Comprehensive Income rather than as a component to the ending Accumulated Other Comprehensive Income (Loss). The table below reflects the misapplication of this adjustment at February 3, 2007: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As Reported</w:t>
            </w:r>
          </w:p>
        </w:tc>
        <w:tc>
          <w:tcPr>
            <w:tcW w:w="38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Misapplied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As Revised</w:t>
            </w:r>
          </w:p>
        </w:tc>
        <w:tc>
          <w:tcPr>
            <w:tcW w:w="20" w:type="dxa"/>
            <w:vAlign w:val="bottom"/>
          </w:tcPr>
          <w:p>
            <w:pPr>
              <w:spacing w:after="0"/>
              <w:rPr>
                <w:sz w:val="14"/>
                <w:szCs w:val="14"/>
                <w:color w:val="auto"/>
              </w:rPr>
            </w:pPr>
          </w:p>
        </w:tc>
      </w:tr>
      <w:tr>
        <w:trPr>
          <w:trHeight w:val="21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(1,111)</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8"/>
                <w:szCs w:val="18"/>
                <w:color w:val="auto"/>
              </w:rPr>
            </w:pPr>
          </w:p>
        </w:tc>
      </w:tr>
      <w:tr>
        <w:trPr>
          <w:trHeight w:val="228"/>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42,938</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correct the Other Comprehensive Loss and Comprehensive Income presentation in the Form 10-K for the fiscal year ending February 2, 2008.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change in presentation will not affect the Consolidated Balance Sheets or Consolidated Statements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2006, the Company determined that it was “more likely than not” that it would be able to realize the benefits of substantially all of its deferred tax assets and the majority of the Company’s valuation allowance was reversed at that time. Based on net operating loss carryforwards available to the Company, management expects that cash payments for taxes will continue to be minimal at this time. At November 3, 2007, the Company had total gross deferred tax assets of approximately $29.5 million, with a corresponding valuation allowance of $1.2 million. These tax assets principally relate to federal net operating loss carryforwards that expire from 2018 through 2024. The valuation allowance is for losses associated with the Company’s Canada operations and certain state net operating losses, the benefit of which may not be recognized due to short carryforward periods.</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adopted FASB Interpretation 48, “Accounting for Uncertainty in Income Taxes” (“FIN 48”), as of February 4, 2007.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Deferred taxes are accounted for using the balance sheet liability method with respect to temporary differences arising from differences between the carrying amount of assets and liabilities in the financial statements and the corresponding tax basis used in the computation of assessable tax profit. In principle, deferred tax liabilities are recognized for all taxable temporary differences, and deferred tax assets are recognized to the extent that it is probable that taxable profit will be available against which deductible temporary differences can be utilized. Deferred taxes are calculated at the tax rates that are expected to apply to the period when the asset is realized or the liability is settled. Deferred taxes are charged or credited in the income statement, except when related items are credited or charged directly to equity, in which case the deferred taxes are also dealt with in equity.</w:t>
      </w:r>
    </w:p>
    <w:p>
      <w:pPr>
        <w:spacing w:after="0" w:line="13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Pursuant to FIN 48, the Company will recognize the benefit from a tax position only if it is more likely than not that the position would be sustained upon audit based solely on the technical merits of the tax position. At February 3, 2007 and November 3, 2007, the Company had no material unrecognized tax benefits based on the provisions of FIN 48.</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120"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 Company’s policy is to recognize accrued interest and penalties related to unrecognized tax benefits in its income tax provision. The Company has not accrued or paid interest or penalties which were material to its results of operations for the third quarter or first nine months of fiscal 2007.</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Sale of LP Innovations, Inc. Subsidiary</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first quarter of fiscal 2006, the Company sold its loss prevention subsidiary, LP Innovations, Inc. (“LPI”), to a private equity group for a purchase price of $5.2 million. The Company received $3.0 million of the purchase price in cash at the closing and entered into a note for the remaining purchase price of $2.2 million. The note requires LPI to make quarterly payments to the Company commencing on the first anniversary of the note. The Company recognized an initial gain on the sale of LPI in the amount of $1.5 million which was recognized as “other income” in the results for the first nine months of fiscal 2006. Due to the uncertainty regarding the collection of the note, the Company fully reserved the balance of the note on the Consolidated Balance Sheet and recognizes income on the note when realizability is assured. For the third quarter and first nine months of fiscal 2007, the Company recognized $0.1 million and $0.4 million, respectively, as “other income.”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Impairment of Assets and Provision for Employment Contract Terminations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Subsequent to the end of the third quarter of fiscal 2007, on November 27, 2007, the Company announced its intentions to exit its Jared M. operations. The Company purchased Jared M. in May 2006 in an effort to expand upon the custom clothing business and develop a direct sales capability within its Rochester business, which would cater to a very discriminating and select customer base. At the same time, the Company planned to expand the Jared M. direct sales force to further penetrate Jared’s existing business which catered to professional athletes and other high-profile clients. However, based on the financial performance of Jared M. since the acquisition, the Company does not believe that Jared M. has the scalability and potential profitability as a long-term strategy. As a result, the Company decided to exit its Jared M. operations.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this decision, during the third quarter of fiscal 2007, the Company recorded a total non-cash charge of $2.6 million relating to the impairment of fixed assets, the write-down of inventory and the write-off of certain other asset accounts. Of the $2.6 million charge, approximately $0.9 million related to the write-down of inventory and is included as a reduction of gross margin for the third quarter and nine months ended November 3, 2007. The remaining $1.7 million is included in “Provision for impairment of assets and employment contract terminations” for the third quarter and nine months ended November 3, 2007. The Company does not anticipate any further material charges during the fourth quarter of fiscal 2007 related to exiting Jared M.</w:t>
      </w:r>
    </w:p>
    <w:p>
      <w:pPr>
        <w:spacing w:after="0" w:line="139"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In the third quarter of fiscal 2006, the Company terminated certain employment agreements with Rochester management as part of the Company’s plan to integrate its remaining San Francisco-based Rochester operations into its headquarters in Canton, MA. In connection with that decision, the Company incurred a charge of $1.2 million in the third quarter of fiscal 2006 to accrue its remaining obligations pursuant to those employees’ employment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Accounting Pronouncements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February 2007, the FASB issued SFAS 159 (“SFAS 159”), “The Fair Value Option for Financial Assets and Financial Liabilities—Including an Amendment of FASB Statement No. 115”. SFAS 159 provides companies with an option to measure, at specified election dates, many financial instruments and certain other items at fair value that are not currently measured at fair value. A company that adopts SFAS 159 will report unrealized gains and losses on items for which the fair value option has been elected in earnings at each subsequent reporting date. SFAS 159 also establishes presentation and disclosure requirements designed to facilitate comparisons between entities that choose different measurement attributes for similar types of assets and liabilities. SFAS 159 is effective for fiscal years beginning after November 15, 2007. The Company is currently assessing the impact of adopting SFAS 159.</w:t>
      </w:r>
    </w:p>
    <w:p>
      <w:pPr>
        <w:sectPr>
          <w:pgSz w:w="11900" w:h="16838" w:orient="portrait"/>
          <w:cols w:equalWidth="0" w:num="1">
            <w:col w:w="11380"/>
          </w:cols>
          <w:pgMar w:left="240" w:top="272" w:right="279" w:bottom="1440" w:gutter="0" w:footer="0" w:header="0"/>
        </w:sectPr>
      </w:pPr>
    </w:p>
    <w:bookmarkStart w:id="11" w:name="page12"/>
    <w:bookmarkEnd w:id="1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February 3, 2007, filed with the Securities and Exchange Commission on April 2, 2007, which identifies certain risks and uncertainties that may have an impact on our future earnings and the direction of our Company.</w:t>
      </w:r>
    </w:p>
    <w:p>
      <w:pPr>
        <w:spacing w:after="0" w:line="1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Casual Male Retail Group, Inc. together with our subsidiaries (the “Company”) is the largest specialty retailer of big &amp; tall men’s apparel with retail operations throughout the United States, Canada and London, England. We operate 471 Casual Male XL retail and outlet stores, 26 Rochester Big &amp; Tall stores and a direct to consumer business, which includes several catalogs and e-commerce sites.</w:t>
      </w:r>
    </w:p>
    <w:p>
      <w:pPr>
        <w:spacing w:after="0" w:line="1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“ours,” “our,” “us” and “the Company” refer to Casual Male Retail Group, Inc. and its consolidated subsidiaries. We refer to our fiscal years which end on February 2, 2008 and February 3, 2007 as “fiscal 2007” and “fiscal 2006,” respectively.</w:t>
      </w:r>
    </w:p>
    <w:p>
      <w:pPr>
        <w:spacing w:after="0" w:line="120"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comparative store sales varies across the retail industry and, as a result, our calculation of comparable sales is not necessarily comparable to similarly titled measures reported by other companies.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New Businesses</w:t>
      </w:r>
    </w:p>
    <w:p>
      <w:pPr>
        <w:spacing w:after="0" w:line="9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During the first nine months of fiscal 2007, we continued to focus on our long-term goal of growing our market share within the big &amp; tall market through the introduction of new brands and product extensions of our existing brands:</w:t>
      </w:r>
    </w:p>
    <w:p>
      <w:pPr>
        <w:spacing w:after="0" w:line="37" w:lineRule="exact"/>
        <w:rPr>
          <w:sz w:val="20"/>
          <w:szCs w:val="20"/>
          <w:color w:val="auto"/>
        </w:rPr>
      </w:pPr>
    </w:p>
    <w:p>
      <w:pPr>
        <w:ind w:left="900" w:right="80" w:hanging="325"/>
        <w:spacing w:after="0" w:line="259"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launched our first </w:t>
      </w:r>
      <w:r>
        <w:rPr>
          <w:rFonts w:ascii="Times New Roman" w:cs="Times New Roman" w:eastAsia="Times New Roman" w:hAnsi="Times New Roman"/>
          <w:sz w:val="18"/>
          <w:szCs w:val="18"/>
          <w:i w:val="1"/>
          <w:iCs w:val="1"/>
          <w:color w:val="auto"/>
        </w:rPr>
        <w:t>B &amp; T Factory Direct</w:t>
      </w:r>
      <w:r>
        <w:rPr>
          <w:rFonts w:ascii="Times New Roman" w:cs="Times New Roman" w:eastAsia="Times New Roman" w:hAnsi="Times New Roman"/>
          <w:sz w:val="18"/>
          <w:szCs w:val="18"/>
          <w:color w:val="auto"/>
        </w:rPr>
        <w:t xml:space="preserve"> catalog for Spring 2007. This new catalog offering, along with our new e-commerce site </w:t>
      </w:r>
      <w:r>
        <w:rPr>
          <w:rFonts w:ascii="Times New Roman" w:cs="Times New Roman" w:eastAsia="Times New Roman" w:hAnsi="Times New Roman"/>
          <w:sz w:val="18"/>
          <w:szCs w:val="18"/>
          <w:u w:val="single" w:color="auto"/>
          <w:color w:val="auto"/>
        </w:rPr>
        <w:t>www.btdirect.com</w:t>
      </w:r>
      <w:r>
        <w:rPr>
          <w:rFonts w:ascii="Times New Roman" w:cs="Times New Roman" w:eastAsia="Times New Roman" w:hAnsi="Times New Roman"/>
          <w:sz w:val="18"/>
          <w:szCs w:val="18"/>
          <w:color w:val="auto"/>
        </w:rPr>
        <w:t xml:space="preserve"> which we launched in Fall 2006, allows us an opportunity to cater to our value-oriented customers. We carry several private label lines which are very similar in fashion and style to our private label lines in our retail stores but are made at lower costs and sold at lower price points.</w:t>
      </w:r>
    </w:p>
    <w:p>
      <w:pPr>
        <w:sectPr>
          <w:pgSz w:w="11900" w:h="16838" w:orient="portrait"/>
          <w:cols w:equalWidth="0" w:num="1">
            <w:col w:w="11400"/>
          </w:cols>
          <w:pgMar w:left="240" w:top="272" w:right="259" w:bottom="1440" w:gutter="0" w:footer="0" w:header="0"/>
        </w:sectPr>
      </w:pPr>
    </w:p>
    <w:bookmarkStart w:id="12" w:name="page13"/>
    <w:bookmarkEnd w:id="12"/>
    <w:p>
      <w:pPr>
        <w:ind w:left="900" w:right="100" w:hanging="325"/>
        <w:spacing w:after="0" w:line="301"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October 2006, we acquired Supersize World, a direct-to-consumer business which we believed was an ideal fit for our existing customers. During the first quarter of fiscal 2007, we launched the newly designed and updated website </w:t>
      </w:r>
      <w:r>
        <w:rPr>
          <w:rFonts w:ascii="Times New Roman" w:cs="Times New Roman" w:eastAsia="Times New Roman" w:hAnsi="Times New Roman"/>
          <w:sz w:val="16"/>
          <w:szCs w:val="16"/>
          <w:u w:val="single" w:color="auto"/>
          <w:color w:val="auto"/>
        </w:rPr>
        <w:t>www.livingXL.com</w:t>
      </w:r>
      <w:r>
        <w:rPr>
          <w:rFonts w:ascii="Times New Roman" w:cs="Times New Roman" w:eastAsia="Times New Roman" w:hAnsi="Times New Roman"/>
          <w:sz w:val="16"/>
          <w:szCs w:val="16"/>
          <w:color w:val="auto"/>
        </w:rPr>
        <w:t>. The website provides our customers a collection of unique, innovative and high quality products for tall and plus-sized men and women to help them achieve a more comfortable lifestyle. During the second quarter of fiscal 2007, we launched the LivingXL catalog, which carries similar products as the website.</w:t>
      </w:r>
    </w:p>
    <w:p>
      <w:pPr>
        <w:spacing w:after="0" w:line="22" w:lineRule="exact"/>
        <w:rPr>
          <w:rFonts w:ascii="Times New Roman" w:cs="Times New Roman" w:eastAsia="Times New Roman" w:hAnsi="Times New Roman"/>
          <w:sz w:val="16"/>
          <w:szCs w:val="16"/>
          <w:color w:val="auto"/>
        </w:rPr>
      </w:pPr>
    </w:p>
    <w:p>
      <w:pPr>
        <w:ind w:left="900" w:right="20" w:hanging="325"/>
        <w:spacing w:after="0" w:line="25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third quarter of fiscal 2007, we launched our new website </w:t>
      </w:r>
      <w:r>
        <w:rPr>
          <w:rFonts w:ascii="Times New Roman" w:cs="Times New Roman" w:eastAsia="Times New Roman" w:hAnsi="Times New Roman"/>
          <w:sz w:val="18"/>
          <w:szCs w:val="18"/>
          <w:u w:val="single" w:color="auto"/>
          <w:color w:val="auto"/>
        </w:rPr>
        <w:t>www.shoesxl.com</w:t>
      </w:r>
      <w:r>
        <w:rPr>
          <w:rFonts w:ascii="Times New Roman" w:cs="Times New Roman" w:eastAsia="Times New Roman" w:hAnsi="Times New Roman"/>
          <w:sz w:val="18"/>
          <w:szCs w:val="18"/>
          <w:color w:val="auto"/>
        </w:rPr>
        <w:t xml:space="preserve">, which carries a complete line of men’s footwear in extended sizes. This website offers our customers a full range of footwear in hard-to-find sizes. Our plan is to significantly increase our sales penetration in the shoe product category to levels which are more in line with men’s apparel spending for shoes. We have added the expanded shoe assortments within our existing Casual Male and Rochester catalogs, including on our websites, </w:t>
      </w:r>
      <w:r>
        <w:rPr>
          <w:rFonts w:ascii="Times New Roman" w:cs="Times New Roman" w:eastAsia="Times New Roman" w:hAnsi="Times New Roman"/>
          <w:sz w:val="18"/>
          <w:szCs w:val="18"/>
          <w:u w:val="single" w:color="auto"/>
          <w:color w:val="auto"/>
        </w:rPr>
        <w:t>www.casualmalexl.com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www.rochesterclothing.com</w:t>
      </w:r>
      <w:r>
        <w:rPr>
          <w:rFonts w:ascii="Times New Roman" w:cs="Times New Roman" w:eastAsia="Times New Roman" w:hAnsi="Times New Roman"/>
          <w:sz w:val="18"/>
          <w:szCs w:val="18"/>
          <w:color w:val="auto"/>
        </w:rPr>
        <w:t xml:space="preserve">, as well as featuring the entire shoe product assortments on </w:t>
      </w:r>
      <w:r>
        <w:rPr>
          <w:rFonts w:ascii="Times New Roman" w:cs="Times New Roman" w:eastAsia="Times New Roman" w:hAnsi="Times New Roman"/>
          <w:sz w:val="18"/>
          <w:szCs w:val="18"/>
          <w:u w:val="single" w:color="auto"/>
          <w:color w:val="auto"/>
        </w:rPr>
        <w:t>www.shoesxl.com</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 – Exit of Jared M. Operations</w:t>
      </w:r>
    </w:p>
    <w:p>
      <w:pPr>
        <w:spacing w:after="0" w:line="92"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Subsequent to the end of the third quarter of fiscal 2007, on November 27, 2007, we announced our plans to exit our Jared M. operations. We purchased Jared M. in May 2006 in an effort to expand upon the custom clothing business and develop a direct sales capability within our Rochester business, which would cater to a very discriminating and select customer base. At the same time, we planned to expand Jared M.’s current direct sales force to further penetrate Jared’s existing business which catered to professional athletes and other high-profile clients. However, based on the financial performance of Jared M. since the acquisition, we do not believe that Jared M. has the scalability and potential profitability as a long-term strategy. As a result, we decided to exit our Jared M. operations.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this decision, during the third quarter of fiscal 2007, we recorded a total non-cash charge of $2.6 million relating to the impairment of fixed assets, the write-down of inventory and the write-off of certain other asset accounts. Of the $2.6 million charge, approximately $0.9 million related to the write-down of inventory and is included as a reduction of gross margin for the third quarter and nine months ended November 3, 2007. The remaining $1.7 million is included in “Provision for impairment of assets and employment contract terminations” for the third quarter and nine months ended November 3, 2007. We do not anticipate any further material charges during the fourth quarter of fiscal 2007 related to exiting Jared 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Summary</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operating income during the first nine months of fiscal 2007 was $2.4 million, resulting in a net loss of $(0.01) per diluted share. These results include the non-cash charge of $2.6 million which is discussed above relating to the various impairment charges associated with exiting our Jared M. operations compared to a prior year charge of $1.2 million for the termination of employment contracts. The other reductions in our operating income that totaled $5.8 million for the first nine months of 2007, and $4.0 million for the third quarter of fiscal 2007 were attributed to three primary items: (1) the losses from our new businesses of $1.1 million for the first nine months of fiscal 2007 and $0.6 million for the third quarter of fiscal 2007, (2) operating losses from our Jared M. business of $2.1 million for the first nine months of fiscal 2007 and $0.7 million for the third quarter of fiscal 2007, and (3) for the nine months of fiscal 2007, $0.8 million in legal expenses associated with our successful litigation of a lawsuit. Our third quarter results were also negatively impacted by a weakening in the retail market primarily as a result of warm weather and overall economic conditions.</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the fourth quarter of fiscal 2007, we anticipate that our selling, general and administrative expenses will be basically flat to last year’s levels (for the comparable 13 weeks period), gross margins are expected to improve from last year’s levels by 50 to 80 basis points, and we expect that our overall comparable sales growth will be between 4.0% and 7.0%. Based on these expectations, we anticipate our earnings for fiscal 2007 will approximate between $0.24-$0.29 per diluted share, which is based on our recently issued guidance of $0.28 to $0.33 per diluted share and includes the $0.04 per share charge related to discontinuing the Jared M. business.</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w:t>
      </w:r>
    </w:p>
    <w:p>
      <w:pPr>
        <w:spacing w:after="0" w:line="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the third quarter of fiscal 2007, sales, which include our e-commerce and catalog businesses, of $106.6 million were slightly down when compared to sales of $106.9 million for the third quarter of fiscal 2006. The sales shortfall of $0.3 million during the third quarter was primarily driven by decreases among both our Casual Male and Rochester stores. Similar to many in the retail industry, the third quarter proved to be a difficult environment with the unseasonably warm weather which slowed sales of our fall and winter merchandise and overall economic factors, both having a negative impact on our foot traffic and customer spending. Although customer traffic was negative in the third quarter, the average sale per customer was positive. Comparable sales decreased 1.1% during the third quarter of fiscal 2007, of which the retail channel decreased 4.8% and our direct channel increased 19.6%. Comparable sales from our core Casual Male and Rochester businesses, excluding the new businesses, had a decrease of approximately 3.4%. For the third quarter of fiscal 2007, our new businesses, which include LivingXL, Shoes XL and B&amp;T Factory Direct, had sales of $3.1 million.</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Total sales for the first nine months of fiscal 2007 increased 3.3% to $332.1 million as compared to $321.5 million for the first nine months of fiscal 2006. Comparable sales increased 3.0% during the first nine months of fiscal 2007, of which the retail channel increased 0.7% and our direct channel increased 16.9%. Comparable sales from our core Casual Male and Rochester businesses, excluding the new businesses, generated an increase of approximately 1.6%. For the first nine months of fiscal 2007, our new businesses, which include LivingXL, Shoes XL and B&amp;T Factory Direct, had sales of $5.0 million.</w:t>
      </w:r>
    </w:p>
    <w:p>
      <w:pPr>
        <w:spacing w:after="0" w:line="13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the fourth quarter of fiscal 2007, we are anticipating an increase in overall comparable sales between 4.0% and 7.0% as compared to the prior year, and together with an estimated $10.0 million from new businesses, total sales for fiscal 2007 are expected to approximate $473.0 to $478.0 million, which includes sales from our discontinued Jared M. business of approximately $3.0 million and expected sales of $470.0 to $475.0 million from our remaining businesses. Through November 25, 2007, fourth quarter comparable sales are up 7.1% as compared to the comparable period in 2006.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third quarter of fiscal 2007, our gross margin rate, inclusive of occupancy costs, was 43.1%, which includes the Jared M. inventory impairment for $0.9 million, or 80 basis points, as compared to a gross margin rate of 44.0% for the third quarter of fiscal 2006. Merchandise margins for the third quarter of fiscal 2007 increased by 30 basis points over the prior year. This increase was offset by a 40 basis point increase in occupancy costs. The increase in merchandise margin is primarily due to improved initial margins related to our direct sourcing. The slight increase in occupancy costs as a percent of sales was principally due to new store leases and lease option renewals.</w:t>
      </w:r>
    </w:p>
    <w:p>
      <w:pPr>
        <w:spacing w:after="0" w:line="139"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Gross margin for the first nine months of fiscal 2007 was 45.2%, which includes the 30 basis point impact of the Jared M. inventory impairment, as compared to a gross margin rate of 44.4% for the first nine months of fiscal 2006. The remaining increase in gross margin of 110 basis points was attributable to our improved merchandise margins of approximately 130 percentage points offset slightly by an increase in occupancy rates as a percent of sales of 20 basis points.</w:t>
      </w:r>
    </w:p>
    <w:p>
      <w:pPr>
        <w:spacing w:after="0" w:line="9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We anticipate that our gross margins for fiscal 2007 will continue to show improvement for the balance of the year, resulting in an overall increase of between 30 and 60 basis points, or a gross margin rate of between 45.8% to 46.1% which represents overall improvements of 50 to 80 basis points, offset by the impact of the $0.9 million Jared M. inventory impairment of 20 basis points.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third quarter of fiscal 2007 were 42.2% of sales as compared to 39.4% for the third quarter of fiscal 2006. For the first nine months of fiscal 2007, SG&amp;A expenses were 40.1% of sales as compared to 37.8% for the first nine months of fiscal 2006. Our SG&amp;A rates as a percentage of sales increased this past quarter due partly to our weak third quarter sales. The increase in SG&amp;A of $2.8 million and $11.5 million for the third quarter and first nine months of fiscal 2007, respectively, is partially due to $2.7 million and $5.7 million related to our new businesses and product extensions, including Jared M., for the third quarter and first nine months of fiscal 2007, respectively. Results for the nine months of fiscal 2007 also include approximately $0.8 million</w:t>
      </w:r>
    </w:p>
    <w:p>
      <w:pPr>
        <w:sectPr>
          <w:pgSz w:w="11900" w:h="16838" w:orient="portrait"/>
          <w:cols w:equalWidth="0" w:num="1">
            <w:col w:w="11420"/>
          </w:cols>
          <w:pgMar w:left="240" w:top="272" w:right="239" w:bottom="1440" w:gutter="0" w:footer="0" w:header="0"/>
        </w:sectPr>
      </w:pPr>
    </w:p>
    <w:bookmarkStart w:id="14" w:name="page15"/>
    <w:bookmarkEnd w:id="14"/>
    <w:p>
      <w:pPr>
        <w:ind w:right="1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legal expenses related to litigation in which we were the plaintiff. We were awarded damages of $1.5 million plus interest, which is in the collection process. The balance of the SG&amp;A increase for the nine months of fiscal 2007 was as anticipated and related primarily to sales volume-related costs for the first nine months, such as supporting payroll, transaction costs and marketing expenses.</w:t>
      </w:r>
    </w:p>
    <w:p>
      <w:pPr>
        <w:spacing w:after="0" w:line="132" w:lineRule="exact"/>
        <w:rPr>
          <w:sz w:val="20"/>
          <w:szCs w:val="20"/>
          <w:color w:val="auto"/>
        </w:rPr>
      </w:pPr>
    </w:p>
    <w:p>
      <w:pPr>
        <w:jc w:val="both"/>
        <w:ind w:right="120"/>
        <w:spacing w:after="0" w:line="310" w:lineRule="auto"/>
        <w:rPr>
          <w:sz w:val="20"/>
          <w:szCs w:val="20"/>
          <w:color w:val="auto"/>
        </w:rPr>
      </w:pPr>
      <w:r>
        <w:rPr>
          <w:rFonts w:ascii="Times New Roman" w:cs="Times New Roman" w:eastAsia="Times New Roman" w:hAnsi="Times New Roman"/>
          <w:sz w:val="16"/>
          <w:szCs w:val="16"/>
          <w:color w:val="auto"/>
        </w:rPr>
        <w:t>For the balance of fiscal 2007, we expect our SG&amp;A levels to approximate last year’s levels for the comparable 13 week period. Accordingly, we anticipate that our SG&amp;A expense levels for fiscal 2007 will approximate between $178.0 to $179.0 million, which includes $4.0 million for our Jared M. business and $174.0 to $175.0 million for our remaining businesses, including $7.0 million for new businesses, compared to a total SG&amp;A of $170.9 million last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Impairment of Assets and Employment Contract Termination</w:t>
      </w:r>
    </w:p>
    <w:p>
      <w:pPr>
        <w:spacing w:after="0" w:line="9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In connection with our decision, subsequent to the end of the third quarter of fiscal 2007, to exit our Jared M. operations, we incurred an impairment charge for the third quarter of fiscal 2007 of $1.7 million which included an impairment to fixed assets of $1.4 million and other assets of $0.3 million.</w:t>
      </w:r>
    </w:p>
    <w:p>
      <w:pPr>
        <w:spacing w:after="0" w:line="1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 the third quarter of fiscal 2006, we terminated certain employment agreements with Rochester management as part of our plan to integrate our remaining San Francisco-based Rochester operations into our headquarters in Canton, MA. In connection with that decision, we incurred a charge of $1.2 million in the third quarter of fiscal 2006 to accrue our remaining obligations pursuant to those employees’ employment agreements.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9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Net interest expense was $1.3 million for the third quarter of fiscal 2007 as compared to $1.5 million for the third quarter of fiscal 2006. For the first nine months of fiscal 2007 net interest expense was $3.1 million as compared to $4.1 million for the first nine months of fiscal 2006. This decrease in interest expense is principally due to the conversion of our convertible notes during the fourth quarter of fiscal 2006, which has resulted in lower debt levels. This decrease was partially offset by increased interest costs from our Credit Facility as a result of increased borrowings to fund our stock repurchase program and working capital needs. In July 2007, we also entered into a Master Loan and Security Agreement and related Equipment Security Note for approximately $17.4 million in additional borrowings, of which $16.3 million is outstanding at November 3, 2007. See our Liquidity and Capital Resources discussion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2006, we sold our subsidiary LP Innovations, Inc. at which time we recognized an initial gain of $1.5 million. This gain of $1.5 million was partially offset in the prior year by certain non-operating expenses of $0.4 million. As part of the sale, we received a note receivable for a portion of the sale price which we fully reserved against at that time. We are recognizing income as realizability is assured. See Note 6 to the Consolidated Financial Statements for a complete description of the sale. For the third quarter and first nine months of fiscal 2007, $0.1 million and $0.4 million, respectively, of the gain was recognized as other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net operating loss carryforwards available to us, we expect that cash payments for taxes will continue to be minimal at this time. At November 3, 2007, our total gross deferred tax assets were approximately $29.5 million, with a corresponding valuation allowance of $1.2 million. These tax assets principally relate to federal net operating loss carryforwards that expire from 2018 through 2024. The valuation allowance of $1.2 million is for losses associated with our Canadian operations and certain state net operating losses, the benefit of which may not be recognized due to short carryforward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For the third quarter of fiscal 2007, we had a net loss of $3.8 million, or $(0.09) per diluted share, as compared to a net loss of $0.8 million, or $(0.02) per diluted share, for the third quarter of fiscal 2006. For the first nine months of fiscal 2007, we had a net loss of $0.2 million, or $(0.01) per diluted share, as compared to net income of $3.9 million, or $0.11 per diluted share, for the first nine months of fiscal 2006.</w:t>
      </w:r>
    </w:p>
    <w:p>
      <w:pPr>
        <w:sectPr>
          <w:pgSz w:w="11900" w:h="16838" w:orient="portrait"/>
          <w:cols w:equalWidth="0" w:num="1">
            <w:col w:w="11380"/>
          </w:cols>
          <w:pgMar w:left="240" w:top="274" w:right="279" w:bottom="1440" w:gutter="0" w:footer="0" w:header="0"/>
        </w:sectPr>
      </w:pPr>
    </w:p>
    <w:bookmarkStart w:id="15" w:name="page16"/>
    <w:bookmarkEnd w:id="15"/>
    <w:p>
      <w:pPr>
        <w:ind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results for the third quarter and first nine months of fiscal 2007, included a non-cash charge of $2.6 million, or $(0.04) per diluted share for the impairment of fixed assets, inventory and other assets accounts related to our decision subsequent to quarter end to exit our Jared M. operations.</w:t>
      </w:r>
    </w:p>
    <w:p>
      <w:pPr>
        <w:spacing w:after="0" w:line="120"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Results for the third quarter and first nine months of fiscal 2006 included a charge of $1.2 million, or $(0.02) per diluted share, for severance related to the early terminations of certain employment agreements with Rochester management. Net income for the first nine months of fiscal 2006 included a pre-tax gain of $1.5 million related to the sale of LPI as compared to $0.4 million for the first nine months of fiscal 2007, as discussed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92"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At November 3, 2007, total inventory was $139.4 million compared to $114.5 million at February 3, 2007 and $124.2 million at October 28, 2006. Inventory at the end of the third quarter of fiscal 2007 increased 21.7% as compared to February 3, 2007 and increased 12.3% compared to October 28, 2006.</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increase in inventory from February 3, 2007 of $24.9 million is principally due to added inventories of $17.1 million for our Casual Male XL stores, $1.4 million for our Rochester business and $6.4 million for our direct businesses to support our fourth quarter selling season and also to maintain a sufficient in-stock position in our core merchandise. During the third quarter of fiscal 2007, we recorded a $0.9 million write off of inventory related to our decision in the fourth quarter of fiscal 2007 to close our Jared M. operations.</w:t>
      </w:r>
    </w:p>
    <w:p>
      <w:pPr>
        <w:spacing w:after="0" w:line="136"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The increase in inventory from October 28, 2006 of $15.3 million is due to added inventories of $7.1 million for our Casual Male XL business, $3.4 million for our Rochester business, and $4.7 million for our direct businesses. These increases are primarily for supporting our new businesses and product extensions.</w:t>
      </w:r>
    </w:p>
    <w:p>
      <w:pPr>
        <w:spacing w:after="0" w:line="7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growth in inventory levels has slowed during the first nine months of fiscal 2007 as compared to the same period of fiscal 2006. At the end of the third quarter of fiscal 2007, our inventory level increased $24.9 million, while during the same period last year inventory levels increased $32.6 million. Although we had previously indicated that inventory levels at the end of fiscal 2007 would be approximately $15.0 million less than fiscal 2006, due to a change in our anticipated 2008 spring receipts which we now expect to receive in January 2008, inventory levels for fiscal 2007 are expected to approximate fiscal 2006 inventory levels.</w:t>
      </w:r>
    </w:p>
    <w:p>
      <w:pPr>
        <w:spacing w:after="0" w:line="13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the second quarter of fiscal 2006, we changed our inventory valuation method to lower of cost or market, using a weighted-average cost method. Previously, substantially all of our inventory was valued using the lower of cost or market on a first in, first out (“FIFO”) basis, under the retail inventory method. See Note 2 to the Consolidated Financial Statements for a full description.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in revenues and income, with increases traditionally occurring during our third and fourth quarters as a result of the “Fall” and “Holiday” seasons.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primary cash needs are for working capital (essentially inventory requirements) and capital expenditures. Specifically, our capital expenditure program includes projects for new store openings, relocations and remodeling, downsizing or combining existing stores, and improvements and integration of our system’s infrastructure. We expect that cash flow from operations, external borrowings and trade credit will enable us to finance our current working capital and expansion requirements. We have financed our working capital requirements, store expansion program, stock repurchase programs and acquisitions with cash flow from operations, external borrowings, and proceeds from equity and debt offerings. Our objective is to maintain a positive cash flow after capital expenditures such that we can support our growth activities with operational cash flows without incurring additional debt.</w:t>
      </w:r>
    </w:p>
    <w:p>
      <w:pPr>
        <w:sectPr>
          <w:pgSz w:w="11900" w:h="16838" w:orient="portrait"/>
          <w:cols w:equalWidth="0" w:num="1">
            <w:col w:w="11420"/>
          </w:cols>
          <w:pgMar w:left="240" w:top="274" w:right="239" w:bottom="1440" w:gutter="0" w:footer="0" w:header="0"/>
        </w:sectPr>
      </w:pPr>
    </w:p>
    <w:bookmarkStart w:id="16" w:name="page17"/>
    <w:bookmarkEnd w:id="16"/>
    <w:p>
      <w:pPr>
        <w:ind w:right="2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nine months of fiscal 2007, cash used by operating activities was $15.7 million as compared to cash used by operating activities of $6.8 million for the corresponding period of the prior year. The decrease in cash flow from operating activities was primarily due to the decrease in operating income over the prior year and the timing of cash flow of our working capital accounts, such as the payment of accounts payable.</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cash flow from operations, our other primary source of working capital is our credit facility with Bank of America Retail Group, LLC, which was most recently amended on July 20, 2007 (the “Credit Facility”). The Credit Facility provides for a total commitment of $110 million comprised of (i) a $100 million revolving credit facility which includes a sublimit of $20 million for commercial and standby letter of credits and a sublimit of up to $15 million for SwingLine Loans and (ii) a $10 million “Last Out” revolving credit facility, which will be subordinate to the $100 million revolving credit facility. If at any time our Excess Availability Ratio, as defined in the Credit Facility, is less than 50%, our borrowings must first be made from the “Last Out” revolving credit facility before borrowing from the $100 million revolving credit facility. The maturity date of the Credit Facility is October 29, 2008. Borrowings under the Credit Facility bear interest at variable rates based on Bank of America’s prime rate or the London Interbank Offering Rate (“LIBOR”) and vary depending on our levels of excess availability.</w:t>
      </w:r>
    </w:p>
    <w:p>
      <w:pPr>
        <w:spacing w:after="0" w:line="13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had outstanding borrowings under the Credit Facility at November 3, 2007 of $67.2 million. Outstanding standby letters of credit were $2.7 million and outstanding documentary letters of credit were $1.4 million. Average monthly borrowings outstanding under this facility during the first nine months of fiscal 2007 were approximately $47.4 million, resulting in an average unused excess availability of approximately $43.9 million. Unused excess availability at November 3, 2007 was $38.6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Master Loan and Security Agreement</w:t>
      </w:r>
    </w:p>
    <w:p>
      <w:pPr>
        <w:spacing w:after="0" w:line="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July 20, 2007, we entered into a Master Loan and Security Agreement (the “Master Agreement”) with Banc of America Leasing &amp; Capital, LLC (“BALC”) for equipment financing. In conjunction with the Master Agreement, we entered into an Equipment Security Note (the “Secured Note”), whereby we borrowed an aggregate of $17.4 million from BALC. The Secured Note is secured by a security interest in all of our rights, title and interest in and to certain equipment. The Secured Note is due July 20, 2011 and accrues interest at a per annum rate of 1.75% plus the rate of interest equal to the 30-day published LIBOR rate. Principal and interest, in arrears, are payable monthly, commencing on August 20, 2007. We are subject to a prepayment penalty equal to 1% of the prepaid principal until July 20, 2008, 0.5% of the prepaid principal from July 21, 2008 through July 20, 2009 and no prepayment penalty thereafter. At November 3, 2007, the outstanding balance of the Secured Note was $16.3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from the Secured Note were used to fund our working capital needs and our stock repurchase program.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 Program</w:t>
      </w:r>
    </w:p>
    <w:p>
      <w:pPr>
        <w:spacing w:after="0" w:line="9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On December 4, 2006, in connection with our decision to redeem a portion of our 5% senior subordinated convertible notes, our Board of Directors approved a $75.0 million stock repurchase program. Under this stock repurchase program, we are authorized to repurchase up to $75.0 million of our common stock through open market and privately negotiated transactions pursuant to Rule 10b-18 of the Exchange Act. The stock repurchase program expires on December 31, 2007 but may be terminated earlier at any time without prior notice. During the first nine months of fiscal 2007, we repurchased approximately 4.1 million shares for an aggregate price of $48.8 million. Since the first quarter of fiscal 2006, we have repurchased a total of 5.7 million shares of our common stock at an aggregate cost of $64.1 million. We have funded our stock repurchase program with borrowings from our Credit Facility. We believe that this stock repurchase program is a good investment of our available funds and reflects our commitment to our shareholders and our confidence in our earnings growth and accelerating cash flow.</w:t>
      </w:r>
    </w:p>
    <w:p>
      <w:pPr>
        <w:spacing w:after="0" w:line="11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At November 3, 2007, we have a total of 10.9 million shares of repurchased stock at an aggregate cost of $88.0 million which is reported by us as treasury stock and is reflected as a reduction in stockholders’ equity. As of November 3, 2007, we have $24.1 million available under the current stock repurchase program pursuant to which we may repurchase additional shares through December 31, 2007.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Expenditures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stores opened and related square footage at November 3, 2007 and October 28, 2006,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Store Concept</w:t>
            </w:r>
          </w:p>
        </w:tc>
        <w:tc>
          <w:tcPr>
            <w:tcW w:w="32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At November 3, 2007</w:t>
            </w:r>
          </w:p>
        </w:tc>
        <w:tc>
          <w:tcPr>
            <w:tcW w:w="26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At October 28, 2006</w:t>
            </w:r>
          </w:p>
        </w:tc>
        <w:tc>
          <w:tcPr>
            <w:tcW w:w="0" w:type="dxa"/>
            <w:vAlign w:val="bottom"/>
          </w:tcPr>
          <w:p>
            <w:pPr>
              <w:spacing w:after="0"/>
              <w:rPr>
                <w:sz w:val="1"/>
                <w:szCs w:val="1"/>
                <w:color w:val="auto"/>
              </w:rPr>
            </w:pPr>
          </w:p>
        </w:tc>
      </w:tr>
      <w:tr>
        <w:trPr>
          <w:trHeight w:val="149"/>
        </w:trPr>
        <w:tc>
          <w:tcPr>
            <w:tcW w:w="5540" w:type="dxa"/>
            <w:vAlign w:val="bottom"/>
            <w:gridSpan w:val="3"/>
            <w:vMerge w:val="continue"/>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Square Footage</w:t>
            </w:r>
          </w:p>
        </w:tc>
        <w:tc>
          <w:tcPr>
            <w:tcW w:w="68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Square Footage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(square footage in thousands)</w:t>
            </w:r>
          </w:p>
        </w:tc>
        <w:tc>
          <w:tcPr>
            <w:tcW w:w="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Casual Male XL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1,624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Rochester Big &amp; Tall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Sears Canada</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1,839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Total cash outlays for capital expenditures for the first nine months of fiscal 2007 were $16.2 million as compared to $15.8 million for the first nine months of fiscal 2006. Below is a summary of store openings and closings since February 3, 2007:</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3"/>
              </w:rPr>
              <w:t>Rochester</w:t>
            </w: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Sears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3"/>
              </w:rPr>
              <w:t>Casual Male</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4"/>
              </w:rPr>
              <w:t>Big &amp;Tall</w:t>
            </w: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89"/>
              </w:rPr>
              <w:t>Canada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0"/>
              </w:rPr>
              <w:t>Total stores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February 3, 2007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New outlet stores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New retail stores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Closed stores</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November 3, 2007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auto"/>
        </w:rPr>
        <w:t>We expect our total capital expenditures for fiscal 2007 will be approximately $20.0 million, of which $7.8 million relates to capital for new stores, relocations and remodels and includes funds to relocate approximately 10 of our existing Casual Male XL retail stores at an estimated $100,000 to $120,000 for each location. We expect to incur approximately $9.0 million for system enhancements and a new sortation system for our distribution center.</w:t>
      </w:r>
    </w:p>
    <w:p>
      <w:pPr>
        <w:spacing w:after="0" w:line="9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the end of the third quarter of fiscal 2007, we have closed all twelve of our Sears Canada locations, but we currently plan to continue to participate in our co-branded catalogs with Sears Canada. For the remainder of fiscal 2007, we intend to open two new Casual Male XL stores. We also expect to close 11 existing Casual Male XL retail stores as their respective leases expire and we plan to relocate three other Casual Male XL locations. During the first nine months of fiscal 2007, we have renovated 57 of our Casual Male XL stores.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Annual Report on Form 10-K for the year ended February 3, 2007 filed with the SEC on April 2, 2007.</w:t>
      </w:r>
    </w:p>
    <w:p>
      <w:pPr>
        <w:sectPr>
          <w:pgSz w:w="11900" w:h="16838" w:orient="portrait"/>
          <w:cols w:equalWidth="0" w:num="1">
            <w:col w:w="11420"/>
          </w:cols>
          <w:pgMar w:left="240" w:top="274" w:right="239" w:bottom="1440" w:gutter="0" w:footer="0" w:header="0"/>
        </w:sectPr>
      </w:pPr>
    </w:p>
    <w:bookmarkStart w:id="18" w:name="page19"/>
    <w:bookmarkEnd w:id="18"/>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2008, bear interest at variable rates based on Bank of America’s prime rate or the London Interbank Offering Rate (“LIBOR”). At November 3, 2007, the interest rate on our prime based borrowings was 7.50%. Approximately $60.0 million of our outstanding borrowings were in LIBOR contracts with interest rates ranging between 6.04% and 7.88%. Based upon a sensitivity analysis as of November 3, 2007, assuming average outstanding borrowing during the first nine months of fiscal 2007 of $47.4 million, a 50 basis point increase in interest rates would have resulted in a potential increase in interest expense of approximately $177,750.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9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Sears Canada catalog operations (and our Sears Canada store locations, which have all been closed as of November 3, 2007) conduct business in Canadian dollars and our Rochester Big &amp; Tall Clothing store located in London, England conducts business in British pounds. If the value of the Canadian dollar or the British pound against the U.S. dollar weakens, the revenues and earnings of these operations will be reduced when they are translated to U.S. dollars. Also, the value of these assets to U.S. dollars may decline. As of November 3, 2007, sales from our Sears Canada operations and our London Rochester Big &amp; Tall store were immaterial to consolidated sales. As such, we believe that movement in foreign currency exchange rates will not have a material adverse affect on our financial position or results of operations.</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90"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November 3, 2007.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November 3, 2007,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November 3, 2007 that has materially affected, or is reasonably likely to materially affect, our internal control over financial reporting.</w:t>
      </w:r>
    </w:p>
    <w:p>
      <w:pPr>
        <w:sectPr>
          <w:pgSz w:w="11900" w:h="16838" w:orient="portrait"/>
          <w:cols w:equalWidth="0" w:num="1">
            <w:col w:w="11420"/>
          </w:cols>
          <w:pgMar w:left="240" w:top="272"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18"/>
          <w:szCs w:val="18"/>
          <w:color w:val="auto"/>
        </w:rPr>
        <w:t>Following a jury trial, the United States District Court for the District of Massachusetts entered judgment on July 6, 2007, in our favor and against a competitor and a former independent contractor/consultant in the amount of $1,480,000. The defendant competitor has satisfied the judgment against it in the amount of $400,000. The defendant former contractor/consultant has filed a notice of appeal from its $1,080,000 outstanding judgment. We intend to oppose the appeal and to take appropriate steps to enforce and collect the balance of the judgment.</w:t>
      </w:r>
    </w:p>
    <w:p>
      <w:pPr>
        <w:spacing w:after="0" w:line="55" w:lineRule="exact"/>
        <w:rPr>
          <w:sz w:val="20"/>
          <w:szCs w:val="20"/>
          <w:color w:val="auto"/>
        </w:rPr>
      </w:pPr>
    </w:p>
    <w:p>
      <w:pPr>
        <w:ind w:left="920" w:right="160"/>
        <w:spacing w:after="0" w:line="262" w:lineRule="auto"/>
        <w:rPr>
          <w:sz w:val="20"/>
          <w:szCs w:val="20"/>
          <w:color w:val="auto"/>
        </w:rPr>
      </w:pPr>
      <w:r>
        <w:rPr>
          <w:rFonts w:ascii="Times New Roman" w:cs="Times New Roman" w:eastAsia="Times New Roman" w:hAnsi="Times New Roman"/>
          <w:sz w:val="18"/>
          <w:szCs w:val="18"/>
          <w:color w:val="auto"/>
        </w:rPr>
        <w:t>We have also filed a separate action in the United States District Court for the District of Massachusetts against the same former independent contractor/consultant and a separate former supplier and current competitor alleging similar misconduct. This second action remains in preliminary discovery stages. We intend, however, to prosecute these claims vigorously.</w:t>
      </w:r>
    </w:p>
    <w:p>
      <w:pPr>
        <w:spacing w:after="0" w:line="51" w:lineRule="exact"/>
        <w:rPr>
          <w:sz w:val="20"/>
          <w:szCs w:val="20"/>
          <w:color w:val="auto"/>
        </w:rPr>
      </w:pPr>
    </w:p>
    <w:p>
      <w:pPr>
        <w:ind w:left="920" w:right="460"/>
        <w:spacing w:after="0" w:line="275" w:lineRule="auto"/>
        <w:rPr>
          <w:sz w:val="20"/>
          <w:szCs w:val="20"/>
          <w:color w:val="auto"/>
        </w:rPr>
      </w:pPr>
      <w:r>
        <w:rPr>
          <w:rFonts w:ascii="Times New Roman" w:cs="Times New Roman" w:eastAsia="Times New Roman" w:hAnsi="Times New Roman"/>
          <w:sz w:val="18"/>
          <w:szCs w:val="18"/>
          <w:color w:val="auto"/>
        </w:rPr>
        <w:t>We are also subject to various legal proceedings and claims that arise in the ordinary course of business. We believe that the resolution of these matters will not have an adverse impact on our operations or financial position.</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left="920"/>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(“Risk Factors”) of our Annual Report on Form 10-K for the year ended February 3, 2007 filed with the SEC on April 2, 2007.</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 Issuer Purchases of Equity Securities</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is a summary of our share repurchase activity for the three months ended November 3, 2007: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4"/>
                <w:szCs w:val="14"/>
                <w:color w:val="auto"/>
              </w:rPr>
            </w:pPr>
          </w:p>
        </w:tc>
        <w:tc>
          <w:tcPr>
            <w:tcW w:w="9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680" w:type="dxa"/>
            <w:vAlign w:val="bottom"/>
          </w:tcPr>
          <w:p>
            <w:pPr>
              <w:spacing w:after="0"/>
              <w:rPr>
                <w:sz w:val="14"/>
                <w:szCs w:val="14"/>
                <w:color w:val="auto"/>
              </w:rPr>
            </w:pPr>
          </w:p>
        </w:tc>
        <w:tc>
          <w:tcPr>
            <w:tcW w:w="18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1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Maximum Number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 Number of</w:t>
            </w: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Purchased as</w:t>
            </w:r>
          </w:p>
        </w:tc>
        <w:tc>
          <w:tcPr>
            <w:tcW w:w="12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that May Yet</w:t>
            </w: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Average Price Paid</w:t>
            </w:r>
          </w:p>
        </w:tc>
        <w:tc>
          <w:tcPr>
            <w:tcW w:w="680" w:type="dxa"/>
            <w:vAlign w:val="bottom"/>
          </w:tcPr>
          <w:p>
            <w:pPr>
              <w:spacing w:after="0"/>
              <w:rPr>
                <w:sz w:val="12"/>
                <w:szCs w:val="12"/>
                <w:color w:val="auto"/>
              </w:rPr>
            </w:pPr>
          </w:p>
        </w:tc>
        <w:tc>
          <w:tcPr>
            <w:tcW w:w="18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Part of Publicly</w:t>
            </w:r>
          </w:p>
        </w:tc>
        <w:tc>
          <w:tcPr>
            <w:tcW w:w="12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 Purchased Under</w:t>
            </w:r>
          </w:p>
        </w:tc>
        <w:tc>
          <w:tcPr>
            <w:tcW w:w="0" w:type="dxa"/>
            <w:vAlign w:val="bottom"/>
          </w:tcPr>
          <w:p>
            <w:pPr>
              <w:spacing w:after="0"/>
              <w:rPr>
                <w:sz w:val="1"/>
                <w:szCs w:val="1"/>
                <w:color w:val="auto"/>
              </w:rPr>
            </w:pPr>
          </w:p>
        </w:tc>
      </w:tr>
      <w:tr>
        <w:trPr>
          <w:trHeight w:val="159"/>
        </w:trPr>
        <w:tc>
          <w:tcPr>
            <w:tcW w:w="4660" w:type="dxa"/>
            <w:vAlign w:val="bottom"/>
            <w:gridSpan w:val="3"/>
            <w:vMerge w:val="continue"/>
          </w:tcPr>
          <w:p>
            <w:pPr>
              <w:spacing w:after="0"/>
              <w:rPr>
                <w:sz w:val="13"/>
                <w:szCs w:val="13"/>
                <w:color w:val="auto"/>
              </w:rPr>
            </w:pPr>
          </w:p>
        </w:tc>
        <w:tc>
          <w:tcPr>
            <w:tcW w:w="1920" w:type="dxa"/>
            <w:vAlign w:val="bottom"/>
            <w:gridSpan w:val="2"/>
          </w:tcPr>
          <w:p>
            <w:pPr>
              <w:jc w:val="center"/>
              <w:ind w:right="6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Shares Purchased (1)</w:t>
            </w:r>
          </w:p>
        </w:tc>
        <w:tc>
          <w:tcPr>
            <w:tcW w:w="180" w:type="dxa"/>
            <w:vAlign w:val="bottom"/>
          </w:tcPr>
          <w:p>
            <w:pPr>
              <w:spacing w:after="0"/>
              <w:rPr>
                <w:sz w:val="13"/>
                <w:szCs w:val="13"/>
                <w:color w:val="auto"/>
              </w:rPr>
            </w:pPr>
          </w:p>
        </w:tc>
        <w:tc>
          <w:tcPr>
            <w:tcW w:w="920" w:type="dxa"/>
            <w:vAlign w:val="bottom"/>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per Share</w:t>
            </w:r>
          </w:p>
        </w:tc>
        <w:tc>
          <w:tcPr>
            <w:tcW w:w="680" w:type="dxa"/>
            <w:vAlign w:val="bottom"/>
          </w:tcPr>
          <w:p>
            <w:pPr>
              <w:spacing w:after="0"/>
              <w:rPr>
                <w:sz w:val="13"/>
                <w:szCs w:val="13"/>
                <w:color w:val="auto"/>
              </w:rPr>
            </w:pPr>
          </w:p>
        </w:tc>
        <w:tc>
          <w:tcPr>
            <w:tcW w:w="1860" w:type="dxa"/>
            <w:vAlign w:val="bottom"/>
            <w:gridSpan w:val="2"/>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4"/>
              </w:rPr>
              <w:t>Announced Plan</w:t>
            </w:r>
          </w:p>
        </w:tc>
        <w:tc>
          <w:tcPr>
            <w:tcW w:w="100" w:type="dxa"/>
            <w:vAlign w:val="bottom"/>
          </w:tcPr>
          <w:p>
            <w:pPr>
              <w:spacing w:after="0"/>
              <w:rPr>
                <w:sz w:val="13"/>
                <w:szCs w:val="13"/>
                <w:color w:val="auto"/>
              </w:rPr>
            </w:pPr>
          </w:p>
        </w:tc>
        <w:tc>
          <w:tcPr>
            <w:tcW w:w="112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the Plan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5, 2007 – September 1, 2007</w:t>
            </w:r>
          </w:p>
        </w:tc>
        <w:tc>
          <w:tcPr>
            <w:tcW w:w="6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 2007 – October 6, 2007</w:t>
            </w:r>
          </w:p>
        </w:tc>
        <w:tc>
          <w:tcPr>
            <w:tcW w:w="19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7, 2007 – November 3, 2007</w:t>
            </w:r>
          </w:p>
        </w:tc>
        <w:tc>
          <w:tcPr>
            <w:tcW w:w="19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377,697</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5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377,697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3"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under the program were made pursuant to open-market purchases.</w:t>
      </w:r>
    </w:p>
    <w:p>
      <w:pPr>
        <w:spacing w:after="0" w:line="21" w:lineRule="exact"/>
        <w:rPr>
          <w:rFonts w:ascii="Times New Roman" w:cs="Times New Roman" w:eastAsia="Times New Roman" w:hAnsi="Times New Roman"/>
          <w:sz w:val="18"/>
          <w:szCs w:val="18"/>
          <w:color w:val="auto"/>
        </w:rPr>
      </w:pPr>
    </w:p>
    <w:p>
      <w:pPr>
        <w:ind w:left="460" w:right="500" w:hanging="452"/>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18, 2006, we publicly announced a $75 million stock repurchase program. The program will expire on December 31, 2007 but may be terminated earlier at any time without prior notice.</w:t>
      </w:r>
    </w:p>
    <w:p>
      <w:pPr>
        <w:spacing w:after="0" w:line="25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272" w:right="239" w:bottom="1440" w:gutter="0" w:footer="0" w:header="0"/>
        </w:sectPr>
      </w:pPr>
    </w:p>
    <w:bookmarkStart w:id="20" w:name="page21"/>
    <w:bookmarkEnd w:id="20"/>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November 27, 2007, we announced our plans to exit our Jared M. operations. We purchased Jared M. in May 2006 in an effort to expand upon the custom clothing business and develop a direct sales capability within our Rochester business, which would cater to a very discriminating and select customer base. At the same time, we planned to expand Jared M.’s current direct sales force to further penetrate Jared’s existing business which catered to professional athletes and other high-profile clients. However, based on the financial performance of Jared M. since the acquisition, we do not believe that Jared M. has the scalability and potential profitability as a long-term strategy. As a result, we decided to exit our Jared M. operations.</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this decision, during the third quarter of fiscal 2007, we recorded a total non-cash charge of $2.6 million relating to the impairment of fixed assets of $1.4 million, the write-down of inventory of $0.9 million and the write-off of certain other asset accounts of $0.3 million. The charge of $0.9 million related to the write-down of inventory is included as a reduction of gross margin for the third quarter and nine months ended November 3, 2007. The remaining $1.7 million is included in “Provision for impairment of assets and employment contract terminations” for the third quarter and nine months ended November 3, 2007. We do not anticipate any further material charges during the fourth quarter of fiscal 2007 related to exiting Jared M.</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1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p>
      <w:pPr>
        <w:sectPr>
          <w:pgSz w:w="11900" w:h="16838" w:orient="portrait"/>
          <w:cols w:equalWidth="0" w:num="1">
            <w:col w:w="11420"/>
          </w:cols>
          <w:pgMar w:left="240" w:top="272" w:right="239" w:bottom="1440" w:gutter="0" w:footer="0" w:header="0"/>
        </w:sectPr>
      </w:pPr>
    </w:p>
    <w:bookmarkStart w:id="21" w:name="page22"/>
    <w:bookmarkEnd w:id="21"/>
    <w:p>
      <w:pPr>
        <w:jc w:val="center"/>
        <w:ind w:right="-8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CASUAL MALE RETAIL GROUP, INC.</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Times New Roman" w:cs="Times New Roman" w:eastAsia="Times New Roman" w:hAnsi="Times New Roman"/>
          <w:sz w:val="18"/>
          <w:szCs w:val="18"/>
          <w:color w:val="auto"/>
        </w:rPr>
        <w:t>Date: November 28, 2007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SHERI 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Sheri A. Knight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of Finance and Corporate Controller</w:t>
      </w:r>
    </w:p>
    <w:p>
      <w:pPr>
        <w:sectPr>
          <w:pgSz w:w="11900" w:h="16838" w:orient="portrait"/>
          <w:cols w:equalWidth="0" w:num="1">
            <w:col w:w="10540"/>
          </w:cols>
          <w:pgMar w:left="240" w:top="274" w:right="11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Casual Male Retail Group,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28, 2007</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A. Levin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3"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Casual Male Retail Group,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28, 2007</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Dennis R. Hernreich</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Casual Male Retail Group, Inc. (the “Company”) for the period ended November 3, 2007, as filed with the Securities and Exchange Commission on the date hereof (the “Report”), I, David A. Levin, Chief Executive Officer of the Company, certify pursuant to 18 U.S.C. § 1350, as adopted pursuant to § 906 of the Sarbanes-Oxley Act of 2002, that:</w:t>
      </w:r>
    </w:p>
    <w:p>
      <w:pPr>
        <w:spacing w:after="0" w:line="51" w:lineRule="exact"/>
        <w:rPr>
          <w:sz w:val="20"/>
          <w:szCs w:val="20"/>
          <w:color w:val="auto"/>
        </w:rPr>
      </w:pPr>
    </w:p>
    <w:p>
      <w:pPr>
        <w:ind w:left="1480" w:right="720" w:hanging="567"/>
        <w:spacing w:after="0" w:line="275"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38" w:lineRule="exact"/>
        <w:rPr>
          <w:rFonts w:ascii="Times New Roman" w:cs="Times New Roman" w:eastAsia="Times New Roman" w:hAnsi="Times New Roman"/>
          <w:sz w:val="18"/>
          <w:szCs w:val="18"/>
          <w:color w:val="auto"/>
        </w:rPr>
      </w:pPr>
    </w:p>
    <w:p>
      <w:pPr>
        <w:ind w:left="1480" w:right="500" w:hanging="567"/>
        <w:spacing w:after="0" w:line="275"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0"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4"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Dated: November 28, 2007</w:t>
      </w:r>
      <w:r>
        <w:rPr>
          <w:sz w:val="20"/>
          <w:szCs w:val="20"/>
          <w:color w:val="auto"/>
        </w:rPr>
        <w:tab/>
      </w:r>
      <w:r>
        <w:rPr>
          <w:rFonts w:ascii="Times New Roman" w:cs="Times New Roman" w:eastAsia="Times New Roman" w:hAnsi="Times New Roman"/>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David A. Levin</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57"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3"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Casual Male Retail Group, Inc. (the “Company”) for the period ended November 3, 2007,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1" w:lineRule="exact"/>
        <w:rPr>
          <w:sz w:val="20"/>
          <w:szCs w:val="20"/>
          <w:color w:val="auto"/>
        </w:rPr>
      </w:pPr>
    </w:p>
    <w:p>
      <w:pPr>
        <w:ind w:left="1480" w:right="720" w:hanging="567"/>
        <w:spacing w:after="0" w:line="275"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38" w:lineRule="exact"/>
        <w:rPr>
          <w:rFonts w:ascii="Times New Roman" w:cs="Times New Roman" w:eastAsia="Times New Roman" w:hAnsi="Times New Roman"/>
          <w:sz w:val="18"/>
          <w:szCs w:val="18"/>
          <w:color w:val="auto"/>
        </w:rPr>
      </w:pPr>
    </w:p>
    <w:p>
      <w:pPr>
        <w:ind w:left="1480" w:right="500" w:hanging="567"/>
        <w:spacing w:after="0" w:line="275"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0" w:lineRule="exact"/>
        <w:rPr>
          <w:sz w:val="20"/>
          <w:szCs w:val="20"/>
          <w:color w:val="auto"/>
        </w:rPr>
      </w:pPr>
    </w:p>
    <w:p>
      <w:pPr>
        <w:ind w:right="100" w:firstLine="913"/>
        <w:spacing w:after="0" w:line="301" w:lineRule="auto"/>
        <w:rPr>
          <w:sz w:val="20"/>
          <w:szCs w:val="20"/>
          <w:color w:val="auto"/>
        </w:rPr>
      </w:pPr>
      <w:r>
        <w:rPr>
          <w:rFonts w:ascii="Times New Roman" w:cs="Times New Roman" w:eastAsia="Times New Roman" w:hAnsi="Times New Roman"/>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4"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Dated: November 28, 2007</w:t>
      </w:r>
      <w:r>
        <w:rPr>
          <w:sz w:val="20"/>
          <w:szCs w:val="20"/>
          <w:color w:val="auto"/>
        </w:rPr>
        <w:tab/>
      </w:r>
      <w:r>
        <w:rPr>
          <w:rFonts w:ascii="Times New Roman" w:cs="Times New Roman" w:eastAsia="Times New Roman" w:hAnsi="Times New Roman"/>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Dennis R. Hernreich</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7" w:lineRule="exact"/>
        <w:rPr>
          <w:sz w:val="20"/>
          <w:szCs w:val="20"/>
          <w:color w:val="auto"/>
        </w:rPr>
      </w:pPr>
    </w:p>
    <w:p>
      <w:pPr>
        <w:ind w:firstLine="913"/>
        <w:spacing w:after="0" w:line="26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2019-12-11T20:27:21Z</dcterms:created>
  <dcterms:modified xsi:type="dcterms:W3CDTF">2019-12-11T20:27:21Z</dcterms:modified>
</cp:coreProperties>
</file>