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CANNELL CAPITAL LLC</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2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320" w:type="dxa"/>
            <w:vAlign w:val="bottom"/>
            <w:tcBorders>
              <w:top w:val="single" w:sz="8" w:color="EEEEEE"/>
            </w:tcBorders>
            <w:vMerge w:val="restart"/>
          </w:tcPr>
          <w:p>
            <w:pPr>
              <w:ind w:left="6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320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06/25/2019</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0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245 MERIWETHER CIRCLE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360" w:space="72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06/25/2019</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0000FF"/>
              </w:rPr>
              <w:t>19,087</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1.7079</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5,407,381</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06/26/2019</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0000FF"/>
              </w:rPr>
              <w:t>5,373</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1.6956</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5,412,754</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June 26, 2019, Tonga Partners, LP, Cuttyhunk II Fund. Tristan Partners, LP, and Tristan Offshore Fund, Ltd (collectively the "Cannell Investment Vehicles") owned in the aggregate 5,412,754 shares of the common stock of Destination XL Group, Inc.</w:t>
      </w:r>
    </w:p>
    <w:p>
      <w:pPr>
        <w:spacing w:after="0" w:line="30" w:lineRule="exact"/>
        <w:rPr>
          <w:rFonts w:ascii="Arial" w:cs="Arial" w:eastAsia="Arial" w:hAnsi="Arial"/>
          <w:sz w:val="14"/>
          <w:szCs w:val="14"/>
          <w:color w:val="008000"/>
        </w:rPr>
      </w:pPr>
    </w:p>
    <w:p>
      <w:pPr>
        <w:ind w:left="40" w:right="3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June 26, 2019, Mr. Cannell beneficially owns 5,412,754 shares. Mr. Cannell's interest in the securities reported herein is limited to the extent of his pecuniary interest in each of the Cannell Investment Vehicles, if any.</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06/27/2019</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2019-12-23T20:15:43Z</dcterms:created>
  <dcterms:modified xsi:type="dcterms:W3CDTF">2019-12-23T20:15:43Z</dcterms:modified>
</cp:coreProperties>
</file>