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8154ddefa14a.htm"/>
      <w:bookmarkStart w:id="1" w:name="ksd158154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DESTINATION XL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Destination XL Group, Inc. Files Preliminary Proxy Statement With Respect to FullBeauty Merger </w:t>
      </w:r>
    </w:p>
    <w:p>
      <w:pPr>
        <w:pStyle w:val="TextBody"/>
        <w:bidi w:val="0"/>
        <w:spacing w:before="240" w:after="0"/>
        <w:jc w:val="center"/>
        <w:rPr>
          <w:rFonts w:ascii="Times New Roman" w:hAnsi="Times New Roman"/>
          <w:i/>
          <w:sz w:val="20"/>
        </w:rPr>
      </w:pPr>
      <w:r>
        <w:rPr>
          <w:rFonts w:ascii="Times New Roman" w:hAnsi="Times New Roman"/>
          <w:i/>
          <w:sz w:val="20"/>
        </w:rPr>
        <w:t xml:space="preserve">Encourages Stockholders to Read Updated Board Recommendation </w:t>
      </w:r>
    </w:p>
    <w:p>
      <w:pPr>
        <w:pStyle w:val="TextBody"/>
        <w:bidi w:val="0"/>
        <w:spacing w:before="0" w:after="0"/>
        <w:jc w:val="center"/>
        <w:rPr>
          <w:rFonts w:ascii="Times New Roman" w:hAnsi="Times New Roman"/>
          <w:i/>
          <w:sz w:val="20"/>
        </w:rPr>
      </w:pPr>
      <w:r>
        <w:rPr>
          <w:rFonts w:ascii="Times New Roman" w:hAnsi="Times New Roman"/>
          <w:i/>
          <w:sz w:val="20"/>
        </w:rPr>
        <w:t xml:space="preserve">on Pending Merger with FullBeauty Brands </w:t>
      </w:r>
    </w:p>
    <w:p>
      <w:pPr>
        <w:pStyle w:val="TextBody"/>
        <w:bidi w:val="0"/>
        <w:spacing w:before="240" w:after="0"/>
        <w:jc w:val="left"/>
        <w:rPr>
          <w:rFonts w:ascii="Times New Roman" w:hAnsi="Times New Roman"/>
          <w:sz w:val="20"/>
        </w:rPr>
      </w:pPr>
      <w:r>
        <w:rPr>
          <w:rFonts w:ascii="Times New Roman" w:hAnsi="Times New Roman"/>
          <w:b/>
          <w:sz w:val="20"/>
        </w:rPr>
        <w:t>CANTON, Mass.,</w:t>
      </w:r>
      <w:r>
        <w:rPr>
          <w:rFonts w:ascii="Times New Roman" w:hAnsi="Times New Roman"/>
          <w:sz w:val="20"/>
        </w:rPr>
        <w:t> </w:t>
      </w:r>
      <w:r>
        <w:rPr>
          <w:rFonts w:ascii="Times New Roman" w:hAnsi="Times New Roman"/>
          <w:b/>
          <w:sz w:val="20"/>
        </w:rPr>
        <w:t>July 20, 2026</w:t>
      </w:r>
      <w:r>
        <w:rPr>
          <w:rFonts w:ascii="Times New Roman" w:hAnsi="Times New Roman"/>
          <w:sz w:val="20"/>
        </w:rPr>
        <w:t xml:space="preserve"> — Destination XL Group, Inc. (“DXL”) (NASDAQ: DXLG), the leading integrated commerce retailer of Big + Tall men’s clothing and shoes, today announced that it has filed its preliminary proxy statement with the U.S. Securities and Exchange Commission (“SEC”) in connection with its previously announced transaction with FBB Holdings I, Inc. (“FullBeauty”). </w:t>
      </w:r>
    </w:p>
    <w:p>
      <w:pPr>
        <w:pStyle w:val="TextBody"/>
        <w:bidi w:val="0"/>
        <w:spacing w:before="240" w:after="0"/>
        <w:jc w:val="left"/>
        <w:rPr>
          <w:rFonts w:ascii="Times New Roman" w:hAnsi="Times New Roman"/>
          <w:sz w:val="20"/>
        </w:rPr>
      </w:pPr>
      <w:r>
        <w:rPr>
          <w:rFonts w:ascii="Times New Roman" w:hAnsi="Times New Roman"/>
          <w:sz w:val="20"/>
        </w:rPr>
        <w:t xml:space="preserve">As described in the preliminary proxy statement, the DXL Board of Directors (“DXL Board”) has continued to evaluate the merger, including in light of developments since the execution of the merger agreement with FullBeauty. As part of that evaluation, the DXL Board has considered, among other things, the increasingly challenging consumer environment since the execution of the merger agreement in December 2025, FullBeauty’s level of indebtedness, concerns regarding FullBeauty’s potential negative equity value, and the substantial economic dilution that DXL stockholders would experience if the merger were consummated on its current terms. </w:t>
      </w:r>
      <w:r>
        <w:rPr>
          <w:rFonts w:ascii="Times New Roman" w:hAnsi="Times New Roman"/>
          <w:b/>
          <w:sz w:val="20"/>
        </w:rPr>
        <w:t>Based on this evaluation, including these considerations, the DXL Board has determined that the merger and the transactions contemplated by the merger agreement, including the issuance proposal, are no longer advisable and are not in the best interests of DXL and its stockholders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DXL Board encourages stockholders to read the preliminary proxy statement carefully and in its entirety and urges stockholders to carefully consider </w:t>
      </w:r>
      <w:r>
        <w:rPr>
          <w:rFonts w:ascii="Times New Roman" w:hAnsi="Times New Roman"/>
          <w:b/>
          <w:sz w:val="20"/>
        </w:rPr>
        <w:t>the DXL Board’s recommendation that stockholders vote “AGAINST” the issuance proposal</w:t>
      </w:r>
      <w:r>
        <w:rPr>
          <w:rFonts w:ascii="Times New Roman" w:hAnsi="Times New Roman"/>
          <w:sz w:val="20"/>
        </w:rPr>
        <w:t xml:space="preserve">. The preliminary proxy statement can be found on DXL’s investor relations website at investor.dxl.com or the SEC’s website at www.sec.gov. DXL’s definitive proxy materials will be mailed in the coming weeks to all stockholders eligible to vote at the Special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Advisors </w:t>
      </w:r>
    </w:p>
    <w:p>
      <w:pPr>
        <w:pStyle w:val="TextBody"/>
        <w:bidi w:val="0"/>
        <w:spacing w:before="120" w:after="0"/>
        <w:jc w:val="left"/>
        <w:rPr>
          <w:rFonts w:ascii="Times New Roman" w:hAnsi="Times New Roman"/>
          <w:sz w:val="20"/>
        </w:rPr>
      </w:pPr>
      <w:r>
        <w:rPr>
          <w:rFonts w:ascii="Times New Roman" w:hAnsi="Times New Roman"/>
          <w:sz w:val="20"/>
        </w:rPr>
        <w:t xml:space="preserve">Guggenheim Securities, LLC is acting as financial advisor to DXL, Greenberg Traurig, LLP is acting as its legal advisor and Joele Frank, Wilkinson Brimmer Katcher is serving as its strategic communications advisor. </w:t>
      </w:r>
    </w:p>
    <w:p>
      <w:pPr>
        <w:pStyle w:val="TextBody"/>
        <w:bidi w:val="0"/>
        <w:spacing w:before="360" w:after="0"/>
        <w:jc w:val="left"/>
        <w:rPr>
          <w:rFonts w:ascii="Times New Roman" w:hAnsi="Times New Roman"/>
          <w:b/>
          <w:sz w:val="20"/>
        </w:rPr>
      </w:pPr>
      <w:r>
        <w:rPr>
          <w:rFonts w:ascii="Times New Roman" w:hAnsi="Times New Roman"/>
          <w:b/>
          <w:sz w:val="20"/>
        </w:rPr>
        <w:t xml:space="preserve">About Destination XL Group, Inc. </w:t>
      </w:r>
    </w:p>
    <w:p>
      <w:pPr>
        <w:pStyle w:val="TextBody"/>
        <w:bidi w:val="0"/>
        <w:spacing w:before="120" w:after="0"/>
        <w:jc w:val="left"/>
        <w:rPr>
          <w:rFonts w:ascii="Times New Roman" w:hAnsi="Times New Roman"/>
          <w:sz w:val="20"/>
        </w:rPr>
      </w:pPr>
      <w:r>
        <w:rPr>
          <w:rFonts w:ascii="Times New Roman" w:hAnsi="Times New Roman"/>
          <w:sz w:val="20"/>
        </w:rPr>
        <w:t xml:space="preserve">Destination XL Group, Inc. is the leading retailer of Men’s Big + Tall apparel that provides the Big + Tall man the freedom to choose his own style. Subsidiaries of Destination XL Group, Inc. operate DXL Big + Tall retail and outlet stores and Casual Male XL retail and outlet stores throughout the United States, and an e-commerce website, DXL.COM, and mobile app, which offer a multi-channel solution similar to the DXL store experience with the most extensive selection of online products available anywhere for Big + Tall men. DXL is headquartered in Canton, Massachusetts, and its common stock is listed on the Nasdaq Global Market under the symbol “DXLG.” For more information, please visit DXL’s investor relations website: </w:t>
      </w:r>
      <w:r>
        <w:rPr>
          <w:rFonts w:ascii="Times New Roman" w:hAnsi="Times New Roman"/>
          <w:sz w:val="20"/>
          <w:u w:val="single"/>
        </w:rPr>
        <w:t>https://investor.dxl.com</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Important Information about the Merger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does not constitute an offer to sell or the solicitation of an offer to buy any securities or a solicitation of any vote or approval. This communication may be deemed to be solicitation material in respect of the proposed merger (the “Merger”) between DXL and FullBeauty. In connection with the Merger, DXL has filed a preliminary proxy statement and intends to file a definitive proxy statement (the “Proxy Statement”), which will be distributed to the stockholders of DXL in connection with their votes on the issuance of DXL Common Stock in the Merger. INVESTORS AND SECURITY HOLDERS ARE ADVISED TO READ THE PROXY STATEMENT (AND ANY OTHER DOCUMENTS FILED WITH THE SECURITIES AND EXCHANGE COMMISSION (THE “SEC”) IN CONNECTION WITH THE MERGER OR INCORPORATED BY REFERENCE INTO THE PROXY STATEMENT) BECAUSE SUCH DOCUMENTS WILL CONTAIN IMPORTANT INFORMATION REGARDING THE MERGER AND RELATED MATTERS. Investors and security holders will be able to obtain these documents, and any other documents DXL has filed with the SEC, free of charge at the SEC’s website, www.sec.gov, or by accessing DXL’s website at investor.dxl.com. In addition, documents filed with the SEC by DXL will be available free of charge by writing to DXL at 555 Turnpike Street, Canton, Massachusetts 02021, Attention: Corporate Secretary.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DXL and certain of its directors and executive officers may be deemed to be participants in the solicitation of proxies from the stockholders of DXL in connection with the Merger. Information about DXL’s directors and executive officers, including a description of their direct or indirect interests, by security holdings or otherwise, is set forth in DXL’s Annual Report on Form 10-K/A, which was filed with the SEC on May 26, 2026, including under the headings “Director Compensation,” “Compensation Discussion and Analysis,” “Executive Compensation,” and “Security Ownership of Management,” and in the Proxy Statement, which was filed with the SEC on July 17, 2026, including under the headings “Merger—Interests of DXL’s Directors and Executive Officers in the Merger,” “DXL’s Executive Compensation,” “Executive Officers and Directors Following the Merger” and “Principal Stockholders of DXL.” To the extent holdings of DXL Common Stock by the directors and executive officers of DXL have changed from the amounts of DXL Common Stock held by such persons as reflected therein, such changes have been or will be reflected on Initial Statements of Beneficial Ownership of Securities on Form 3, Statements of Changes in Beneficial Ownership on Form 4 or Annual Statements of Changes in Beneficial Ownership of Securities on Form 5, in each case filed with the SEC, including the Form 4s filed by each of the non-executive directors on August 6, 2025, the Form 4s filed by each of the executive officers on September 3, 2025, the Form 4s filed by each of the non-executive directors on November 5, 2025, the Form 4s filed by each of the non-executive directors on February 4, 2026, the Form 4s filed by each of the executive officers on April 3, 2026 and the Form 4s filed by each of the non-executive directors on May 6, 2026. </w:t>
      </w:r>
    </w:p>
    <w:p>
      <w:pPr>
        <w:pStyle w:val="TextBody"/>
        <w:bidi w:val="0"/>
        <w:spacing w:before="240" w:after="0"/>
        <w:jc w:val="left"/>
        <w:rPr>
          <w:rFonts w:ascii="Times New Roman" w:hAnsi="Times New Roman"/>
          <w:sz w:val="20"/>
        </w:rPr>
      </w:pPr>
      <w:r>
        <w:rPr>
          <w:rFonts w:ascii="Times New Roman" w:hAnsi="Times New Roman"/>
          <w:sz w:val="20"/>
        </w:rPr>
        <w:t xml:space="preserve">FBB and its chief executive officer may be deemed to be participants in the solicitation of proxies from the stockholders of DXL in connection with the Merger. Information about FBB and its chief executive officer can be found in the Form 8-K filed by DXL with the SEC on December 11, 2025 and in the Proxy Statement filed by DXL with the SEC on July 17, 2026, including under the heading “Executive Officers and Directors Following the Merger.” </w:t>
      </w:r>
    </w:p>
    <w:p>
      <w:pPr>
        <w:pStyle w:val="TextBody"/>
        <w:bidi w:val="0"/>
        <w:spacing w:before="240" w:after="0"/>
        <w:jc w:val="left"/>
        <w:rPr>
          <w:rFonts w:ascii="Times New Roman" w:hAnsi="Times New Roman"/>
          <w:sz w:val="20"/>
        </w:rPr>
      </w:pPr>
      <w:r>
        <w:rPr>
          <w:rFonts w:ascii="Times New Roman" w:hAnsi="Times New Roman"/>
          <w:sz w:val="20"/>
        </w:rPr>
        <w:t xml:space="preserve">Additional information regarding the participants in the proxy solicitation and a description of their direct and indirect interests, by security holdings or otherwise, is contained in the Proxy Statement regarding the Merger. Free copies of this document may be obtained as described above.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historical information, this document contains forward-looking statements within the meaning of Section 27A of the Securities Act of 1933, as amended, and Section 21E of the Securities Exchange Act of 1934, as amended. These forward-looking statements, including statements regarding the DXL Board’s continued evaluation of the Merger, in light of developments since the execution of the merger agreement with FullBeauty; the DXL Board’s consideration of, among other things, the increasingly challenging consumer environment since the execution of the merger agreement in December 2025,FullBeauty’s level of indebtedness, concerns regarding FullBeauty’s potential negative equity value, and the substantial economic dilution that DXL stockholders would experience if the Merger were consummated on its current terms; and the DXL Board’s determination that the Merger and the transactions contemplated by the merger agreement, including the issuance proposal, are no longer advisable and are not in the best interests of DXL and its stockholders; and the DXL Board’s recommendation that stockholders vote “AGAINST” the issuance proposal, are based on current expectations, estimates and beliefs of DXL management. Words such as “anticipates,” “believes,” “estimates,” “expects,” “intends,” “plans,” “seeks” and variations of such words and similar expressions are intended to identify such forward-looking statements, which generally are not historical in nature. With respect to any such forward-looking statements, DXL claims the protection provided for in the Private Securities Litigation Reform Act of 1995. Although we believe the expectations reflected in any forward-looking statements are based on reasonable assumptions, we can give no assurance that our expectations will be attained and therefore, actual outcomes and results may differ materially from what is expressed or forecasted in such forward-looking statements. These forward-looking statements could be affected by factors including, without limitation, the risks and factors detailed in reports filed with the SEC by DXL from time to time, including those discussed under the heading “Risk Factors” in DXL’s most recently filed Annual Report on Form 10-K and those discussed under the heading “Risk Factors” in DXL’s recently filed preliminary proxy statement. These documents are available through our website or through the SEC’s Electronic Data Gathering and Analysis Retrieval (EDGAR) system at http://www.sec.gov. DXL does not undertake any duty to update any forward-looking statements contained herein, whether as a result of new information or developments, future events or otherwise, except as required by law. Readers are cautioned not to place undue reliance on any of these forward-looking statements. </w:t>
      </w:r>
    </w:p>
    <w:p>
      <w:pPr>
        <w:pStyle w:val="TextBody"/>
        <w:bidi w:val="0"/>
        <w:spacing w:before="360" w:after="0"/>
        <w:jc w:val="left"/>
        <w:rPr>
          <w:rFonts w:ascii="Times New Roman" w:hAnsi="Times New Roman"/>
          <w:sz w:val="20"/>
        </w:rPr>
      </w:pPr>
      <w:r>
        <w:rPr>
          <w:rFonts w:ascii="Times New Roman" w:hAnsi="Times New Roman"/>
          <w:b/>
          <w:sz w:val="20"/>
        </w:rPr>
        <w:t>Investor Contact:</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u w:val="single"/>
        </w:rPr>
        <w:t>Investor.relations@dxlg.com</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603-933-0541 </w:t>
      </w:r>
    </w:p>
    <w:p>
      <w:pPr>
        <w:pStyle w:val="TextBody"/>
        <w:bidi w:val="0"/>
        <w:spacing w:before="360" w:after="0"/>
        <w:jc w:val="left"/>
        <w:rPr>
          <w:rFonts w:ascii="Times New Roman" w:hAnsi="Times New Roman"/>
          <w:b/>
          <w:sz w:val="20"/>
        </w:rPr>
      </w:pPr>
      <w:r>
        <w:rPr>
          <w:rFonts w:ascii="Times New Roman" w:hAnsi="Times New Roman"/>
          <w:b/>
          <w:sz w:val="20"/>
        </w:rPr>
        <w:t xml:space="preserve">Media Contact: </w:t>
      </w:r>
    </w:p>
    <w:p>
      <w:pPr>
        <w:pStyle w:val="TextBody"/>
        <w:bidi w:val="0"/>
        <w:spacing w:before="0" w:after="0"/>
        <w:jc w:val="left"/>
        <w:rPr>
          <w:rFonts w:ascii="Times New Roman" w:hAnsi="Times New Roman"/>
          <w:sz w:val="20"/>
        </w:rPr>
      </w:pPr>
      <w:r>
        <w:rPr>
          <w:rFonts w:ascii="Times New Roman" w:hAnsi="Times New Roman"/>
          <w:sz w:val="20"/>
        </w:rPr>
        <w:t xml:space="preserve">Aaron Palash / Michael Reilly / Carly King </w:t>
      </w:r>
    </w:p>
    <w:p>
      <w:pPr>
        <w:pStyle w:val="TextBody"/>
        <w:bidi w:val="0"/>
        <w:spacing w:before="0" w:after="0"/>
        <w:jc w:val="left"/>
        <w:rPr>
          <w:rFonts w:ascii="Times New Roman" w:hAnsi="Times New Roman"/>
          <w:sz w:val="20"/>
        </w:rPr>
      </w:pPr>
      <w:r>
        <w:rPr>
          <w:rFonts w:ascii="Times New Roman" w:hAnsi="Times New Roman"/>
          <w:sz w:val="20"/>
        </w:rPr>
        <w:t xml:space="preserve">Joele Frank, Wilkinson Brimmer Katcher </w:t>
      </w:r>
    </w:p>
    <w:p>
      <w:pPr>
        <w:pStyle w:val="TextBody"/>
        <w:bidi w:val="0"/>
        <w:spacing w:before="0" w:after="0"/>
        <w:jc w:val="left"/>
        <w:rPr>
          <w:rFonts w:ascii="Times New Roman" w:hAnsi="Times New Roman"/>
          <w:sz w:val="20"/>
        </w:rPr>
      </w:pPr>
      <w:r>
        <w:rPr>
          <w:rFonts w:ascii="Times New Roman" w:hAnsi="Times New Roman"/>
          <w:sz w:val="20"/>
        </w:rPr>
        <w:t xml:space="preserve">(212) 355-4449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1649</Words>
  <Characters>9225</Characters>
  <CharactersWithSpaces>10885</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