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OMB APPROVAL</w:t>
      </w:r>
    </w:p>
    <w:p>
      <w:pPr>
        <w:ind w:left="5600"/>
        <w:spacing w:after="0"/>
        <w:rPr>
          <w:sz w:val="20"/>
          <w:szCs w:val="20"/>
          <w:color w:val="auto"/>
        </w:rPr>
      </w:pPr>
      <w:r>
        <w:rPr>
          <w:rFonts w:ascii="Courier New" w:cs="Courier New" w:eastAsia="Courier New" w:hAnsi="Courier New"/>
          <w:sz w:val="18"/>
          <w:szCs w:val="18"/>
          <w:color w:val="auto"/>
        </w:rPr>
        <w:t>------------</w:t>
      </w:r>
    </w:p>
    <w:tbl>
      <w:tblPr>
        <w:tblLayout w:type="fixed"/>
        <w:tblInd w:w="4540" w:type="dxa"/>
        <w:tblCellMar>
          <w:top w:w="0" w:type="dxa"/>
          <w:left w:w="0" w:type="dxa"/>
          <w:bottom w:w="0" w:type="dxa"/>
          <w:right w:w="0" w:type="dxa"/>
        </w:tblCellMar>
      </w:tblPr>
      <w:tr>
        <w:trPr>
          <w:trHeight w:val="202"/>
        </w:trPr>
        <w:tc>
          <w:tcPr>
            <w:tcW w:w="132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226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 2005</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Estimated average burden hours per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response</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14.90</w:t>
            </w:r>
          </w:p>
        </w:tc>
      </w:tr>
    </w:tbl>
    <w:p>
      <w:pPr>
        <w:ind w:left="4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April 30, 2003</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Page 2 of 10 Pages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Husic Capital Management</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447" w:right="1440" w:bottom="0" w:gutter="0" w:footer="0" w:header="0"/>
        </w:sectPr>
      </w:pPr>
    </w:p>
    <w:bookmarkStart w:id="1" w:name="page2"/>
    <w:bookmarkEnd w:id="1"/>
    <w:p>
      <w:pPr>
        <w:ind w:left="1580" w:hanging="413"/>
        <w:spacing w:after="0"/>
        <w:tabs>
          <w:tab w:leader="none" w:pos="15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1,630,860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136"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136"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1,630,860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136" w:right="1440" w:bottom="1440" w:gutter="0" w:footer="0" w:header="0"/>
          <w:type w:val="continuous"/>
        </w:sectPr>
      </w:pPr>
    </w:p>
    <w:p>
      <w:pPr>
        <w:ind w:left="2640" w:right="5059" w:hanging="420"/>
        <w:spacing w:after="0" w:line="357" w:lineRule="auto"/>
        <w:tabs>
          <w:tab w:leader="none" w:pos="26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1,630,860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 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Page 3 of 10 Pages</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 &amp;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1,630,860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1,630,860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1,630,860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6540"/>
        <w:spacing w:after="0"/>
        <w:rPr>
          <w:sz w:val="20"/>
          <w:szCs w:val="20"/>
          <w:color w:val="auto"/>
        </w:rPr>
      </w:pPr>
      <w:r>
        <w:rPr>
          <w:rFonts w:ascii="Courier New" w:cs="Courier New" w:eastAsia="Courier New" w:hAnsi="Courier New"/>
          <w:sz w:val="18"/>
          <w:szCs w:val="18"/>
          <w:color w:val="auto"/>
        </w:rPr>
        <w:t>Page 4 of 10 Pages</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1,630,860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1,630,860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1,630,860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900" w:hanging="628"/>
        <w:spacing w:after="0"/>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 (formerly Designs, Inc.)</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206" w:lineRule="exact"/>
        <w:rPr>
          <w:rFonts w:ascii="Courier New" w:cs="Courier New" w:eastAsia="Courier New" w:hAnsi="Courier New"/>
          <w:sz w:val="18"/>
          <w:szCs w:val="18"/>
          <w:color w:val="auto"/>
        </w:rPr>
      </w:pPr>
    </w:p>
    <w:p>
      <w:pPr>
        <w:ind w:left="1900" w:right="6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Turnpike Street Canton, MA 02021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628"/>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by (i) Husic Capital Management, a California limited partnership and registered investment adviser ("IA"), (ii) Frank J. Husic and Co., a California corporation ("Corporate G.P.") and (iii) Frank J. Husic ("Shareholder") (collectively, the "Reporting Persons"). Corporate G.P. controls IA by virtue of its position as the sole general partner of IA. Shareholder controls IA by virtue of Shareholder's position as the sole shareholder of Corporate G.P.</w:t>
      </w:r>
    </w:p>
    <w:p>
      <w:pPr>
        <w:spacing w:after="0" w:line="213" w:lineRule="exact"/>
        <w:rPr>
          <w:rFonts w:ascii="Courier New" w:cs="Courier New" w:eastAsia="Courier New" w:hAnsi="Courier New"/>
          <w:sz w:val="18"/>
          <w:szCs w:val="18"/>
          <w:color w:val="auto"/>
        </w:rPr>
      </w:pPr>
    </w:p>
    <w:p>
      <w:pPr>
        <w:ind w:left="190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IA's beneficial ownership of the Common Stock is direct as a result of IA's discretionary authority to buy, sell, and vote shares of such Common Stock for its investment advisory clients. Corporate G.P.'s beneficial ownership of Common Stock is indirect as a result of its control of IA. Shareholder's beneficial ownership of Common Stock is indirect as a result of Shareholder's stock ownership in Corporate G.P. The beneficial ownership of the Corporate G.P. and Shareholder is reported solely because Rules 13d-1(a) and (b) under the Securities Exchange Act of 1934, as amended, require any person who is "directly or indirectly" the beneficial owner of more than five percent of any equity security of a specified class to file a Schedule 13G within the specified time period. The answers in blocks 5, 7, 9 and 11 above and in responses to item 4 by Corporate G.P. and Shareholder are given on the basis of the "indirect" beneficial ownership referred to in such Rule, based on the direct beneficial ownership of Common Stock by IA and the relationship of Corporate G.P. and Shareholder to IA referred to above.</w:t>
      </w:r>
    </w:p>
    <w:p>
      <w:pPr>
        <w:spacing w:after="0" w:line="200" w:lineRule="exact"/>
        <w:rPr>
          <w:rFonts w:ascii="Courier New" w:cs="Courier New" w:eastAsia="Courier New" w:hAnsi="Courier New"/>
          <w:sz w:val="18"/>
          <w:szCs w:val="18"/>
          <w:color w:val="auto"/>
        </w:rPr>
      </w:pPr>
    </w:p>
    <w:p>
      <w:pPr>
        <w:spacing w:after="0" w:line="397" w:lineRule="exact"/>
        <w:rPr>
          <w:rFonts w:ascii="Courier New" w:cs="Courier New" w:eastAsia="Courier New" w:hAnsi="Courier New"/>
          <w:sz w:val="18"/>
          <w:szCs w:val="18"/>
          <w:color w:val="auto"/>
        </w:rPr>
      </w:pPr>
    </w:p>
    <w:p>
      <w:pPr>
        <w:ind w:left="190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each Reporting Person is given solely by the respective Reporting Person, and no Reporting Person undertakes hereby any responsibility for the accuracy or completeness of such information concerning any other Reporting Person.</w:t>
      </w:r>
    </w:p>
    <w:p>
      <w:pPr>
        <w:spacing w:after="0" w:line="208" w:lineRule="exact"/>
        <w:rPr>
          <w:rFonts w:ascii="Courier New" w:cs="Courier New" w:eastAsia="Courier New" w:hAnsi="Courier New"/>
          <w:sz w:val="18"/>
          <w:szCs w:val="18"/>
          <w:color w:val="auto"/>
        </w:rPr>
      </w:pPr>
    </w:p>
    <w:p>
      <w:pPr>
        <w:ind w:left="1900" w:right="2099" w:hanging="628"/>
        <w:spacing w:after="0" w:line="470" w:lineRule="auto"/>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IA's Principal Business Office is located at:</w:t>
      </w:r>
    </w:p>
    <w:p>
      <w:pPr>
        <w:spacing w:after="0" w:line="11"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pacing w:after="0" w:line="16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G.P.'s Principal Business Office is located at:</w:t>
      </w:r>
    </w:p>
    <w:p>
      <w:pPr>
        <w:spacing w:after="0" w:line="206"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Shareholder's Principal Business Office is located at: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555 California Street, Suite 2900</w:t>
      </w:r>
    </w:p>
    <w:p>
      <w:pPr>
        <w:ind w:left="1900"/>
        <w:spacing w:after="0" w:line="238" w:lineRule="auto"/>
        <w:rPr>
          <w:sz w:val="20"/>
          <w:szCs w:val="20"/>
          <w:color w:val="auto"/>
        </w:rPr>
      </w:pPr>
      <w:r>
        <w:rPr>
          <w:rFonts w:ascii="Courier New" w:cs="Courier New" w:eastAsia="Courier New" w:hAnsi="Courier New"/>
          <w:sz w:val="18"/>
          <w:szCs w:val="18"/>
          <w:color w:val="auto"/>
        </w:rPr>
        <w:t>San Francisco, California 94104</w:t>
      </w:r>
    </w:p>
    <w:p>
      <w:pPr>
        <w:spacing w:after="0" w:line="202" w:lineRule="exact"/>
        <w:rPr>
          <w:sz w:val="20"/>
          <w:szCs w:val="20"/>
          <w:color w:val="auto"/>
        </w:rPr>
      </w:pPr>
    </w:p>
    <w:p>
      <w:pPr>
        <w:ind w:left="1900" w:hanging="628"/>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8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 is a California limited partnership Corporate G.P. is a California corporation Shareholder is a United States citizen</w:t>
      </w:r>
    </w:p>
    <w:p>
      <w:pPr>
        <w:spacing w:after="0" w:line="178" w:lineRule="exact"/>
        <w:rPr>
          <w:rFonts w:ascii="Courier New" w:cs="Courier New" w:eastAsia="Courier New" w:hAnsi="Courier New"/>
          <w:sz w:val="18"/>
          <w:szCs w:val="18"/>
          <w:color w:val="auto"/>
        </w:rPr>
      </w:pPr>
    </w:p>
    <w:p>
      <w:pPr>
        <w:ind w:left="1900" w:right="5359" w:hanging="628"/>
        <w:spacing w:after="0" w:line="470" w:lineRule="auto"/>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2540" w:right="1879" w:hanging="1268"/>
        <w:spacing w:after="0" w:line="235"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540" w:right="1879" w:hanging="1268"/>
        <w:spacing w:after="0" w:line="235"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540" w:right="2199" w:hanging="1268"/>
        <w:spacing w:after="0" w:line="235"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sz w:val="20"/>
          <w:szCs w:val="20"/>
          <w:color w:val="auto"/>
        </w:rPr>
      </w:pPr>
    </w:p>
    <w:p>
      <w:pPr>
        <w:ind w:left="1900" w:right="2619" w:hanging="1263"/>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|X| An investment adviser in accordance with Section 240.13D-1(b)(1)(ii)(E);</w:t>
      </w:r>
    </w:p>
    <w:p>
      <w:pPr>
        <w:spacing w:after="0" w:line="208" w:lineRule="exact"/>
        <w:rPr>
          <w:sz w:val="20"/>
          <w:szCs w:val="20"/>
          <w:color w:val="auto"/>
        </w:rPr>
      </w:pPr>
    </w:p>
    <w:p>
      <w:pPr>
        <w:ind w:left="2540" w:right="1779" w:hanging="1268"/>
        <w:spacing w:after="0" w:line="235" w:lineRule="auto"/>
        <w:tabs>
          <w:tab w:leader="none" w:pos="190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240.13d-1(b)(10(ii)(F);</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249,13d-1(b)(1)(iii)(G);</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540" w:right="1779" w:hanging="1268"/>
        <w:spacing w:after="0" w:line="236" w:lineRule="auto"/>
        <w:tabs>
          <w:tab w:leader="none" w:pos="190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3(c)(114) of the Investment Company Act of 1940 (15 U.S.C. 80a-3);</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w:t>
      </w:r>
    </w:p>
    <w:p>
      <w:pPr>
        <w:ind w:left="2540"/>
        <w:spacing w:after="0" w:line="238" w:lineRule="auto"/>
        <w:rPr>
          <w:sz w:val="20"/>
          <w:szCs w:val="20"/>
          <w:color w:val="auto"/>
        </w:rPr>
      </w:pPr>
      <w:r>
        <w:rPr>
          <w:rFonts w:ascii="Courier New" w:cs="Courier New" w:eastAsia="Courier New" w:hAnsi="Courier New"/>
          <w:sz w:val="18"/>
          <w:szCs w:val="18"/>
          <w:color w:val="auto"/>
        </w:rPr>
        <w:t>240.13d-1(b)(1)(ii)(J).</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919"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1,630,860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760" w:space="720"/>
            <w:col w:w="2739"/>
          </w:cols>
          <w:pgMar w:left="240" w:top="919" w:right="1440" w:bottom="1440" w:gutter="0" w:footer="0" w:header="0"/>
          <w:type w:val="continuous"/>
        </w:sectPr>
      </w:pPr>
    </w:p>
    <w:bookmarkStart w:id="6" w:name="page7"/>
    <w:bookmarkEnd w:id="6"/>
    <w:p>
      <w:pPr>
        <w:ind w:left="6540"/>
        <w:spacing w:after="0"/>
        <w:rPr>
          <w:sz w:val="20"/>
          <w:szCs w:val="20"/>
          <w:color w:val="auto"/>
        </w:rPr>
      </w:pPr>
      <w:r>
        <w:rPr>
          <w:rFonts w:ascii="Courier New" w:cs="Courier New" w:eastAsia="Courier New" w:hAnsi="Courier New"/>
          <w:sz w:val="16"/>
          <w:szCs w:val="16"/>
          <w:color w:val="auto"/>
        </w:rPr>
        <w:t>Page 7 of 10 pages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760" w:space="720"/>
            <w:col w:w="2739"/>
          </w:cols>
          <w:pgMar w:left="240" w:top="925" w:right="1440" w:bottom="1440" w:gutter="0" w:footer="0" w:header="0"/>
          <w:type w:val="continuous"/>
        </w:sectPr>
      </w:pPr>
    </w:p>
    <w:p>
      <w:pPr>
        <w:ind w:left="1900" w:hanging="628"/>
        <w:spacing w:after="0"/>
        <w:tabs>
          <w:tab w:leader="none" w:pos="19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the joint filers have:</w:t>
      </w:r>
    </w:p>
    <w:p>
      <w:pPr>
        <w:sectPr>
          <w:pgSz w:w="11900" w:h="16838" w:orient="portrait"/>
          <w:cols w:equalWidth="0" w:num="1">
            <w:col w:w="10219"/>
          </w:cols>
          <w:pgMar w:left="240" w:top="925" w:right="1440" w:bottom="1440" w:gutter="0" w:footer="0" w:header="0"/>
          <w:type w:val="continuous"/>
        </w:sectPr>
      </w:pPr>
    </w:p>
    <w:p>
      <w:pPr>
        <w:spacing w:after="0" w:line="218" w:lineRule="exact"/>
        <w:rPr>
          <w:sz w:val="20"/>
          <w:szCs w:val="20"/>
          <w:color w:val="auto"/>
        </w:rPr>
      </w:pP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of to direct the vote: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1,630,860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1" w:lineRule="exact"/>
        <w:rPr>
          <w:sz w:val="20"/>
          <w:szCs w:val="20"/>
          <w:color w:val="auto"/>
        </w:rPr>
      </w:pPr>
    </w:p>
    <w:p>
      <w:pPr>
        <w:sectPr>
          <w:pgSz w:w="11900" w:h="16838" w:orient="portrait"/>
          <w:cols w:equalWidth="0" w:num="2">
            <w:col w:w="7060" w:space="420"/>
            <w:col w:w="2739"/>
          </w:cols>
          <w:pgMar w:left="240" w:top="925" w:right="1440" w:bottom="1440" w:gutter="0" w:footer="0" w:header="0"/>
          <w:type w:val="continuous"/>
        </w:sectPr>
      </w:pPr>
    </w:p>
    <w:p>
      <w:pPr>
        <w:ind w:left="7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type w:val="continuous"/>
        </w:sectPr>
      </w:pPr>
    </w:p>
    <w:p>
      <w:pPr>
        <w:spacing w:after="0" w:line="5" w:lineRule="exact"/>
        <w:rPr>
          <w:sz w:val="20"/>
          <w:szCs w:val="20"/>
          <w:color w:val="auto"/>
        </w:rPr>
      </w:pPr>
    </w:p>
    <w:p>
      <w:pPr>
        <w:ind w:left="2540" w:right="220" w:hanging="639"/>
        <w:spacing w:after="0" w:line="235" w:lineRule="auto"/>
        <w:tabs>
          <w:tab w:leader="none" w:pos="2520" w:val="left"/>
        </w:tabs>
        <w:rPr>
          <w:sz w:val="20"/>
          <w:szCs w:val="20"/>
          <w:color w:val="auto"/>
        </w:rPr>
      </w:pPr>
      <w:r>
        <w:rPr>
          <w:rFonts w:ascii="Courier New" w:cs="Courier New" w:eastAsia="Courier New" w:hAnsi="Courier New"/>
          <w:sz w:val="18"/>
          <w:szCs w:val="18"/>
          <w:color w:val="auto"/>
        </w:rPr>
        <w:t>(iii)</w:t>
        <w:tab/>
        <w:t>sole power to dispose or to direct the disposition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1,630,860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760" w:space="720"/>
            <w:col w:w="2739"/>
          </w:cols>
          <w:pgMar w:left="240" w:top="925" w:right="1440" w:bottom="1440" w:gutter="0" w:footer="0" w:header="0"/>
          <w:type w:val="continuous"/>
        </w:sectPr>
      </w:pPr>
    </w:p>
    <w:p>
      <w:pPr>
        <w:ind w:left="2540" w:right="120" w:hanging="639"/>
        <w:spacing w:after="0" w:line="235" w:lineRule="auto"/>
        <w:tabs>
          <w:tab w:leader="none" w:pos="2520" w:val="left"/>
        </w:tabs>
        <w:rPr>
          <w:sz w:val="20"/>
          <w:szCs w:val="20"/>
          <w:color w:val="auto"/>
        </w:rPr>
      </w:pPr>
      <w:r>
        <w:rPr>
          <w:rFonts w:ascii="Courier New" w:cs="Courier New" w:eastAsia="Courier New" w:hAnsi="Courier New"/>
          <w:sz w:val="18"/>
          <w:szCs w:val="18"/>
          <w:color w:val="auto"/>
        </w:rPr>
        <w:t>(iv)</w:t>
        <w:tab/>
        <w:t>shared power to dispose of or to direct the disposition of:</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6760" w:space="720"/>
            <w:col w:w="273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740" w:space="540"/>
            <w:col w:w="8939"/>
          </w:cols>
          <w:pgMar w:left="240" w:top="925" w:right="1440" w:bottom="1440" w:gutter="0" w:footer="0" w:header="0"/>
          <w:type w:val="continuous"/>
        </w:sectPr>
      </w:pPr>
    </w:p>
    <w:p>
      <w:pPr>
        <w:spacing w:after="0" w:line="24"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740" w:space="540"/>
            <w:col w:w="8939"/>
          </w:cols>
          <w:pgMar w:left="240" w:top="92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sectPr>
          <w:pgSz w:w="11900" w:h="16838" w:orient="portrait"/>
          <w:cols w:equalWidth="0" w:num="2">
            <w:col w:w="740" w:space="540"/>
            <w:col w:w="8939"/>
          </w:cols>
          <w:pgMar w:left="240" w:top="925" w:right="1440" w:bottom="1440" w:gutter="0" w:footer="0" w:header="0"/>
          <w:type w:val="continuous"/>
        </w:sectPr>
      </w:pPr>
    </w:p>
    <w:p>
      <w:pPr>
        <w:ind w:left="1280" w:right="1879"/>
        <w:spacing w:after="0" w:line="237" w:lineRule="auto"/>
        <w:rPr>
          <w:sz w:val="20"/>
          <w:szCs w:val="20"/>
          <w:color w:val="auto"/>
        </w:rPr>
      </w:pPr>
      <w:r>
        <w:rPr>
          <w:rFonts w:ascii="Courier New" w:cs="Courier New" w:eastAsia="Courier New" w:hAnsi="Courier New"/>
          <w:sz w:val="18"/>
          <w:szCs w:val="18"/>
          <w:color w:val="auto"/>
        </w:rPr>
        <w:t>Corporate G.P. and Shareholder are the equivalent of parent holding companies for purposes of the Schedule 13G. IA is the equivalent of Corporate G.P.'s direct subsidiary and Shareholder's indirect subsidiary, and IA acquired the security being reported on by Corporate G.P. and Shareholder. IA is a registered investment adviser. See Exhibit B.</w:t>
      </w:r>
    </w:p>
    <w:p>
      <w:pPr>
        <w:sectPr>
          <w:pgSz w:w="11900" w:h="16838" w:orient="portrait"/>
          <w:cols w:equalWidth="0" w:num="1">
            <w:col w:w="10219"/>
          </w:cols>
          <w:pgMar w:left="240" w:top="925"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40" w:space="640"/>
            <w:col w:w="8939"/>
          </w:cols>
          <w:pgMar w:left="240" w:top="92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640" w:space="640"/>
            <w:col w:w="8939"/>
          </w:cols>
          <w:pgMar w:left="240" w:top="925"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860" w:space="420"/>
            <w:col w:w="8939"/>
          </w:cols>
          <w:pgMar w:left="240" w:top="925" w:right="1440" w:bottom="1440" w:gutter="0" w:footer="0" w:header="0"/>
          <w:type w:val="continuous"/>
        </w:sectPr>
      </w:pPr>
    </w:p>
    <w:p>
      <w:pPr>
        <w:spacing w:after="0" w:line="24" w:lineRule="exact"/>
        <w:rPr>
          <w:sz w:val="20"/>
          <w:szCs w:val="20"/>
          <w:color w:val="auto"/>
        </w:rPr>
      </w:pPr>
    </w:p>
    <w:p>
      <w:pPr>
        <w:ind w:left="1900" w:right="1779" w:hanging="628"/>
        <w:spacing w:after="0" w:line="235" w:lineRule="auto"/>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240.13d-l (b):</w:t>
      </w:r>
    </w:p>
    <w:p>
      <w:pPr>
        <w:spacing w:after="0" w:line="208"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25"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6,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10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Rule 13d-1(b)(ii)(J) and Rule 13d-1(k)(1) under the Securities and Exchange Act of 1934, the members of the group making this joint filing are identified and classified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rPr>
              <w:t>Name</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Classification</w:t>
            </w: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Not applicable.</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w w:val="96"/>
              </w:rPr>
              <w:t>Not applicable.</w:t>
            </w:r>
          </w:p>
        </w:tc>
      </w:tr>
    </w:tbl>
    <w:p>
      <w:pPr>
        <w:sectPr>
          <w:pgSz w:w="11900" w:h="16838" w:orient="portrait"/>
          <w:cols w:equalWidth="0" w:num="1">
            <w:col w:w="10219"/>
          </w:cols>
          <w:pgMar w:left="240" w:top="91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10</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Agreement Pursuant to Rule 13d-1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6,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
    <w:nsid w:val="436C612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4">
    <w:nsid w:val="628C895D"/>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5">
    <w:nsid w:val="333AB10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6">
    <w:nsid w:val="721DA317"/>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7">
    <w:nsid w:val="2443A858"/>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8">
    <w:nsid w:val="2D1D5AE9"/>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9">
    <w:nsid w:val="6763845E"/>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0">
    <w:nsid w:val="75A2A8D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1">
    <w:nsid w:val="8EDBDAB"/>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2">
    <w:nsid w:val="79838CB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3">
    <w:nsid w:val="4353D0C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14">
    <w:nsid w:val="B03E0C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5">
    <w:nsid w:val="189A769B"/>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16">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7">
    <w:nsid w:val="71F32454"/>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8">
    <w:nsid w:val="2CA88611"/>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9">
    <w:nsid w:val="836C40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0">
    <w:nsid w:val="2901D82"/>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1">
    <w:nsid w:val="3A95F87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22">
    <w:nsid w:val="813864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23">
    <w:nsid w:val="1E7FF52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24">
    <w:nsid w:val="7C3DBD3D"/>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25">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6">
    <w:nsid w:val="6CEAF08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7">
    <w:nsid w:val="22221A70"/>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8">
    <w:nsid w:val="4516DDE9"/>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9">
    <w:nsid w:val="3006C83E"/>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3"/>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6"/>
    </w:lvl>
  </w:abstractNum>
  <w:abstractNum w:abstractNumId="35">
    <w:nsid w:val="3804823E"/>
    <w:multiLevelType w:val="hybridMultilevel"/>
    <w:lvl w:ilvl="0">
      <w:lvlJc w:val="left"/>
      <w:lvlText w:val="(%1)"/>
      <w:numFmt w:val="lowerLetter"/>
      <w:start w:val="3"/>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2019-12-20T15:18:31Z</dcterms:created>
  <dcterms:modified xsi:type="dcterms:W3CDTF">2019-12-20T15:18:31Z</dcterms:modified>
</cp:coreProperties>
</file>