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xlg-20260204.htm"/>
      <w:bookmarkStart w:id="1" w:name="ksdxlg202602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both"/>
        <w:rPr>
          <w:rFonts w:ascii="Times New Roman" w:hAnsi="Times New Roman"/>
          <w:sz w:val="20"/>
        </w:rPr>
      </w:pPr>
      <w:r>
        <w:rPr>
          <w:rFonts w:ascii="Times New Roman" w:hAnsi="Times New Roman"/>
          <w:color w:val="000000"/>
          <w:sz w:val="20"/>
        </w:rPr>
        <w:t xml:space="preserve">On February 4, 2026, Destination XL Group, Inc. (the “Company”) received a letter (the “Notice”) from the Listing Qualifications Staff of The Nasdaq Stock Market LLC (“Nasdaq”) indicating that, based upon the closing bid price of the Company’s common stock for the last 30 consecutive business days, the Company no longer meets the requirement to maintain a </w:t>
      </w:r>
      <w:r>
        <w:rPr>
          <w:rFonts w:ascii="Times New Roman" w:hAnsi="Times New Roman"/>
          <w:color w:val="252525"/>
          <w:sz w:val="20"/>
        </w:rPr>
        <w:t>minimum</w:t>
      </w:r>
      <w:r>
        <w:rPr>
          <w:rFonts w:ascii="Times New Roman" w:hAnsi="Times New Roman"/>
          <w:color w:val="000000"/>
          <w:sz w:val="20"/>
        </w:rPr>
        <w:t xml:space="preserve"> </w:t>
      </w:r>
      <w:r>
        <w:rPr>
          <w:rFonts w:ascii="Times New Roman" w:hAnsi="Times New Roman"/>
          <w:color w:val="252525"/>
          <w:sz w:val="20"/>
        </w:rPr>
        <w:t xml:space="preserve">bid </w:t>
      </w:r>
      <w:r>
        <w:rPr>
          <w:rFonts w:ascii="Times New Roman" w:hAnsi="Times New Roman"/>
          <w:color w:val="000000"/>
          <w:sz w:val="20"/>
        </w:rPr>
        <w:t>price of $1.00 per share (the “minimum bid price requirement”), as set forth in Nasdaq Listing Rule 5450(a)(1).</w:t>
      </w:r>
    </w:p>
    <w:p>
      <w:pPr>
        <w:pStyle w:val="TextBody"/>
        <w:bidi w:val="0"/>
        <w:jc w:val="both"/>
        <w:rPr>
          <w:rFonts w:ascii="Times New Roman" w:hAnsi="Times New Roman"/>
          <w:sz w:val="20"/>
        </w:rPr>
      </w:pPr>
      <w:r>
        <w:rPr>
          <w:rFonts w:ascii="Times New Roman" w:hAnsi="Times New Roman"/>
          <w:color w:val="000000"/>
          <w:sz w:val="20"/>
        </w:rPr>
        <w:t xml:space="preserve">In accordance with Nasdaq Listing Rule 5810(c)(3)(A), the Company has been provided a compliance period of 180 calendar days, or until August 3, 2026, in which to regain compliance. In order to regain compliance with the </w:t>
      </w:r>
      <w:r>
        <w:rPr>
          <w:rFonts w:ascii="Times New Roman" w:hAnsi="Times New Roman"/>
          <w:color w:val="252525"/>
          <w:sz w:val="20"/>
        </w:rPr>
        <w:t>minimum</w:t>
      </w:r>
      <w:r>
        <w:rPr>
          <w:rFonts w:ascii="Times New Roman" w:hAnsi="Times New Roman"/>
          <w:color w:val="000000"/>
          <w:sz w:val="20"/>
        </w:rPr>
        <w:t xml:space="preserve"> </w:t>
      </w:r>
      <w:r>
        <w:rPr>
          <w:rFonts w:ascii="Times New Roman" w:hAnsi="Times New Roman"/>
          <w:color w:val="252525"/>
          <w:sz w:val="20"/>
        </w:rPr>
        <w:t>bid</w:t>
      </w:r>
      <w:r>
        <w:rPr>
          <w:rFonts w:ascii="Times New Roman" w:hAnsi="Times New Roman"/>
          <w:color w:val="000000"/>
          <w:sz w:val="20"/>
        </w:rPr>
        <w:t xml:space="preserve"> price requirement, the closing bid price of the Company’s common stock must be at least $1.00 per share for a minimum of ten consecutive business days during this 180-day period. In the event that the Company does not regain compliance within this 180-day period, the Company may be eligible for an additional compliance period of 180 calendar days pursuant to Nasdaq Listing Rule 5810(c)(3)(A)(i) if it (i) transfers its listing to The Nasdaq Capital Market and (ii) meets the continued listing requirement for market value of publicly held shares and all other initial listing standards for The Nasdaq Capital Market, with the exception of the bid price requirement, and provides written notice to Nasdaq of its intent to cure the deficiency during this second compliance period, by effecting a reverse stock split, if necessary. However, if Nasdaq concludes that the Company will not be able to cure the deficiency, or if the Company determines not to submit a transfer application or make the required representation, Nasdaq will provide notice to the Company that its common stock will be subject to delisting.</w:t>
      </w:r>
    </w:p>
    <w:p>
      <w:pPr>
        <w:pStyle w:val="TextBody"/>
        <w:bidi w:val="0"/>
        <w:jc w:val="both"/>
        <w:rPr>
          <w:rFonts w:ascii="Times New Roman" w:hAnsi="Times New Roman"/>
          <w:color w:val="000000"/>
          <w:sz w:val="20"/>
        </w:rPr>
      </w:pPr>
      <w:r>
        <w:rPr>
          <w:rFonts w:ascii="Times New Roman" w:hAnsi="Times New Roman"/>
          <w:color w:val="000000"/>
          <w:sz w:val="20"/>
        </w:rPr>
        <w:t>The Notice has no immediate effect on the listing of the Company’s common stock on The Nasdaq Global Market. The Notice also does not affect the Company’s ongoing business operations or its reporting requirements with the Securities and Exchange Commission (the “SEC”). The Company intends to actively monitor the bid price of its common stock and will continue to consider its available options to regain compliance with the minimum bid price requirement. There can be no assurance that the Company will be able to regain compliance with the minimum bid price requirement or will otherwise maintain compliance with the other listing standards for The Nasdaq Global Market.</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sz w:val="20"/>
        </w:rPr>
      </w:pPr>
      <w:r>
        <w:rPr>
          <w:rFonts w:ascii="Times New Roman" w:hAnsi="Times New Roman"/>
          <w:color w:val="000000"/>
          <w:sz w:val="20"/>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which are based on current expectations, estimates and projections about the industry and markets in which the Company operates and beliefs of and assumptions made by its management, involve uncertainties that could significantly affect the financial results of the Company. With respect to any such forward-looking statements, the Company claims the protection provided for in the Private Securities Litigation Reform Act of 1995. Such forward-looking statements include, but are not limited to, statements regarding the Company’s intent or ability to regain compliance with the minimum bid price requirement, the potential implementation of a reverse stock split, the possibility of securing an additional compliance period or other relief from Nasdaq, and the Company’s ability to satisfy the continued listing requirements of The Nasdaq Global Market or The Nasdaq Capital Market. All statements that address operating performance, events or developments that we expect or anticipate will occur in the future — including statements relating to the Company’s efforts to monitor the closing bid price of its common stock, to consider and pursue available options to regain compliance with Nasdaq listing rules, and to maintain the Company’s listing on The Nasdaq Global Market or transfer to The Nasdaq Capital Market, as well as any related actions or outcomes — are forward-looking statements. These statements are not guarantees of future performance and involve certain risks, uncertainties and assumptions that are difficult to predict.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Company’s ability to maintain compliance with Nasdaq listing standards, volatility in the market price of the Company’s common stock, the Company’s ability to implement corporate actions such as a reverse stock split, other risks and uncertainties, and those additional risks and factors detailed in other reports filed with the SEC by the Company from time to time, including those discussed under the heading “Risk Factors” in the Company’s most recently filed Annual Report on Form 10-K. These documents are available through our website or through the SEC’s Electronic Data Gathering and Analysis Retrieval (EDGAR) system at </w:t>
      </w:r>
      <w:r>
        <w:rPr>
          <w:rFonts w:ascii="Times New Roman" w:hAnsi="Times New Roman"/>
          <w:i/>
          <w:color w:val="000000"/>
          <w:sz w:val="20"/>
        </w:rPr>
        <w:t>http://www.sec.gov</w:t>
      </w:r>
      <w:r>
        <w:rPr>
          <w:rFonts w:ascii="Times New Roman" w:hAnsi="Times New Roman"/>
          <w:color w:val="000000"/>
          <w:sz w:val="20"/>
        </w:rPr>
        <w:t xml:space="preserve">. The Company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134" w:type="dxa"/>
        <w:jc w:val="left"/>
        <w:tblInd w:w="0" w:type="dxa"/>
        <w:tblLayout w:type="fixed"/>
        <w:tblCellMar>
          <w:top w:w="28" w:type="dxa"/>
          <w:left w:w="28" w:type="dxa"/>
          <w:bottom w:w="28" w:type="dxa"/>
          <w:right w:w="28" w:type="dxa"/>
        </w:tblCellMar>
      </w:tblPr>
      <w:tblGrid>
        <w:gridCol w:w="556"/>
        <w:gridCol w:w="1486"/>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1244</Words>
  <Characters>6899</Characters>
  <CharactersWithSpaces>8140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