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5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420" w:right="1440" w:bottom="0" w:gutter="0" w:footer="0" w:header="0"/>
        </w:sectPr>
      </w:pPr>
    </w:p>
    <w:p>
      <w:pPr>
        <w:spacing w:after="0" w:line="372" w:lineRule="exact"/>
        <w:rPr>
          <w:sz w:val="24"/>
          <w:szCs w:val="24"/>
          <w:color w:val="auto"/>
        </w:rPr>
      </w:pPr>
    </w:p>
    <w:p>
      <w:pPr>
        <w:jc w:val="right"/>
        <w:ind w:right="120"/>
        <w:spacing w:after="0" w:line="347" w:lineRule="auto"/>
        <w:rPr>
          <w:sz w:val="20"/>
          <w:szCs w:val="20"/>
          <w:color w:val="auto"/>
        </w:rPr>
      </w:pPr>
      <w:r>
        <w:rPr>
          <w:rFonts w:ascii="Courier New" w:cs="Courier New" w:eastAsia="Courier New" w:hAnsi="Courier New"/>
          <w:sz w:val="18"/>
          <w:szCs w:val="18"/>
          <w:color w:val="auto"/>
        </w:rPr>
        <w:t>Quarter Ended July 29, 1995 -------------</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0-15898</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4"/>
          <w:szCs w:val="24"/>
          <w:color w:val="auto"/>
        </w:rPr>
      </w:pPr>
    </w:p>
    <w:p>
      <w:pPr>
        <w:sectPr>
          <w:pgSz w:w="11900" w:h="16838" w:orient="portrait"/>
          <w:cols w:equalWidth="0" w:num="3">
            <w:col w:w="2980" w:space="720"/>
            <w:col w:w="2320" w:space="200"/>
            <w:col w:w="3999"/>
          </w:cols>
          <w:pgMar w:left="240" w:top="420"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(Exact name of registrant as</w:t>
      </w:r>
    </w:p>
    <w:p>
      <w:pPr>
        <w:spacing w:after="0" w:line="5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420" w:right="1440" w:bottom="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04-2623104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2">
            <w:col w:w="3920" w:space="720"/>
            <w:col w:w="5579"/>
          </w:cols>
          <w:pgMar w:left="240" w:top="420" w:right="1440" w:bottom="0" w:gutter="0" w:footer="0" w:header="0"/>
          <w:type w:val="continuous"/>
        </w:sectPr>
      </w:pPr>
    </w:p>
    <w:p>
      <w:pPr>
        <w:ind w:right="220"/>
        <w:spacing w:after="0" w:line="420"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629" w:lineRule="exact"/>
        <w:rPr>
          <w:sz w:val="24"/>
          <w:szCs w:val="24"/>
          <w:color w:val="auto"/>
        </w:rPr>
      </w:pPr>
    </w:p>
    <w:p>
      <w:pPr>
        <w:sectPr>
          <w:pgSz w:w="11900" w:h="16838" w:orient="portrait"/>
          <w:cols w:equalWidth="0" w:num="2">
            <w:col w:w="3500" w:space="720"/>
            <w:col w:w="5999"/>
          </w:cols>
          <w:pgMar w:left="240" w:top="420" w:right="1440" w:bottom="0" w:gutter="0" w:footer="0" w:header="0"/>
          <w:type w:val="continuous"/>
        </w:sectPr>
      </w:pPr>
    </w:p>
    <w:p>
      <w:pPr>
        <w:jc w:val="both"/>
        <w:ind w:right="440"/>
        <w:spacing w:after="0" w:line="402" w:lineRule="auto"/>
        <w:rPr>
          <w:sz w:val="20"/>
          <w:szCs w:val="20"/>
          <w:color w:val="auto"/>
        </w:rPr>
      </w:pPr>
      <w:r>
        <w:rPr>
          <w:rFonts w:ascii="Courier New" w:cs="Courier New" w:eastAsia="Courier New" w:hAnsi="Courier New"/>
          <w:sz w:val="16"/>
          <w:szCs w:val="16"/>
          <w:color w:val="auto"/>
        </w:rPr>
        <w:t>1244 Boylston Street, Chestnut Hill, MA ---------------------------------------</w:t>
      </w:r>
    </w:p>
    <w:p>
      <w:pPr>
        <w:spacing w:after="0" w:line="20" w:lineRule="exact"/>
        <w:rPr>
          <w:sz w:val="24"/>
          <w:szCs w:val="24"/>
          <w:color w:val="auto"/>
        </w:rPr>
      </w:pPr>
      <w:r>
        <w:rPr>
          <w:sz w:val="24"/>
          <w:szCs w:val="24"/>
          <w:color w:val="auto"/>
        </w:rPr>
        <w:br w:type="column"/>
      </w:r>
    </w:p>
    <w:p>
      <w:pPr>
        <w:ind w:left="620"/>
        <w:spacing w:after="0"/>
        <w:rPr>
          <w:sz w:val="20"/>
          <w:szCs w:val="20"/>
          <w:color w:val="auto"/>
        </w:rPr>
      </w:pPr>
      <w:r>
        <w:rPr>
          <w:rFonts w:ascii="Courier New" w:cs="Courier New" w:eastAsia="Courier New" w:hAnsi="Courier New"/>
          <w:sz w:val="18"/>
          <w:szCs w:val="18"/>
          <w:color w:val="auto"/>
        </w:rPr>
        <w:t>02167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2">
            <w:col w:w="4560" w:space="720"/>
            <w:col w:w="4939"/>
          </w:cols>
          <w:pgMar w:left="240" w:top="42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080" w:space="720"/>
            <w:col w:w="4419"/>
          </w:cols>
          <w:pgMar w:left="240" w:top="420" w:right="1440" w:bottom="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(617)739-6722</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6"/>
          <w:szCs w:val="16"/>
          <w:color w:val="auto"/>
        </w:rPr>
        <w:t>(Registrant's telephone</w:t>
      </w:r>
    </w:p>
    <w:p>
      <w:pPr>
        <w:sectPr>
          <w:pgSz w:w="11900" w:h="16838" w:orient="portrait"/>
          <w:cols w:equalWidth="0" w:num="1">
            <w:col w:w="10219"/>
          </w:cols>
          <w:pgMar w:left="240" w:top="420" w:right="1440" w:bottom="0" w:gutter="0" w:footer="0" w:header="0"/>
          <w:type w:val="continuous"/>
        </w:sectPr>
      </w:pPr>
    </w:p>
    <w:p>
      <w:pPr>
        <w:spacing w:after="0" w:line="8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right="2419"/>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420" w:right="1440" w:bottom="0" w:gutter="0" w:footer="0" w:header="0"/>
          <w:type w:val="continuous"/>
        </w:sectPr>
      </w:pP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115" w:lineRule="exact"/>
        <w:rPr>
          <w:sz w:val="24"/>
          <w:szCs w:val="24"/>
          <w:color w:val="auto"/>
        </w:rPr>
      </w:pPr>
    </w:p>
    <w:p>
      <w:pPr>
        <w:sectPr>
          <w:pgSz w:w="11900" w:h="16838" w:orient="portrait"/>
          <w:cols w:equalWidth="0" w:num="3">
            <w:col w:w="320" w:space="220"/>
            <w:col w:w="120" w:space="720"/>
            <w:col w:w="8839"/>
          </w:cols>
          <w:pgMar w:left="240" w:top="420" w:right="1440" w:bottom="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060" w:space="520"/>
            <w:col w:w="8639"/>
          </w:cols>
          <w:pgMar w:left="240" w:top="420" w:right="1440" w:bottom="0" w:gutter="0" w:footer="0" w:header="0"/>
          <w:type w:val="continuous"/>
        </w:sectPr>
      </w:pPr>
    </w:p>
    <w:p>
      <w:pPr>
        <w:spacing w:after="0" w:line="335" w:lineRule="exact"/>
        <w:rPr>
          <w:sz w:val="24"/>
          <w:szCs w:val="24"/>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420" w:right="1440" w:bottom="0" w:gutter="0" w:footer="0" w:header="0"/>
          <w:type w:val="continuous"/>
        </w:sectPr>
      </w:pPr>
    </w:p>
    <w:p>
      <w:pPr>
        <w:spacing w:after="0" w:line="22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Class</w:t>
      </w:r>
    </w:p>
    <w:p>
      <w:pPr>
        <w:spacing w:after="0" w:line="53"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July 29, 1995</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980" w:space="720"/>
            <w:col w:w="6519"/>
          </w:cols>
          <w:pgMar w:left="240" w:top="420" w:right="1440" w:bottom="0" w:gutter="0" w:footer="0" w:header="0"/>
          <w:type w:val="continuous"/>
        </w:sectPr>
      </w:pPr>
    </w:p>
    <w:p>
      <w:pPr>
        <w:spacing w:after="0" w:line="19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15,762,730 shares</w:t>
      </w:r>
    </w:p>
    <w:p>
      <w:pPr>
        <w:spacing w:after="0" w:line="200" w:lineRule="exact"/>
        <w:rPr>
          <w:sz w:val="24"/>
          <w:szCs w:val="24"/>
          <w:color w:val="auto"/>
        </w:rPr>
      </w:pPr>
    </w:p>
    <w:p>
      <w:pPr>
        <w:sectPr>
          <w:pgSz w:w="11900" w:h="16838" w:orient="portrait"/>
          <w:cols w:equalWidth="0" w:num="2">
            <w:col w:w="4020" w:space="720"/>
            <w:col w:w="5479"/>
          </w:cols>
          <w:pgMar w:left="240" w:top="420" w:right="1440" w:bottom="0" w:gutter="0" w:footer="0" w:header="0"/>
          <w:type w:val="continuous"/>
        </w:sectPr>
      </w:pPr>
    </w:p>
    <w:p>
      <w:pPr>
        <w:spacing w:after="0" w:line="200" w:lineRule="exact"/>
        <w:rPr>
          <w:sz w:val="24"/>
          <w:szCs w:val="24"/>
          <w:color w:val="auto"/>
        </w:rPr>
      </w:pPr>
    </w:p>
    <w:p>
      <w:pPr>
        <w:spacing w:after="0" w:line="202" w:lineRule="exact"/>
        <w:rPr>
          <w:sz w:val="24"/>
          <w:szCs w:val="24"/>
          <w:color w:val="auto"/>
        </w:rPr>
      </w:pPr>
    </w:p>
    <w:p>
      <w:pPr>
        <w:jc w:val="center"/>
        <w:ind w:right="399"/>
        <w:spacing w:after="0"/>
        <w:rPr>
          <w:sz w:val="20"/>
          <w:szCs w:val="20"/>
          <w:color w:val="auto"/>
        </w:rPr>
      </w:pPr>
      <w:r>
        <w:rPr>
          <w:rFonts w:ascii="Courier New" w:cs="Courier New" w:eastAsia="Courier New" w:hAnsi="Courier New"/>
          <w:sz w:val="18"/>
          <w:szCs w:val="18"/>
          <w:color w:val="auto"/>
        </w:rPr>
        <w:t>DESIGNS, INC.</w:t>
      </w:r>
    </w:p>
    <w:p>
      <w:pPr>
        <w:spacing w:after="0" w:line="29" w:lineRule="exact"/>
        <w:rPr>
          <w:sz w:val="24"/>
          <w:szCs w:val="24"/>
          <w:color w:val="auto"/>
        </w:rPr>
      </w:pPr>
    </w:p>
    <w:p>
      <w:pPr>
        <w:jc w:val="center"/>
        <w:ind w:right="399"/>
        <w:spacing w:after="0"/>
        <w:rPr>
          <w:sz w:val="20"/>
          <w:szCs w:val="20"/>
          <w:color w:val="auto"/>
        </w:rPr>
      </w:pPr>
      <w:r>
        <w:rPr>
          <w:rFonts w:ascii="Courier New" w:cs="Courier New" w:eastAsia="Courier New" w:hAnsi="Courier New"/>
          <w:sz w:val="18"/>
          <w:szCs w:val="18"/>
          <w:color w:val="auto"/>
        </w:rPr>
        <w:t>CONSOLIDATED BALANCE SHEETS</w:t>
      </w:r>
    </w:p>
    <w:p>
      <w:pPr>
        <w:jc w:val="center"/>
        <w:ind w:right="399"/>
        <w:spacing w:after="0" w:line="238" w:lineRule="auto"/>
        <w:rPr>
          <w:sz w:val="20"/>
          <w:szCs w:val="20"/>
          <w:color w:val="auto"/>
        </w:rPr>
      </w:pPr>
      <w:r>
        <w:rPr>
          <w:rFonts w:ascii="Courier New" w:cs="Courier New" w:eastAsia="Courier New" w:hAnsi="Courier New"/>
          <w:sz w:val="18"/>
          <w:szCs w:val="18"/>
          <w:color w:val="auto"/>
        </w:rPr>
        <w:t>July 29, 1995, July 30, 1994 and January 28, 1995</w:t>
      </w:r>
    </w:p>
    <w:p>
      <w:pPr>
        <w:ind w:left="3160"/>
        <w:spacing w:after="0"/>
        <w:rPr>
          <w:sz w:val="20"/>
          <w:szCs w:val="20"/>
          <w:color w:val="auto"/>
        </w:rPr>
      </w:pPr>
      <w:r>
        <w:rPr>
          <w:rFonts w:ascii="Courier New" w:cs="Courier New" w:eastAsia="Courier New" w:hAnsi="Courier New"/>
          <w:sz w:val="18"/>
          <w:szCs w:val="18"/>
          <w:color w:val="auto"/>
        </w:rPr>
        <w:t>(In thousands, except share data)</w:t>
      </w:r>
    </w:p>
    <w:p>
      <w:pPr>
        <w:ind w:left="4220"/>
        <w:spacing w:after="0"/>
        <w:rPr>
          <w:sz w:val="20"/>
          <w:szCs w:val="20"/>
          <w:color w:val="auto"/>
        </w:rPr>
      </w:pPr>
      <w:r>
        <w:rPr>
          <w:rFonts w:ascii="Courier New" w:cs="Courier New" w:eastAsia="Courier New" w:hAnsi="Courier New"/>
          <w:sz w:val="18"/>
          <w:szCs w:val="18"/>
          <w:color w:val="auto"/>
        </w:rPr>
        <w:t>(Unaudited)</w:t>
      </w:r>
    </w:p>
    <w:p>
      <w:pPr>
        <w:spacing w:after="0" w:line="168" w:lineRule="exact"/>
        <w:rPr>
          <w:sz w:val="24"/>
          <w:szCs w:val="24"/>
          <w:color w:val="auto"/>
        </w:rPr>
      </w:pPr>
    </w:p>
    <w:tbl>
      <w:tblPr>
        <w:tblLayout w:type="fixed"/>
        <w:tblInd w:w="464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July 29,</w:t>
            </w:r>
          </w:p>
        </w:tc>
        <w:tc>
          <w:tcPr>
            <w:tcW w:w="1320" w:type="dxa"/>
            <w:vAlign w:val="bottom"/>
          </w:tcPr>
          <w:p>
            <w:pPr>
              <w:ind w:left="200"/>
              <w:spacing w:after="0"/>
              <w:rPr>
                <w:sz w:val="20"/>
                <w:szCs w:val="20"/>
                <w:color w:val="auto"/>
              </w:rPr>
            </w:pPr>
            <w:r>
              <w:rPr>
                <w:rFonts w:ascii="Courier New" w:cs="Courier New" w:eastAsia="Courier New" w:hAnsi="Courier New"/>
                <w:sz w:val="18"/>
                <w:szCs w:val="18"/>
                <w:color w:val="auto"/>
              </w:rPr>
              <w:t>July 30,</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w w:val="95"/>
              </w:rPr>
              <w:t>January 28,</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35"/>
        </w:trPr>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w w:val="95"/>
              </w:rPr>
              <w:t>-----------</w:t>
            </w:r>
          </w:p>
        </w:tc>
      </w:tr>
    </w:tbl>
    <w:p>
      <w:pPr>
        <w:ind w:left="220"/>
        <w:spacing w:after="0"/>
        <w:rPr>
          <w:sz w:val="20"/>
          <w:szCs w:val="20"/>
          <w:color w:val="auto"/>
        </w:rPr>
      </w:pPr>
      <w:r>
        <w:rPr>
          <w:rFonts w:ascii="Courier New" w:cs="Courier New" w:eastAsia="Courier New" w:hAnsi="Courier New"/>
          <w:sz w:val="18"/>
          <w:szCs w:val="18"/>
          <w:color w:val="auto"/>
        </w:rPr>
        <w:t>ASSETS</w:t>
      </w:r>
    </w:p>
    <w:p>
      <w:pPr>
        <w:sectPr>
          <w:pgSz w:w="11900" w:h="16838" w:orient="portrait"/>
          <w:cols w:equalWidth="0" w:num="1">
            <w:col w:w="10219"/>
          </w:cols>
          <w:pgMar w:left="240" w:top="420"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$ 8,293</w:t>
            </w:r>
          </w:p>
        </w:tc>
        <w:tc>
          <w:tcPr>
            <w:tcW w:w="14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$ 2,051</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$ 22,424</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909</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714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4,223</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62,580</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56,508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52,649</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1,579</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4,741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1,579</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 receivable</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411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1,382</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1,301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1,213</w:t>
            </w:r>
          </w:p>
        </w:tc>
        <w:tc>
          <w:tcPr>
            <w:tcW w:w="0" w:type="dxa"/>
            <w:vAlign w:val="bottom"/>
          </w:tcPr>
          <w:p>
            <w:pPr>
              <w:spacing w:after="0"/>
              <w:rPr>
                <w:sz w:val="1"/>
                <w:szCs w:val="1"/>
                <w:color w:val="auto"/>
              </w:rPr>
            </w:pPr>
          </w:p>
        </w:tc>
      </w:tr>
      <w:tr>
        <w:trPr>
          <w:trHeight w:val="203"/>
        </w:trPr>
        <w:tc>
          <w:tcPr>
            <w:tcW w:w="46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Total current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640" w:type="dxa"/>
            <w:vAlign w:val="bottom"/>
            <w:vMerge w:val="continue"/>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74,743</w:t>
            </w:r>
          </w:p>
        </w:tc>
        <w:tc>
          <w:tcPr>
            <w:tcW w:w="1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65,726</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82,088</w:t>
            </w: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 accumulated</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33,049</w:t>
            </w:r>
          </w:p>
        </w:tc>
        <w:tc>
          <w:tcPr>
            <w:tcW w:w="14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24,332</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26,503</w:t>
            </w: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depreciation and amortization</w:t>
            </w:r>
          </w:p>
        </w:tc>
        <w:tc>
          <w:tcPr>
            <w:tcW w:w="106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12,978</w:t>
            </w:r>
          </w:p>
        </w:tc>
        <w:tc>
          <w:tcPr>
            <w:tcW w:w="14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23,887</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15,831</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10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1,505</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1,889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1,771</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Pre-opening costs, net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1,286</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258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481</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Intangible assets (Note 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2,563</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771</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742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621</w:t>
            </w:r>
          </w:p>
        </w:tc>
        <w:tc>
          <w:tcPr>
            <w:tcW w:w="0" w:type="dxa"/>
            <w:vAlign w:val="bottom"/>
          </w:tcPr>
          <w:p>
            <w:pPr>
              <w:spacing w:after="0"/>
              <w:rPr>
                <w:sz w:val="1"/>
                <w:szCs w:val="1"/>
                <w:color w:val="auto"/>
              </w:rPr>
            </w:pPr>
          </w:p>
        </w:tc>
      </w:tr>
      <w:tr>
        <w:trPr>
          <w:trHeight w:val="203"/>
        </w:trPr>
        <w:tc>
          <w:tcPr>
            <w:tcW w:w="464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Total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$126,895</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$116,834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$127,295</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w:t>
            </w:r>
          </w:p>
        </w:tc>
        <w:tc>
          <w:tcPr>
            <w:tcW w:w="1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810"/>
        </w:trPr>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LIABILITIES AND STOCKHOLDERS' EQUITY</w:t>
            </w: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4"/>
              </w:rPr>
              <w:t>$  9,909</w:t>
            </w:r>
          </w:p>
        </w:tc>
        <w:tc>
          <w:tcPr>
            <w:tcW w:w="14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$13,291</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$ 13,210</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expenses and other current</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8,782</w:t>
            </w:r>
          </w:p>
        </w:tc>
        <w:tc>
          <w:tcPr>
            <w:tcW w:w="14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4,771</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5,944</w:t>
            </w:r>
          </w:p>
        </w:tc>
        <w:tc>
          <w:tcPr>
            <w:tcW w:w="0" w:type="dxa"/>
            <w:vAlign w:val="bottom"/>
          </w:tcPr>
          <w:p>
            <w:pPr>
              <w:spacing w:after="0"/>
              <w:rPr>
                <w:sz w:val="1"/>
                <w:szCs w:val="1"/>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w:t>
            </w:r>
          </w:p>
        </w:tc>
        <w:tc>
          <w:tcPr>
            <w:tcW w:w="10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 reserve (Note 3)</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12,845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rent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2,986</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2,722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7,690</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458</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Current portion of note payable (Note 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Total current liabilities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640" w:type="dxa"/>
            <w:vAlign w:val="bottom"/>
            <w:vMerge w:val="continue"/>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22,635</w:t>
            </w:r>
          </w:p>
        </w:tc>
        <w:tc>
          <w:tcPr>
            <w:tcW w:w="1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33,629</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26,844</w:t>
            </w:r>
          </w:p>
        </w:tc>
        <w:tc>
          <w:tcPr>
            <w:tcW w:w="0" w:type="dxa"/>
            <w:vAlign w:val="bottom"/>
          </w:tcPr>
          <w:p>
            <w:pPr>
              <w:spacing w:after="0"/>
              <w:rPr>
                <w:sz w:val="1"/>
                <w:szCs w:val="1"/>
                <w:color w:val="auto"/>
              </w:rPr>
            </w:pP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Long term portion of note payable (Note 4)</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500</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Minority interest (Note 2)</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4,808</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4,749</w:t>
            </w: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Preferred stock, $0.01 par value, 1,000,000</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 none issued</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Common stock, $0.01 par value, 50,000,000</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shares authorized, 15,763,000, 16,005,000</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and 15,755,000 shares issued at July 29,</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1995, July 30, 1994 and January 28, 1995,</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158</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160</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157</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0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52,650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54,806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52,619</w:t>
            </w:r>
          </w:p>
        </w:tc>
        <w:tc>
          <w:tcPr>
            <w:tcW w:w="0" w:type="dxa"/>
            <w:vAlign w:val="bottom"/>
          </w:tcPr>
          <w:p>
            <w:pPr>
              <w:spacing w:after="0"/>
              <w:rPr>
                <w:sz w:val="1"/>
                <w:szCs w:val="1"/>
                <w:color w:val="auto"/>
              </w:rPr>
            </w:pPr>
          </w:p>
        </w:tc>
      </w:tr>
      <w:tr>
        <w:trPr>
          <w:trHeight w:val="296"/>
        </w:trPr>
        <w:tc>
          <w:tcPr>
            <w:tcW w:w="4640" w:type="dxa"/>
            <w:vAlign w:val="bottom"/>
          </w:tcPr>
          <w:p>
            <w:pPr>
              <w:ind w:left="320"/>
              <w:spacing w:after="0"/>
              <w:rPr>
                <w:sz w:val="20"/>
                <w:szCs w:val="20"/>
                <w:color w:val="auto"/>
              </w:rPr>
            </w:pPr>
            <w:r>
              <w:rPr>
                <w:rFonts w:ascii="Courier New" w:cs="Courier New" w:eastAsia="Courier New" w:hAnsi="Courier New"/>
                <w:sz w:val="18"/>
                <w:szCs w:val="18"/>
                <w:color w:val="auto"/>
              </w:rPr>
              <w:t>Retained earnings</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46,144</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28,239</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42,926</w:t>
            </w:r>
          </w:p>
        </w:tc>
        <w:tc>
          <w:tcPr>
            <w:tcW w:w="0" w:type="dxa"/>
            <w:vAlign w:val="bottom"/>
          </w:tcPr>
          <w:p>
            <w:pPr>
              <w:spacing w:after="0"/>
              <w:rPr>
                <w:sz w:val="1"/>
                <w:szCs w:val="1"/>
                <w:color w:val="auto"/>
              </w:rPr>
            </w:pPr>
          </w:p>
        </w:tc>
      </w:tr>
      <w:tr>
        <w:trPr>
          <w:trHeight w:val="717"/>
        </w:trPr>
        <w:tc>
          <w:tcPr>
            <w:tcW w:w="46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Total stockholders' equity</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98,952</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83,205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95,702</w:t>
            </w:r>
          </w:p>
        </w:tc>
        <w:tc>
          <w:tcPr>
            <w:tcW w:w="0" w:type="dxa"/>
            <w:vAlign w:val="bottom"/>
          </w:tcPr>
          <w:p>
            <w:pPr>
              <w:spacing w:after="0"/>
              <w:rPr>
                <w:sz w:val="1"/>
                <w:szCs w:val="1"/>
                <w:color w:val="auto"/>
              </w:rPr>
            </w:pPr>
          </w:p>
        </w:tc>
      </w:tr>
      <w:tr>
        <w:trPr>
          <w:trHeight w:val="203"/>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$126,895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$116,834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$127,295</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700" w:right="2319" w:hanging="2422"/>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0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3580" w:type="dxa"/>
            <w:vAlign w:val="bottom"/>
          </w:tcPr>
          <w:p>
            <w:pPr>
              <w:jc w:val="center"/>
              <w:ind w:left="312"/>
              <w:spacing w:after="0"/>
              <w:rPr>
                <w:sz w:val="20"/>
                <w:szCs w:val="20"/>
                <w:color w:val="auto"/>
              </w:rPr>
            </w:pPr>
            <w:r>
              <w:rPr>
                <w:rFonts w:ascii="Courier New" w:cs="Courier New" w:eastAsia="Courier New" w:hAnsi="Courier New"/>
                <w:sz w:val="18"/>
                <w:szCs w:val="18"/>
                <w:color w:val="auto"/>
                <w:w w:val="98"/>
              </w:rPr>
              <w:t>DESIGNS, INC.</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4480" w:type="dxa"/>
            <w:vAlign w:val="bottom"/>
            <w:gridSpan w:val="2"/>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CONSOLIDATED STATEMENTS OF INCOME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4480" w:type="dxa"/>
            <w:vAlign w:val="bottom"/>
            <w:gridSpan w:val="2"/>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c>
          <w:tcPr>
            <w:tcW w:w="0" w:type="dxa"/>
            <w:vAlign w:val="bottom"/>
          </w:tcPr>
          <w:p>
            <w:pPr>
              <w:spacing w:after="0"/>
              <w:rPr>
                <w:sz w:val="1"/>
                <w:szCs w:val="1"/>
                <w:color w:val="auto"/>
              </w:rPr>
            </w:pPr>
          </w:p>
        </w:tc>
      </w:tr>
      <w:tr>
        <w:trPr>
          <w:trHeight w:val="296"/>
        </w:trPr>
        <w:tc>
          <w:tcPr>
            <w:tcW w:w="3860" w:type="dxa"/>
            <w:vAlign w:val="bottom"/>
          </w:tcPr>
          <w:p>
            <w:pPr>
              <w:spacing w:after="0"/>
              <w:rPr>
                <w:sz w:val="24"/>
                <w:szCs w:val="24"/>
                <w:color w:val="auto"/>
              </w:rPr>
            </w:pPr>
          </w:p>
        </w:tc>
        <w:tc>
          <w:tcPr>
            <w:tcW w:w="35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(Unaudited)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8"/>
                <w:szCs w:val="18"/>
                <w:color w:val="auto"/>
              </w:rPr>
              <w:t>Three Months</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Ended</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July 29,</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July 30,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35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Sales</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$66,993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$56,390</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occupancy</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47,115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38,996</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Gross profit</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860" w:type="dxa"/>
            <w:vAlign w:val="bottom"/>
            <w:vMerge w:val="continue"/>
          </w:tcPr>
          <w:p>
            <w:pPr>
              <w:spacing w:after="0"/>
              <w:rPr>
                <w:sz w:val="24"/>
                <w:szCs w:val="24"/>
                <w:color w:val="auto"/>
              </w:rPr>
            </w:pPr>
          </w:p>
        </w:tc>
        <w:tc>
          <w:tcPr>
            <w:tcW w:w="3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19,878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17,394</w:t>
            </w: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35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15,939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13,223</w:t>
            </w:r>
          </w:p>
        </w:tc>
        <w:tc>
          <w:tcPr>
            <w:tcW w:w="0" w:type="dxa"/>
            <w:vAlign w:val="bottom"/>
          </w:tcPr>
          <w:p>
            <w:pPr>
              <w:spacing w:after="0"/>
              <w:rPr>
                <w:sz w:val="1"/>
                <w:szCs w:val="1"/>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Selling, general and administrative</w:t>
            </w:r>
          </w:p>
        </w:tc>
        <w:tc>
          <w:tcPr>
            <w:tcW w:w="35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charges</w:t>
            </w:r>
          </w:p>
        </w:tc>
        <w:tc>
          <w:tcPr>
            <w:tcW w:w="35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2,083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1,715</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Total expenses</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18,022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14,938</w:t>
            </w:r>
          </w:p>
        </w:tc>
        <w:tc>
          <w:tcPr>
            <w:tcW w:w="0" w:type="dxa"/>
            <w:vAlign w:val="bottom"/>
          </w:tcPr>
          <w:p>
            <w:pPr>
              <w:spacing w:after="0"/>
              <w:rPr>
                <w:sz w:val="1"/>
                <w:szCs w:val="1"/>
                <w:color w:val="auto"/>
              </w:rPr>
            </w:pPr>
          </w:p>
        </w:tc>
      </w:tr>
      <w:tr>
        <w:trPr>
          <w:trHeight w:val="296"/>
        </w:trPr>
        <w:tc>
          <w:tcPr>
            <w:tcW w:w="3860" w:type="dxa"/>
            <w:vAlign w:val="bottom"/>
          </w:tcPr>
          <w:p>
            <w:pPr>
              <w:spacing w:after="0"/>
              <w:rPr>
                <w:sz w:val="24"/>
                <w:szCs w:val="24"/>
                <w:color w:val="auto"/>
              </w:rPr>
            </w:pPr>
          </w:p>
        </w:tc>
        <w:tc>
          <w:tcPr>
            <w:tcW w:w="3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3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1,856</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2,456</w:t>
            </w: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3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61</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w:t>
            </w:r>
          </w:p>
        </w:tc>
        <w:tc>
          <w:tcPr>
            <w:tcW w:w="0" w:type="dxa"/>
            <w:vAlign w:val="bottom"/>
          </w:tcPr>
          <w:p>
            <w:pPr>
              <w:spacing w:after="0"/>
              <w:rPr>
                <w:sz w:val="1"/>
                <w:szCs w:val="1"/>
                <w:color w:val="auto"/>
              </w:rPr>
            </w:pPr>
          </w:p>
        </w:tc>
      </w:tr>
      <w:tr>
        <w:trPr>
          <w:trHeight w:val="296"/>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minority interest and</w:t>
            </w:r>
          </w:p>
        </w:tc>
        <w:tc>
          <w:tcPr>
            <w:tcW w:w="3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860" w:type="dxa"/>
            <w:vAlign w:val="bottom"/>
            <w:vMerge w:val="continue"/>
          </w:tcPr>
          <w:p>
            <w:pPr>
              <w:spacing w:after="0"/>
              <w:rPr>
                <w:sz w:val="9"/>
                <w:szCs w:val="9"/>
                <w:color w:val="auto"/>
              </w:rPr>
            </w:pPr>
          </w:p>
        </w:tc>
        <w:tc>
          <w:tcPr>
            <w:tcW w:w="35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2,043</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2,750</w:t>
            </w:r>
          </w:p>
        </w:tc>
        <w:tc>
          <w:tcPr>
            <w:tcW w:w="0" w:type="dxa"/>
            <w:vAlign w:val="bottom"/>
          </w:tcPr>
          <w:p>
            <w:pPr>
              <w:spacing w:after="0"/>
              <w:rPr>
                <w:sz w:val="1"/>
                <w:szCs w:val="1"/>
                <w:color w:val="auto"/>
              </w:rPr>
            </w:pPr>
          </w:p>
        </w:tc>
      </w:tr>
      <w:tr>
        <w:trPr>
          <w:trHeight w:val="296"/>
        </w:trPr>
        <w:tc>
          <w:tcPr>
            <w:tcW w:w="3860" w:type="dxa"/>
            <w:vAlign w:val="bottom"/>
          </w:tcPr>
          <w:p>
            <w:pPr>
              <w:ind w:left="120"/>
              <w:spacing w:after="0"/>
              <w:rPr>
                <w:sz w:val="20"/>
                <w:szCs w:val="20"/>
                <w:color w:val="auto"/>
              </w:rPr>
            </w:pPr>
            <w:r>
              <w:rPr>
                <w:rFonts w:ascii="Courier New" w:cs="Courier New" w:eastAsia="Courier New" w:hAnsi="Courier New"/>
                <w:sz w:val="18"/>
                <w:szCs w:val="18"/>
                <w:color w:val="auto"/>
              </w:rPr>
              <w:t>income taxes</w:t>
            </w:r>
          </w:p>
        </w:tc>
        <w:tc>
          <w:tcPr>
            <w:tcW w:w="35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3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16</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860" w:type="dxa"/>
            <w:vAlign w:val="bottom"/>
            <w:vMerge w:val="continue"/>
          </w:tcPr>
          <w:p>
            <w:pPr>
              <w:spacing w:after="0"/>
              <w:rPr>
                <w:sz w:val="24"/>
                <w:szCs w:val="24"/>
                <w:color w:val="auto"/>
              </w:rPr>
            </w:pPr>
          </w:p>
        </w:tc>
        <w:tc>
          <w:tcPr>
            <w:tcW w:w="3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2,027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2,750</w:t>
            </w: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3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834</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1,127</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$ 1,193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$ 1,623</w:t>
            </w:r>
          </w:p>
        </w:tc>
        <w:tc>
          <w:tcPr>
            <w:tcW w:w="0" w:type="dxa"/>
            <w:vAlign w:val="bottom"/>
          </w:tcPr>
          <w:p>
            <w:pPr>
              <w:spacing w:after="0"/>
              <w:rPr>
                <w:sz w:val="1"/>
                <w:szCs w:val="1"/>
                <w:color w:val="auto"/>
              </w:rPr>
            </w:pPr>
          </w:p>
        </w:tc>
      </w:tr>
      <w:tr>
        <w:trPr>
          <w:trHeight w:val="296"/>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per common and common</w:t>
            </w:r>
          </w:p>
        </w:tc>
        <w:tc>
          <w:tcPr>
            <w:tcW w:w="3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860" w:type="dxa"/>
            <w:vAlign w:val="bottom"/>
            <w:vMerge w:val="continue"/>
          </w:tcPr>
          <w:p>
            <w:pPr>
              <w:spacing w:after="0"/>
              <w:rPr>
                <w:sz w:val="9"/>
                <w:szCs w:val="9"/>
                <w:color w:val="auto"/>
              </w:rPr>
            </w:pPr>
          </w:p>
        </w:tc>
        <w:tc>
          <w:tcPr>
            <w:tcW w:w="35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  0.08</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0.10</w:t>
            </w:r>
          </w:p>
        </w:tc>
        <w:tc>
          <w:tcPr>
            <w:tcW w:w="0" w:type="dxa"/>
            <w:vAlign w:val="bottom"/>
          </w:tcPr>
          <w:p>
            <w:pPr>
              <w:spacing w:after="0"/>
              <w:rPr>
                <w:sz w:val="1"/>
                <w:szCs w:val="1"/>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w:t>
            </w:r>
          </w:p>
        </w:tc>
        <w:tc>
          <w:tcPr>
            <w:tcW w:w="35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35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15,763</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16,002</w:t>
            </w:r>
          </w:p>
        </w:tc>
        <w:tc>
          <w:tcPr>
            <w:tcW w:w="0" w:type="dxa"/>
            <w:vAlign w:val="bottom"/>
          </w:tcPr>
          <w:p>
            <w:pPr>
              <w:spacing w:after="0"/>
              <w:rPr>
                <w:sz w:val="1"/>
                <w:szCs w:val="1"/>
                <w:color w:val="auto"/>
              </w:rPr>
            </w:pPr>
          </w:p>
        </w:tc>
      </w:tr>
      <w:tr>
        <w:trPr>
          <w:trHeight w:val="296"/>
        </w:trPr>
        <w:tc>
          <w:tcPr>
            <w:tcW w:w="3860" w:type="dxa"/>
            <w:vAlign w:val="bottom"/>
          </w:tcPr>
          <w:p>
            <w:pPr>
              <w:ind w:left="120"/>
              <w:spacing w:after="0"/>
              <w:rPr>
                <w:sz w:val="20"/>
                <w:szCs w:val="20"/>
                <w:color w:val="auto"/>
              </w:rPr>
            </w:pPr>
            <w:r>
              <w:rPr>
                <w:rFonts w:ascii="Courier New" w:cs="Courier New" w:eastAsia="Courier New" w:hAnsi="Courier New"/>
                <w:sz w:val="18"/>
                <w:szCs w:val="18"/>
                <w:color w:val="auto"/>
              </w:rPr>
              <w:t>equivalent shares outstanding</w:t>
            </w:r>
          </w:p>
        </w:tc>
        <w:tc>
          <w:tcPr>
            <w:tcW w:w="35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380" w:right="2099" w:hanging="1895"/>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487"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CONSOLIDATED STATEMENTS OF INCOME</w:t>
      </w:r>
    </w:p>
    <w:p>
      <w:pPr>
        <w:ind w:left="2320"/>
        <w:spacing w:after="0" w:line="238" w:lineRule="auto"/>
        <w:rPr>
          <w:sz w:val="20"/>
          <w:szCs w:val="20"/>
          <w:color w:val="auto"/>
        </w:rPr>
      </w:pPr>
      <w:r>
        <w:rPr>
          <w:rFonts w:ascii="Courier New" w:cs="Courier New" w:eastAsia="Courier New" w:hAnsi="Courier New"/>
          <w:sz w:val="18"/>
          <w:szCs w:val="18"/>
          <w:color w:val="auto"/>
        </w:rPr>
        <w:t>(In thousands, except per share data)</w:t>
      </w:r>
    </w:p>
    <w:tbl>
      <w:tblPr>
        <w:tblLayout w:type="fixed"/>
        <w:tblInd w:w="0" w:type="dxa"/>
        <w:tblCellMar>
          <w:top w:w="0" w:type="dxa"/>
          <w:left w:w="0" w:type="dxa"/>
          <w:bottom w:w="0" w:type="dxa"/>
          <w:right w:w="0" w:type="dxa"/>
        </w:tblCellMar>
      </w:tblPr>
      <w:tr>
        <w:trPr>
          <w:trHeight w:val="296"/>
        </w:trPr>
        <w:tc>
          <w:tcPr>
            <w:tcW w:w="3800" w:type="dxa"/>
            <w:vAlign w:val="bottom"/>
          </w:tcPr>
          <w:p>
            <w:pPr>
              <w:spacing w:after="0"/>
              <w:rPr>
                <w:sz w:val="24"/>
                <w:szCs w:val="24"/>
                <w:color w:val="auto"/>
              </w:rPr>
            </w:pPr>
          </w:p>
        </w:tc>
        <w:tc>
          <w:tcPr>
            <w:tcW w:w="2900" w:type="dxa"/>
            <w:vAlign w:val="bottom"/>
          </w:tcPr>
          <w:p>
            <w:pPr>
              <w:jc w:val="right"/>
              <w:ind w:right="1652"/>
              <w:spacing w:after="0"/>
              <w:rPr>
                <w:sz w:val="20"/>
                <w:szCs w:val="20"/>
                <w:color w:val="auto"/>
              </w:rPr>
            </w:pPr>
            <w:r>
              <w:rPr>
                <w:rFonts w:ascii="Courier New" w:cs="Courier New" w:eastAsia="Courier New" w:hAnsi="Courier New"/>
                <w:sz w:val="18"/>
                <w:szCs w:val="18"/>
                <w:color w:val="auto"/>
                <w:w w:val="95"/>
              </w:rPr>
              <w:t>(Unaudited)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00" w:type="dxa"/>
            <w:vAlign w:val="bottom"/>
          </w:tcPr>
          <w:p>
            <w:pPr>
              <w:spacing w:after="0"/>
              <w:rPr>
                <w:sz w:val="24"/>
                <w:szCs w:val="24"/>
                <w:color w:val="auto"/>
              </w:rPr>
            </w:pPr>
          </w:p>
        </w:tc>
        <w:tc>
          <w:tcPr>
            <w:tcW w:w="410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Six Months Ended</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2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July 29,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30,</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2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03"/>
        </w:trPr>
        <w:tc>
          <w:tcPr>
            <w:tcW w:w="3800" w:type="dxa"/>
            <w:vAlign w:val="bottom"/>
            <w:vMerge w:val="restart"/>
          </w:tcPr>
          <w:p>
            <w:pPr>
              <w:spacing w:after="0"/>
              <w:rPr>
                <w:sz w:val="20"/>
                <w:szCs w:val="20"/>
                <w:color w:val="auto"/>
              </w:rPr>
            </w:pPr>
            <w:r>
              <w:rPr>
                <w:rFonts w:ascii="Courier New" w:cs="Courier New" w:eastAsia="Courier New" w:hAnsi="Courier New"/>
                <w:sz w:val="18"/>
                <w:szCs w:val="18"/>
                <w:color w:val="auto"/>
              </w:rPr>
              <w:t>Sales</w:t>
            </w: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vMerge w:val="continue"/>
          </w:tcPr>
          <w:p>
            <w:pPr>
              <w:spacing w:after="0"/>
              <w:rPr>
                <w:sz w:val="17"/>
                <w:szCs w:val="17"/>
                <w:color w:val="auto"/>
              </w:rPr>
            </w:pP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$124,329</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$105,350</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occupancy</w:t>
            </w: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88,255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74,747</w:t>
            </w:r>
          </w:p>
        </w:tc>
        <w:tc>
          <w:tcPr>
            <w:tcW w:w="0" w:type="dxa"/>
            <w:vAlign w:val="bottom"/>
          </w:tcPr>
          <w:p>
            <w:pPr>
              <w:spacing w:after="0"/>
              <w:rPr>
                <w:sz w:val="1"/>
                <w:szCs w:val="1"/>
                <w:color w:val="auto"/>
              </w:rPr>
            </w:pPr>
          </w:p>
        </w:tc>
      </w:tr>
      <w:tr>
        <w:trPr>
          <w:trHeight w:val="203"/>
        </w:trPr>
        <w:tc>
          <w:tcPr>
            <w:tcW w:w="3800" w:type="dxa"/>
            <w:vAlign w:val="bottom"/>
            <w:vMerge w:val="restart"/>
          </w:tcPr>
          <w:p>
            <w:pPr>
              <w:spacing w:after="0"/>
              <w:rPr>
                <w:sz w:val="20"/>
                <w:szCs w:val="20"/>
                <w:color w:val="auto"/>
              </w:rPr>
            </w:pPr>
            <w:r>
              <w:rPr>
                <w:rFonts w:ascii="Courier New" w:cs="Courier New" w:eastAsia="Courier New" w:hAnsi="Courier New"/>
                <w:sz w:val="18"/>
                <w:szCs w:val="18"/>
                <w:color w:val="auto"/>
              </w:rPr>
              <w:t>Gross profit</w:t>
            </w: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800" w:type="dxa"/>
            <w:vAlign w:val="bottom"/>
            <w:vMerge w:val="continue"/>
          </w:tcPr>
          <w:p>
            <w:pPr>
              <w:spacing w:after="0"/>
              <w:rPr>
                <w:sz w:val="24"/>
                <w:szCs w:val="24"/>
                <w:color w:val="auto"/>
              </w:rPr>
            </w:pPr>
          </w:p>
        </w:tc>
        <w:tc>
          <w:tcPr>
            <w:tcW w:w="2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36,074</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30,603</w:t>
            </w:r>
          </w:p>
        </w:tc>
        <w:tc>
          <w:tcPr>
            <w:tcW w:w="0" w:type="dxa"/>
            <w:vAlign w:val="bottom"/>
          </w:tcPr>
          <w:p>
            <w:pPr>
              <w:spacing w:after="0"/>
              <w:rPr>
                <w:sz w:val="1"/>
                <w:szCs w:val="1"/>
                <w:color w:val="auto"/>
              </w:rPr>
            </w:pPr>
          </w:p>
        </w:tc>
      </w:tr>
      <w:tr>
        <w:trPr>
          <w:trHeight w:val="311"/>
        </w:trPr>
        <w:tc>
          <w:tcPr>
            <w:tcW w:w="380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9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30,115</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24,513</w:t>
            </w:r>
          </w:p>
        </w:tc>
        <w:tc>
          <w:tcPr>
            <w:tcW w:w="0" w:type="dxa"/>
            <w:vAlign w:val="bottom"/>
          </w:tcPr>
          <w:p>
            <w:pPr>
              <w:spacing w:after="0"/>
              <w:rPr>
                <w:sz w:val="1"/>
                <w:szCs w:val="1"/>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Selling, general and administrative</w:t>
            </w:r>
          </w:p>
        </w:tc>
        <w:tc>
          <w:tcPr>
            <w:tcW w:w="29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charges</w:t>
            </w:r>
          </w:p>
        </w:tc>
        <w:tc>
          <w:tcPr>
            <w:tcW w:w="2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3,947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3,346</w:t>
            </w:r>
          </w:p>
        </w:tc>
        <w:tc>
          <w:tcPr>
            <w:tcW w:w="0" w:type="dxa"/>
            <w:vAlign w:val="bottom"/>
          </w:tcPr>
          <w:p>
            <w:pPr>
              <w:spacing w:after="0"/>
              <w:rPr>
                <w:sz w:val="1"/>
                <w:szCs w:val="1"/>
                <w:color w:val="auto"/>
              </w:rPr>
            </w:pPr>
          </w:p>
        </w:tc>
      </w:tr>
      <w:tr>
        <w:trPr>
          <w:trHeight w:val="203"/>
        </w:trPr>
        <w:tc>
          <w:tcPr>
            <w:tcW w:w="3800" w:type="dxa"/>
            <w:vAlign w:val="bottom"/>
            <w:vMerge w:val="restart"/>
          </w:tcPr>
          <w:p>
            <w:pPr>
              <w:spacing w:after="0"/>
              <w:rPr>
                <w:sz w:val="20"/>
                <w:szCs w:val="20"/>
                <w:color w:val="auto"/>
              </w:rPr>
            </w:pPr>
            <w:r>
              <w:rPr>
                <w:rFonts w:ascii="Courier New" w:cs="Courier New" w:eastAsia="Courier New" w:hAnsi="Courier New"/>
                <w:sz w:val="18"/>
                <w:szCs w:val="18"/>
                <w:color w:val="auto"/>
              </w:rPr>
              <w:t>Total expenses</w:t>
            </w: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vMerge w:val="continue"/>
          </w:tcPr>
          <w:p>
            <w:pPr>
              <w:spacing w:after="0"/>
              <w:rPr>
                <w:sz w:val="17"/>
                <w:szCs w:val="17"/>
                <w:color w:val="auto"/>
              </w:rPr>
            </w:pP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31,862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27,859</w:t>
            </w:r>
          </w:p>
        </w:tc>
        <w:tc>
          <w:tcPr>
            <w:tcW w:w="0" w:type="dxa"/>
            <w:vAlign w:val="bottom"/>
          </w:tcPr>
          <w:p>
            <w:pPr>
              <w:spacing w:after="0"/>
              <w:rPr>
                <w:sz w:val="1"/>
                <w:szCs w:val="1"/>
                <w:color w:val="auto"/>
              </w:rPr>
            </w:pPr>
          </w:p>
        </w:tc>
      </w:tr>
      <w:tr>
        <w:trPr>
          <w:trHeight w:val="203"/>
        </w:trPr>
        <w:tc>
          <w:tcPr>
            <w:tcW w:w="380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income</w:t>
            </w: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800" w:type="dxa"/>
            <w:vAlign w:val="bottom"/>
            <w:vMerge w:val="continue"/>
          </w:tcPr>
          <w:p>
            <w:pPr>
              <w:spacing w:after="0"/>
              <w:rPr>
                <w:sz w:val="24"/>
                <w:szCs w:val="24"/>
                <w:color w:val="auto"/>
              </w:rPr>
            </w:pPr>
          </w:p>
        </w:tc>
        <w:tc>
          <w:tcPr>
            <w:tcW w:w="2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4,212</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2,744</w:t>
            </w:r>
          </w:p>
        </w:tc>
        <w:tc>
          <w:tcPr>
            <w:tcW w:w="0" w:type="dxa"/>
            <w:vAlign w:val="bottom"/>
          </w:tcPr>
          <w:p>
            <w:pPr>
              <w:spacing w:after="0"/>
              <w:rPr>
                <w:sz w:val="1"/>
                <w:szCs w:val="1"/>
                <w:color w:val="auto"/>
              </w:rPr>
            </w:pPr>
          </w:p>
        </w:tc>
      </w:tr>
      <w:tr>
        <w:trPr>
          <w:trHeight w:val="311"/>
        </w:trPr>
        <w:tc>
          <w:tcPr>
            <w:tcW w:w="380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2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87</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582</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723</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757</w:t>
            </w:r>
          </w:p>
        </w:tc>
        <w:tc>
          <w:tcPr>
            <w:tcW w:w="0" w:type="dxa"/>
            <w:vAlign w:val="bottom"/>
          </w:tcPr>
          <w:p>
            <w:pPr>
              <w:spacing w:after="0"/>
              <w:rPr>
                <w:sz w:val="1"/>
                <w:szCs w:val="1"/>
                <w:color w:val="auto"/>
              </w:rPr>
            </w:pPr>
          </w:p>
        </w:tc>
      </w:tr>
      <w:tr>
        <w:trPr>
          <w:trHeight w:val="296"/>
        </w:trPr>
        <w:tc>
          <w:tcPr>
            <w:tcW w:w="380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Income before minority interest and</w:t>
            </w:r>
          </w:p>
        </w:tc>
        <w:tc>
          <w:tcPr>
            <w:tcW w:w="2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800" w:type="dxa"/>
            <w:vAlign w:val="bottom"/>
            <w:vMerge w:val="continue"/>
          </w:tcPr>
          <w:p>
            <w:pPr>
              <w:spacing w:after="0"/>
              <w:rPr>
                <w:sz w:val="9"/>
                <w:szCs w:val="9"/>
                <w:color w:val="auto"/>
              </w:rPr>
            </w:pPr>
          </w:p>
        </w:tc>
        <w:tc>
          <w:tcPr>
            <w:tcW w:w="29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4,848</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2,919</w:t>
            </w:r>
          </w:p>
        </w:tc>
        <w:tc>
          <w:tcPr>
            <w:tcW w:w="0" w:type="dxa"/>
            <w:vAlign w:val="bottom"/>
          </w:tcPr>
          <w:p>
            <w:pPr>
              <w:spacing w:after="0"/>
              <w:rPr>
                <w:sz w:val="1"/>
                <w:szCs w:val="1"/>
                <w:color w:val="auto"/>
              </w:rPr>
            </w:pPr>
          </w:p>
        </w:tc>
      </w:tr>
      <w:tr>
        <w:trPr>
          <w:trHeight w:val="296"/>
        </w:trPr>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income taxes</w:t>
            </w:r>
          </w:p>
        </w:tc>
        <w:tc>
          <w:tcPr>
            <w:tcW w:w="29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2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106</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800" w:type="dxa"/>
            <w:vAlign w:val="bottom"/>
            <w:vMerge w:val="continue"/>
          </w:tcPr>
          <w:p>
            <w:pPr>
              <w:spacing w:after="0"/>
              <w:rPr>
                <w:sz w:val="24"/>
                <w:szCs w:val="24"/>
                <w:color w:val="auto"/>
              </w:rPr>
            </w:pPr>
          </w:p>
        </w:tc>
        <w:tc>
          <w:tcPr>
            <w:tcW w:w="2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4,742</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2,919</w:t>
            </w:r>
          </w:p>
        </w:tc>
        <w:tc>
          <w:tcPr>
            <w:tcW w:w="0" w:type="dxa"/>
            <w:vAlign w:val="bottom"/>
          </w:tcPr>
          <w:p>
            <w:pPr>
              <w:spacing w:after="0"/>
              <w:rPr>
                <w:sz w:val="1"/>
                <w:szCs w:val="1"/>
                <w:color w:val="auto"/>
              </w:rPr>
            </w:pPr>
          </w:p>
        </w:tc>
      </w:tr>
      <w:tr>
        <w:trPr>
          <w:trHeight w:val="311"/>
        </w:trPr>
        <w:tc>
          <w:tcPr>
            <w:tcW w:w="38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1,952</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1,196</w:t>
            </w:r>
          </w:p>
        </w:tc>
        <w:tc>
          <w:tcPr>
            <w:tcW w:w="0" w:type="dxa"/>
            <w:vAlign w:val="bottom"/>
          </w:tcPr>
          <w:p>
            <w:pPr>
              <w:spacing w:after="0"/>
              <w:rPr>
                <w:sz w:val="1"/>
                <w:szCs w:val="1"/>
                <w:color w:val="auto"/>
              </w:rPr>
            </w:pPr>
          </w:p>
        </w:tc>
      </w:tr>
      <w:tr>
        <w:trPr>
          <w:trHeight w:val="203"/>
        </w:trPr>
        <w:tc>
          <w:tcPr>
            <w:tcW w:w="380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vMerge w:val="continue"/>
          </w:tcPr>
          <w:p>
            <w:pPr>
              <w:spacing w:after="0"/>
              <w:rPr>
                <w:sz w:val="17"/>
                <w:szCs w:val="17"/>
                <w:color w:val="auto"/>
              </w:rPr>
            </w:pP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$ 2,790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$ 1,723</w:t>
            </w:r>
          </w:p>
        </w:tc>
        <w:tc>
          <w:tcPr>
            <w:tcW w:w="0" w:type="dxa"/>
            <w:vAlign w:val="bottom"/>
          </w:tcPr>
          <w:p>
            <w:pPr>
              <w:spacing w:after="0"/>
              <w:rPr>
                <w:sz w:val="1"/>
                <w:szCs w:val="1"/>
                <w:color w:val="auto"/>
              </w:rPr>
            </w:pPr>
          </w:p>
        </w:tc>
      </w:tr>
      <w:tr>
        <w:trPr>
          <w:trHeight w:val="296"/>
        </w:trPr>
        <w:tc>
          <w:tcPr>
            <w:tcW w:w="380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per common and common</w:t>
            </w:r>
          </w:p>
        </w:tc>
        <w:tc>
          <w:tcPr>
            <w:tcW w:w="2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800" w:type="dxa"/>
            <w:vAlign w:val="bottom"/>
            <w:vMerge w:val="continue"/>
          </w:tcPr>
          <w:p>
            <w:pPr>
              <w:spacing w:after="0"/>
              <w:rPr>
                <w:sz w:val="9"/>
                <w:szCs w:val="9"/>
                <w:color w:val="auto"/>
              </w:rPr>
            </w:pPr>
          </w:p>
        </w:tc>
        <w:tc>
          <w:tcPr>
            <w:tcW w:w="29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  0.18</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0.11</w:t>
            </w:r>
          </w:p>
        </w:tc>
        <w:tc>
          <w:tcPr>
            <w:tcW w:w="0" w:type="dxa"/>
            <w:vAlign w:val="bottom"/>
          </w:tcPr>
          <w:p>
            <w:pPr>
              <w:spacing w:after="0"/>
              <w:rPr>
                <w:sz w:val="1"/>
                <w:szCs w:val="1"/>
                <w:color w:val="auto"/>
              </w:rPr>
            </w:pPr>
          </w:p>
        </w:tc>
      </w:tr>
      <w:tr>
        <w:trPr>
          <w:trHeight w:val="296"/>
        </w:trPr>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equivalent share</w:t>
            </w:r>
          </w:p>
        </w:tc>
        <w:tc>
          <w:tcPr>
            <w:tcW w:w="29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0" w:type="dxa"/>
            <w:vAlign w:val="bottom"/>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29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15,760</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15,987</w:t>
            </w:r>
          </w:p>
        </w:tc>
        <w:tc>
          <w:tcPr>
            <w:tcW w:w="0" w:type="dxa"/>
            <w:vAlign w:val="bottom"/>
          </w:tcPr>
          <w:p>
            <w:pPr>
              <w:spacing w:after="0"/>
              <w:rPr>
                <w:sz w:val="1"/>
                <w:szCs w:val="1"/>
                <w:color w:val="auto"/>
              </w:rPr>
            </w:pPr>
          </w:p>
        </w:tc>
      </w:tr>
      <w:tr>
        <w:trPr>
          <w:trHeight w:val="296"/>
        </w:trPr>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equivalent shares outstanding</w:t>
            </w:r>
          </w:p>
        </w:tc>
        <w:tc>
          <w:tcPr>
            <w:tcW w:w="29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spacing w:after="0" w:line="31"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488"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CONSOLIDATED STATEMENTS OF INCOME</w:t>
      </w:r>
    </w:p>
    <w:p>
      <w:pPr>
        <w:jc w:val="center"/>
        <w:ind w:right="145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jc w:val="center"/>
        <w:ind w:right="1459"/>
        <w:spacing w:after="0"/>
        <w:rPr>
          <w:sz w:val="20"/>
          <w:szCs w:val="20"/>
          <w:color w:val="auto"/>
        </w:rPr>
      </w:pPr>
      <w:r>
        <w:rPr>
          <w:rFonts w:ascii="Courier New" w:cs="Courier New" w:eastAsia="Courier New" w:hAnsi="Courier New"/>
          <w:sz w:val="18"/>
          <w:szCs w:val="18"/>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3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Twelve Months Ended</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July 29,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July 30,</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rPr>
              <w:t>Sales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$284,889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$250,975</w:t>
            </w:r>
          </w:p>
        </w:tc>
        <w:tc>
          <w:tcPr>
            <w:tcW w:w="0" w:type="dxa"/>
            <w:vAlign w:val="bottom"/>
          </w:tcPr>
          <w:p>
            <w:pPr>
              <w:spacing w:after="0"/>
              <w:rPr>
                <w:sz w:val="1"/>
                <w:szCs w:val="1"/>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occupancy</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195,292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172,384</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rPr>
              <w:t>Gross profit</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540" w:type="dxa"/>
            <w:vAlign w:val="bottom"/>
            <w:vMerge w:val="continue"/>
          </w:tcPr>
          <w:p>
            <w:pPr>
              <w:spacing w:after="0"/>
              <w:rPr>
                <w:sz w:val="24"/>
                <w:szCs w:val="24"/>
                <w:color w:val="auto"/>
              </w:rPr>
            </w:pP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89,597</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78,591</w:t>
            </w:r>
          </w:p>
        </w:tc>
        <w:tc>
          <w:tcPr>
            <w:tcW w:w="0" w:type="dxa"/>
            <w:vAlign w:val="bottom"/>
          </w:tcPr>
          <w:p>
            <w:pPr>
              <w:spacing w:after="0"/>
              <w:rPr>
                <w:sz w:val="1"/>
                <w:szCs w:val="1"/>
                <w:color w:val="auto"/>
              </w:rPr>
            </w:pPr>
          </w:p>
        </w:tc>
      </w:tr>
      <w:tr>
        <w:trPr>
          <w:trHeight w:val="311"/>
        </w:trPr>
        <w:tc>
          <w:tcPr>
            <w:tcW w:w="454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58,518</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49,028</w:t>
            </w:r>
          </w:p>
        </w:tc>
        <w:tc>
          <w:tcPr>
            <w:tcW w:w="0" w:type="dxa"/>
            <w:vAlign w:val="bottom"/>
          </w:tcPr>
          <w:p>
            <w:pPr>
              <w:spacing w:after="0"/>
              <w:rPr>
                <w:sz w:val="1"/>
                <w:szCs w:val="1"/>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0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charges</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w:t>
            </w:r>
          </w:p>
        </w:tc>
        <w:tc>
          <w:tcPr>
            <w:tcW w:w="0" w:type="dxa"/>
            <w:vAlign w:val="bottom"/>
          </w:tcPr>
          <w:p>
            <w:pPr>
              <w:spacing w:after="0"/>
              <w:rPr>
                <w:sz w:val="1"/>
                <w:szCs w:val="1"/>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7,480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6,526</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rPr>
              <w:t>Total expenses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60,598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70,554</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income</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540" w:type="dxa"/>
            <w:vAlign w:val="bottom"/>
            <w:vMerge w:val="continue"/>
          </w:tcPr>
          <w:p>
            <w:pPr>
              <w:spacing w:after="0"/>
              <w:rPr>
                <w:sz w:val="24"/>
                <w:szCs w:val="24"/>
                <w:color w:val="auto"/>
              </w:rPr>
            </w:pP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28,999</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8,037</w:t>
            </w:r>
          </w:p>
        </w:tc>
        <w:tc>
          <w:tcPr>
            <w:tcW w:w="0" w:type="dxa"/>
            <w:vAlign w:val="bottom"/>
          </w:tcPr>
          <w:p>
            <w:pPr>
              <w:spacing w:after="0"/>
              <w:rPr>
                <w:sz w:val="1"/>
                <w:szCs w:val="1"/>
                <w:color w:val="auto"/>
              </w:rPr>
            </w:pPr>
          </w:p>
        </w:tc>
      </w:tr>
      <w:tr>
        <w:trPr>
          <w:trHeight w:val="311"/>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1,258</w:t>
            </w:r>
          </w:p>
        </w:tc>
        <w:tc>
          <w:tcPr>
            <w:tcW w:w="0" w:type="dxa"/>
            <w:vAlign w:val="bottom"/>
          </w:tcPr>
          <w:p>
            <w:pPr>
              <w:spacing w:after="0"/>
              <w:rPr>
                <w:sz w:val="1"/>
                <w:szCs w:val="1"/>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1,470</w:t>
            </w:r>
          </w:p>
        </w:tc>
        <w:tc>
          <w:tcPr>
            <w:tcW w:w="0" w:type="dxa"/>
            <w:vAlign w:val="bottom"/>
          </w:tcPr>
          <w:p>
            <w:pPr>
              <w:spacing w:after="0"/>
              <w:rPr>
                <w:sz w:val="1"/>
                <w:szCs w:val="1"/>
                <w:color w:val="auto"/>
              </w:rPr>
            </w:pPr>
          </w:p>
        </w:tc>
      </w:tr>
      <w:tr>
        <w:trPr>
          <w:trHeight w:val="296"/>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minority interest and</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540" w:type="dxa"/>
            <w:vAlign w:val="bottom"/>
            <w:vMerge w:val="continue"/>
          </w:tcPr>
          <w:p>
            <w:pPr>
              <w:spacing w:after="0"/>
              <w:rPr>
                <w:sz w:val="9"/>
                <w:szCs w:val="9"/>
                <w:color w:val="auto"/>
              </w:rPr>
            </w:pPr>
          </w:p>
        </w:tc>
        <w:tc>
          <w:tcPr>
            <w:tcW w:w="2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30,328</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8,249</w:t>
            </w:r>
          </w:p>
        </w:tc>
        <w:tc>
          <w:tcPr>
            <w:tcW w:w="0" w:type="dxa"/>
            <w:vAlign w:val="bottom"/>
          </w:tcPr>
          <w:p>
            <w:pPr>
              <w:spacing w:after="0"/>
              <w:rPr>
                <w:sz w:val="1"/>
                <w:szCs w:val="1"/>
                <w:color w:val="auto"/>
              </w:rPr>
            </w:pPr>
          </w:p>
        </w:tc>
      </w:tr>
      <w:tr>
        <w:trPr>
          <w:trHeight w:val="296"/>
        </w:trPr>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income taxes</w:t>
            </w:r>
          </w:p>
        </w:tc>
        <w:tc>
          <w:tcPr>
            <w:tcW w:w="20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4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106</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540" w:type="dxa"/>
            <w:vAlign w:val="bottom"/>
            <w:vMerge w:val="continue"/>
          </w:tcPr>
          <w:p>
            <w:pPr>
              <w:spacing w:after="0"/>
              <w:rPr>
                <w:sz w:val="24"/>
                <w:szCs w:val="24"/>
                <w:color w:val="auto"/>
              </w:rPr>
            </w:pP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30,222</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8,249</w:t>
            </w:r>
          </w:p>
        </w:tc>
        <w:tc>
          <w:tcPr>
            <w:tcW w:w="0" w:type="dxa"/>
            <w:vAlign w:val="bottom"/>
          </w:tcPr>
          <w:p>
            <w:pPr>
              <w:spacing w:after="0"/>
              <w:rPr>
                <w:sz w:val="1"/>
                <w:szCs w:val="1"/>
                <w:color w:val="auto"/>
              </w:rPr>
            </w:pPr>
          </w:p>
        </w:tc>
      </w:tr>
      <w:tr>
        <w:trPr>
          <w:trHeight w:val="311"/>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12,252</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3,340</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$17,970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$ 4,909</w:t>
            </w:r>
          </w:p>
        </w:tc>
        <w:tc>
          <w:tcPr>
            <w:tcW w:w="0" w:type="dxa"/>
            <w:vAlign w:val="bottom"/>
          </w:tcPr>
          <w:p>
            <w:pPr>
              <w:spacing w:after="0"/>
              <w:rPr>
                <w:sz w:val="1"/>
                <w:szCs w:val="1"/>
                <w:color w:val="auto"/>
              </w:rPr>
            </w:pPr>
          </w:p>
        </w:tc>
      </w:tr>
      <w:tr>
        <w:trPr>
          <w:trHeight w:val="296"/>
        </w:trPr>
        <w:tc>
          <w:tcPr>
            <w:tcW w:w="4540" w:type="dxa"/>
            <w:vAlign w:val="bottom"/>
          </w:tcPr>
          <w:p>
            <w:pPr>
              <w:spacing w:after="0"/>
              <w:rPr>
                <w:sz w:val="24"/>
                <w:szCs w:val="24"/>
                <w:color w:val="auto"/>
              </w:rPr>
            </w:pP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income per common and common</w:t>
            </w:r>
          </w:p>
        </w:tc>
        <w:tc>
          <w:tcPr>
            <w:tcW w:w="2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  1.14</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0.31</w:t>
            </w:r>
          </w:p>
        </w:tc>
        <w:tc>
          <w:tcPr>
            <w:tcW w:w="0" w:type="dxa"/>
            <w:vAlign w:val="bottom"/>
          </w:tcPr>
          <w:p>
            <w:pPr>
              <w:spacing w:after="0"/>
              <w:rPr>
                <w:sz w:val="1"/>
                <w:szCs w:val="1"/>
                <w:color w:val="auto"/>
              </w:rPr>
            </w:pPr>
          </w:p>
        </w:tc>
      </w:tr>
      <w:tr>
        <w:trPr>
          <w:trHeight w:val="296"/>
        </w:trPr>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equivalent share</w:t>
            </w:r>
          </w:p>
        </w:tc>
        <w:tc>
          <w:tcPr>
            <w:tcW w:w="20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40" w:type="dxa"/>
            <w:vAlign w:val="bottom"/>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2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15,812</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15,968</w:t>
            </w:r>
          </w:p>
        </w:tc>
        <w:tc>
          <w:tcPr>
            <w:tcW w:w="0" w:type="dxa"/>
            <w:vAlign w:val="bottom"/>
          </w:tcPr>
          <w:p>
            <w:pPr>
              <w:spacing w:after="0"/>
              <w:rPr>
                <w:sz w:val="1"/>
                <w:szCs w:val="1"/>
                <w:color w:val="auto"/>
              </w:rPr>
            </w:pPr>
          </w:p>
        </w:tc>
      </w:tr>
      <w:tr>
        <w:trPr>
          <w:trHeight w:val="296"/>
        </w:trPr>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equivalent shares outstanding</w:t>
            </w:r>
          </w:p>
        </w:tc>
        <w:tc>
          <w:tcPr>
            <w:tcW w:w="20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6"/>
          <w:szCs w:val="16"/>
          <w:color w:val="auto"/>
        </w:rPr>
        <w:t>The accompanying notes are an integral part of the consolidated</w:t>
      </w:r>
    </w:p>
    <w:p>
      <w:pPr>
        <w:spacing w:after="0" w:line="53"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488" w:right="1440" w:bottom="144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STATEMENTS OF CASH FLOWS</w:t>
      </w:r>
    </w:p>
    <w:p>
      <w:pPr>
        <w:ind w:left="3160"/>
        <w:spacing w:after="0"/>
        <w:rPr>
          <w:sz w:val="20"/>
          <w:szCs w:val="20"/>
          <w:color w:val="auto"/>
        </w:rPr>
      </w:pPr>
      <w:r>
        <w:rPr>
          <w:rFonts w:ascii="Courier New" w:cs="Courier New" w:eastAsia="Courier New" w:hAnsi="Courier New"/>
          <w:sz w:val="18"/>
          <w:szCs w:val="18"/>
          <w:color w:val="auto"/>
        </w:rPr>
        <w:t>(In thousands-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Six Months Ended</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July 29,</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July 30,</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6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1994</w:t>
            </w:r>
          </w:p>
        </w:tc>
        <w:tc>
          <w:tcPr>
            <w:tcW w:w="0" w:type="dxa"/>
            <w:vAlign w:val="bottom"/>
          </w:tcPr>
          <w:p>
            <w:pPr>
              <w:spacing w:after="0"/>
              <w:rPr>
                <w:sz w:val="1"/>
                <w:szCs w:val="1"/>
                <w:color w:val="auto"/>
              </w:rPr>
            </w:pPr>
          </w:p>
        </w:tc>
      </w:tr>
      <w:tr>
        <w:trPr>
          <w:trHeight w:val="296"/>
        </w:trPr>
        <w:tc>
          <w:tcPr>
            <w:tcW w:w="5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4"/>
              </w:rPr>
              <w:t>--------</w:t>
            </w:r>
          </w:p>
        </w:tc>
        <w:tc>
          <w:tcPr>
            <w:tcW w:w="14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73"/>
              </w:rPr>
              <w:t>$</w:t>
            </w:r>
          </w:p>
        </w:tc>
        <w:tc>
          <w:tcPr>
            <w:tcW w:w="100" w:type="dxa"/>
            <w:vAlign w:val="bottom"/>
          </w:tcPr>
          <w:p>
            <w:pPr>
              <w:spacing w:after="0"/>
              <w:rPr>
                <w:sz w:val="24"/>
                <w:szCs w:val="24"/>
                <w:color w:val="auto"/>
              </w:rPr>
            </w:pPr>
          </w:p>
        </w:tc>
        <w:tc>
          <w:tcPr>
            <w:tcW w:w="122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w w:val="92"/>
              </w:rPr>
              <w:t>2,790</w:t>
            </w:r>
          </w:p>
        </w:tc>
        <w:tc>
          <w:tcPr>
            <w:tcW w:w="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1,723</w:t>
            </w:r>
          </w:p>
        </w:tc>
        <w:tc>
          <w:tcPr>
            <w:tcW w:w="0" w:type="dxa"/>
            <w:vAlign w:val="bottom"/>
          </w:tcPr>
          <w:p>
            <w:pPr>
              <w:spacing w:after="0"/>
              <w:rPr>
                <w:sz w:val="1"/>
                <w:szCs w:val="1"/>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w w:val="92"/>
              </w:rPr>
              <w:t>3,947</w:t>
            </w:r>
          </w:p>
        </w:tc>
        <w:tc>
          <w:tcPr>
            <w:tcW w:w="68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3,346</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106</w:t>
            </w:r>
          </w:p>
        </w:tc>
        <w:tc>
          <w:tcPr>
            <w:tcW w:w="6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from the sale of investments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48</w:t>
            </w:r>
          </w:p>
        </w:tc>
        <w:tc>
          <w:tcPr>
            <w:tcW w:w="6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380" w:type="dxa"/>
            <w:vAlign w:val="bottom"/>
          </w:tcPr>
          <w:p>
            <w:pPr>
              <w:ind w:left="540"/>
              <w:spacing w:after="0"/>
              <w:rPr>
                <w:sz w:val="20"/>
                <w:szCs w:val="20"/>
                <w:color w:val="auto"/>
              </w:rPr>
            </w:pPr>
            <w:r>
              <w:rPr>
                <w:rFonts w:ascii="Courier New" w:cs="Courier New" w:eastAsia="Courier New" w:hAnsi="Courier New"/>
                <w:sz w:val="18"/>
                <w:szCs w:val="18"/>
                <w:color w:val="auto"/>
              </w:rPr>
              <w:t>Loss from disposal of property and equipment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212</w:t>
            </w:r>
          </w:p>
        </w:tc>
        <w:tc>
          <w:tcPr>
            <w:tcW w:w="68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270</w:t>
            </w:r>
          </w:p>
        </w:tc>
        <w:tc>
          <w:tcPr>
            <w:tcW w:w="0" w:type="dxa"/>
            <w:vAlign w:val="bottom"/>
          </w:tcPr>
          <w:p>
            <w:pPr>
              <w:spacing w:after="0"/>
              <w:rPr>
                <w:sz w:val="1"/>
                <w:szCs w:val="1"/>
                <w:color w:val="auto"/>
              </w:rPr>
            </w:pPr>
          </w:p>
        </w:tc>
      </w:tr>
      <w:tr>
        <w:trPr>
          <w:trHeight w:val="311"/>
        </w:trPr>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net of acquisition: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w w:val="92"/>
              </w:rPr>
              <w:t>3,267</w:t>
            </w:r>
          </w:p>
        </w:tc>
        <w:tc>
          <w:tcPr>
            <w:tcW w:w="68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107</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1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(6,914)</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(10,624)</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(169)</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604</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458</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(1,374)</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spacing w:after="0"/>
              <w:rPr>
                <w:sz w:val="17"/>
                <w:szCs w:val="17"/>
                <w:color w:val="auto"/>
              </w:rPr>
            </w:pPr>
          </w:p>
        </w:tc>
        <w:tc>
          <w:tcPr>
            <w:tcW w:w="1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(3,301)</w:t>
            </w:r>
          </w:p>
        </w:tc>
        <w:tc>
          <w:tcPr>
            <w:tcW w:w="6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6,583</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Restructuring reserve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(906)</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7"/>
              </w:rPr>
              <w:t>Accrued expenses and other current liabilities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2"/>
              </w:rPr>
              <w:t>2,838</w:t>
            </w:r>
          </w:p>
        </w:tc>
        <w:tc>
          <w:tcPr>
            <w:tcW w:w="6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2,057</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rent</w:t>
            </w:r>
          </w:p>
        </w:tc>
        <w:tc>
          <w:tcPr>
            <w:tcW w:w="320" w:type="dxa"/>
            <w:vAlign w:val="bottom"/>
          </w:tcPr>
          <w:p>
            <w:pPr>
              <w:spacing w:after="0"/>
              <w:rPr>
                <w:sz w:val="17"/>
                <w:szCs w:val="17"/>
                <w:color w:val="auto"/>
              </w:rPr>
            </w:pPr>
          </w:p>
        </w:tc>
        <w:tc>
          <w:tcPr>
            <w:tcW w:w="1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(4,704)</w:t>
            </w:r>
          </w:p>
        </w:tc>
        <w:tc>
          <w:tcPr>
            <w:tcW w:w="6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w:t>
            </w:r>
          </w:p>
        </w:tc>
        <w:tc>
          <w:tcPr>
            <w:tcW w:w="0" w:type="dxa"/>
            <w:vAlign w:val="bottom"/>
          </w:tcPr>
          <w:p>
            <w:pPr>
              <w:spacing w:after="0"/>
              <w:rPr>
                <w:sz w:val="1"/>
                <w:szCs w:val="1"/>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for) provided by operating</w:t>
            </w:r>
          </w:p>
        </w:tc>
        <w:tc>
          <w:tcPr>
            <w:tcW w:w="320" w:type="dxa"/>
            <w:vAlign w:val="bottom"/>
          </w:tcPr>
          <w:p>
            <w:pPr>
              <w:spacing w:after="0"/>
              <w:rPr>
                <w:sz w:val="17"/>
                <w:szCs w:val="17"/>
                <w:color w:val="auto"/>
              </w:rPr>
            </w:pPr>
          </w:p>
        </w:tc>
        <w:tc>
          <w:tcPr>
            <w:tcW w:w="1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w:t>
            </w:r>
          </w:p>
        </w:tc>
        <w:tc>
          <w:tcPr>
            <w:tcW w:w="6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5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activities</w:t>
            </w:r>
          </w:p>
        </w:tc>
        <w:tc>
          <w:tcPr>
            <w:tcW w:w="320" w:type="dxa"/>
            <w:vAlign w:val="bottom"/>
          </w:tcPr>
          <w:p>
            <w:pPr>
              <w:spacing w:after="0"/>
              <w:rPr>
                <w:sz w:val="17"/>
                <w:szCs w:val="17"/>
                <w:color w:val="auto"/>
              </w:rPr>
            </w:pPr>
          </w:p>
        </w:tc>
        <w:tc>
          <w:tcPr>
            <w:tcW w:w="1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(1,422)</w:t>
            </w:r>
          </w:p>
        </w:tc>
        <w:tc>
          <w:tcPr>
            <w:tcW w:w="6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1,477</w:t>
            </w:r>
          </w:p>
        </w:tc>
        <w:tc>
          <w:tcPr>
            <w:tcW w:w="0" w:type="dxa"/>
            <w:vAlign w:val="bottom"/>
          </w:tcPr>
          <w:p>
            <w:pPr>
              <w:spacing w:after="0"/>
              <w:rPr>
                <w:sz w:val="1"/>
                <w:szCs w:val="1"/>
                <w:color w:val="auto"/>
              </w:rPr>
            </w:pPr>
          </w:p>
        </w:tc>
      </w:tr>
      <w:tr>
        <w:trPr>
          <w:trHeight w:val="296"/>
        </w:trPr>
        <w:tc>
          <w:tcPr>
            <w:tcW w:w="538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24"/>
                <w:szCs w:val="24"/>
                <w:color w:val="auto"/>
              </w:rPr>
            </w:pPr>
          </w:p>
        </w:tc>
        <w:tc>
          <w:tcPr>
            <w:tcW w:w="132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w w:val="95"/>
              </w:rPr>
              <w:t>-------</w:t>
            </w:r>
          </w:p>
        </w:tc>
        <w:tc>
          <w:tcPr>
            <w:tcW w:w="68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53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w w:val="95"/>
              </w:rPr>
              <w:t>(9,808)</w:t>
            </w:r>
          </w:p>
        </w:tc>
        <w:tc>
          <w:tcPr>
            <w:tcW w:w="6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(5,065)</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Incurrence of pre-opening costs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(1,198)</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w:t>
            </w:r>
          </w:p>
        </w:tc>
        <w:tc>
          <w:tcPr>
            <w:tcW w:w="0" w:type="dxa"/>
            <w:vAlign w:val="bottom"/>
          </w:tcPr>
          <w:p>
            <w:pPr>
              <w:spacing w:after="0"/>
              <w:rPr>
                <w:sz w:val="1"/>
                <w:szCs w:val="1"/>
                <w:color w:val="auto"/>
              </w:rPr>
            </w:pPr>
          </w:p>
        </w:tc>
      </w:tr>
      <w:tr>
        <w:trPr>
          <w:trHeight w:val="203"/>
        </w:trPr>
        <w:tc>
          <w:tcPr>
            <w:tcW w:w="5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Proceeds from disposal of property and equipment</w:t>
            </w:r>
          </w:p>
        </w:tc>
        <w:tc>
          <w:tcPr>
            <w:tcW w:w="10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170</w:t>
            </w:r>
          </w:p>
        </w:tc>
        <w:tc>
          <w:tcPr>
            <w:tcW w:w="6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 and maturity of investments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3,501</w:t>
            </w:r>
          </w:p>
        </w:tc>
        <w:tc>
          <w:tcPr>
            <w:tcW w:w="6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2,190</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c>
          <w:tcPr>
            <w:tcW w:w="0" w:type="dxa"/>
            <w:vAlign w:val="bottom"/>
          </w:tcPr>
          <w:p>
            <w:pPr>
              <w:spacing w:after="0"/>
              <w:rPr>
                <w:sz w:val="1"/>
                <w:szCs w:val="1"/>
                <w:color w:val="auto"/>
              </w:rPr>
            </w:pPr>
          </w:p>
        </w:tc>
      </w:tr>
      <w:tr>
        <w:trPr>
          <w:trHeight w:val="203"/>
        </w:trPr>
        <w:tc>
          <w:tcPr>
            <w:tcW w:w="53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Net cash used in investing activities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(7,312)</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(3,326)</w:t>
            </w:r>
          </w:p>
        </w:tc>
        <w:tc>
          <w:tcPr>
            <w:tcW w:w="0" w:type="dxa"/>
            <w:vAlign w:val="bottom"/>
          </w:tcPr>
          <w:p>
            <w:pPr>
              <w:spacing w:after="0"/>
              <w:rPr>
                <w:sz w:val="1"/>
                <w:szCs w:val="1"/>
                <w:color w:val="auto"/>
              </w:rPr>
            </w:pPr>
          </w:p>
        </w:tc>
      </w:tr>
      <w:tr>
        <w:trPr>
          <w:trHeight w:val="296"/>
        </w:trPr>
        <w:tc>
          <w:tcPr>
            <w:tcW w:w="538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w:t>
            </w:r>
          </w:p>
        </w:tc>
        <w:tc>
          <w:tcPr>
            <w:tcW w:w="6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53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w w:val="95"/>
              </w:rPr>
              <w:t>(5,428)</w:t>
            </w:r>
          </w:p>
        </w:tc>
        <w:tc>
          <w:tcPr>
            <w:tcW w:w="680" w:type="dxa"/>
            <w:vAlign w:val="bottom"/>
          </w:tcPr>
          <w:p>
            <w:pPr>
              <w:spacing w:after="0"/>
              <w:rPr>
                <w:sz w:val="9"/>
                <w:szCs w:val="9"/>
                <w:color w:val="auto"/>
              </w:rPr>
            </w:pP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 for acquisition of a business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Repayments of long-term debt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0" w:type="dxa"/>
            <w:vAlign w:val="bottom"/>
          </w:tcPr>
          <w:p>
            <w:pPr>
              <w:spacing w:after="0"/>
              <w:rPr>
                <w:sz w:val="1"/>
                <w:szCs w:val="1"/>
                <w:color w:val="auto"/>
              </w:rPr>
            </w:pPr>
          </w:p>
        </w:tc>
      </w:tr>
      <w:tr>
        <w:trPr>
          <w:trHeight w:val="203"/>
        </w:trPr>
        <w:tc>
          <w:tcPr>
            <w:tcW w:w="5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7"/>
              </w:rPr>
              <w:t>Issuance of common stock under option program (1)</w:t>
            </w:r>
          </w:p>
        </w:tc>
        <w:tc>
          <w:tcPr>
            <w:tcW w:w="10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w:t>
            </w:r>
          </w:p>
        </w:tc>
        <w:tc>
          <w:tcPr>
            <w:tcW w:w="6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299</w:t>
            </w:r>
          </w:p>
        </w:tc>
        <w:tc>
          <w:tcPr>
            <w:tcW w:w="0" w:type="dxa"/>
            <w:vAlign w:val="bottom"/>
          </w:tcPr>
          <w:p>
            <w:pPr>
              <w:spacing w:after="0"/>
              <w:rPr>
                <w:sz w:val="1"/>
                <w:szCs w:val="1"/>
                <w:color w:val="auto"/>
              </w:rPr>
            </w:pPr>
          </w:p>
        </w:tc>
      </w:tr>
      <w:tr>
        <w:trPr>
          <w:trHeight w:val="203"/>
        </w:trPr>
        <w:tc>
          <w:tcPr>
            <w:tcW w:w="53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Net cash used in financing activities</w:t>
            </w:r>
          </w:p>
        </w:tc>
        <w:tc>
          <w:tcPr>
            <w:tcW w:w="320" w:type="dxa"/>
            <w:vAlign w:val="bottom"/>
          </w:tcPr>
          <w:p>
            <w:pPr>
              <w:spacing w:after="0"/>
              <w:rPr>
                <w:sz w:val="17"/>
                <w:szCs w:val="17"/>
                <w:color w:val="auto"/>
              </w:rPr>
            </w:pP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(5,397)</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(9,701)</w:t>
            </w:r>
          </w:p>
        </w:tc>
        <w:tc>
          <w:tcPr>
            <w:tcW w:w="0" w:type="dxa"/>
            <w:vAlign w:val="bottom"/>
          </w:tcPr>
          <w:p>
            <w:pPr>
              <w:spacing w:after="0"/>
              <w:rPr>
                <w:sz w:val="1"/>
                <w:szCs w:val="1"/>
                <w:color w:val="auto"/>
              </w:rPr>
            </w:pPr>
          </w:p>
        </w:tc>
      </w:tr>
      <w:tr>
        <w:trPr>
          <w:trHeight w:val="203"/>
        </w:trPr>
        <w:tc>
          <w:tcPr>
            <w:tcW w:w="53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Net decrease in cash and cash equivalents</w:t>
            </w:r>
          </w:p>
        </w:tc>
        <w:tc>
          <w:tcPr>
            <w:tcW w:w="320" w:type="dxa"/>
            <w:vAlign w:val="bottom"/>
          </w:tcPr>
          <w:p>
            <w:pPr>
              <w:spacing w:after="0"/>
              <w:rPr>
                <w:sz w:val="17"/>
                <w:szCs w:val="17"/>
                <w:color w:val="auto"/>
              </w:rPr>
            </w:pP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(14,131)</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(11,550)</w:t>
            </w:r>
          </w:p>
        </w:tc>
        <w:tc>
          <w:tcPr>
            <w:tcW w:w="0" w:type="dxa"/>
            <w:vAlign w:val="bottom"/>
          </w:tcPr>
          <w:p>
            <w:pPr>
              <w:spacing w:after="0"/>
              <w:rPr>
                <w:sz w:val="1"/>
                <w:szCs w:val="1"/>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w w:val="95"/>
              </w:rPr>
              <w:t>22,424</w:t>
            </w:r>
          </w:p>
        </w:tc>
        <w:tc>
          <w:tcPr>
            <w:tcW w:w="68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13,601</w:t>
            </w:r>
          </w:p>
        </w:tc>
        <w:tc>
          <w:tcPr>
            <w:tcW w:w="0" w:type="dxa"/>
            <w:vAlign w:val="bottom"/>
          </w:tcPr>
          <w:p>
            <w:pPr>
              <w:spacing w:after="0"/>
              <w:rPr>
                <w:sz w:val="1"/>
                <w:szCs w:val="1"/>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End of the quarter</w:t>
            </w:r>
          </w:p>
        </w:tc>
        <w:tc>
          <w:tcPr>
            <w:tcW w:w="320" w:type="dxa"/>
            <w:vAlign w:val="bottom"/>
          </w:tcPr>
          <w:p>
            <w:pPr>
              <w:spacing w:after="0"/>
              <w:rPr>
                <w:sz w:val="17"/>
                <w:szCs w:val="17"/>
                <w:color w:val="auto"/>
              </w:rPr>
            </w:pP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$ 8,293</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$ 2,051</w:t>
            </w:r>
          </w:p>
        </w:tc>
        <w:tc>
          <w:tcPr>
            <w:tcW w:w="0" w:type="dxa"/>
            <w:vAlign w:val="bottom"/>
          </w:tcPr>
          <w:p>
            <w:pPr>
              <w:spacing w:after="0"/>
              <w:rPr>
                <w:sz w:val="1"/>
                <w:szCs w:val="1"/>
                <w:color w:val="auto"/>
              </w:rPr>
            </w:pPr>
          </w:p>
        </w:tc>
      </w:tr>
      <w:tr>
        <w:trPr>
          <w:trHeight w:val="296"/>
        </w:trPr>
        <w:tc>
          <w:tcPr>
            <w:tcW w:w="5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w w:val="94"/>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380" w:type="dxa"/>
            <w:vAlign w:val="bottom"/>
          </w:tcPr>
          <w:p>
            <w:pPr>
              <w:spacing w:after="0"/>
              <w:rPr>
                <w:sz w:val="20"/>
                <w:szCs w:val="20"/>
                <w:color w:val="auto"/>
              </w:rPr>
            </w:pPr>
            <w:r>
              <w:rPr>
                <w:rFonts w:ascii="Courier New" w:cs="Courier New" w:eastAsia="Courier New" w:hAnsi="Courier New"/>
                <w:sz w:val="18"/>
                <w:szCs w:val="18"/>
                <w:color w:val="auto"/>
              </w:rPr>
              <w:t>Supplementary Cash Flow Disclosure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Cash paid, net:</w:t>
            </w:r>
          </w:p>
        </w:tc>
        <w:tc>
          <w:tcPr>
            <w:tcW w:w="3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46</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739</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Interest</w:t>
            </w:r>
          </w:p>
        </w:tc>
        <w:tc>
          <w:tcPr>
            <w:tcW w:w="3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380" w:type="dxa"/>
            <w:vAlign w:val="bottom"/>
          </w:tcPr>
          <w:p>
            <w:pPr>
              <w:ind w:left="1160"/>
              <w:spacing w:after="0"/>
              <w:rPr>
                <w:sz w:val="20"/>
                <w:szCs w:val="20"/>
                <w:color w:val="auto"/>
              </w:rPr>
            </w:pPr>
            <w:r>
              <w:rPr>
                <w:rFonts w:ascii="Courier New" w:cs="Courier New" w:eastAsia="Courier New" w:hAnsi="Courier New"/>
                <w:sz w:val="18"/>
                <w:szCs w:val="18"/>
                <w:color w:val="auto"/>
              </w:rPr>
              <w:t>Taxes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1,592</w:t>
            </w:r>
          </w:p>
        </w:tc>
        <w:tc>
          <w:tcPr>
            <w:tcW w:w="68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2,199</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Including related tax benefit</w:t>
      </w:r>
    </w:p>
    <w:p>
      <w:pPr>
        <w:spacing w:after="0" w:line="201" w:lineRule="exact"/>
        <w:rPr>
          <w:sz w:val="20"/>
          <w:szCs w:val="20"/>
          <w:color w:val="auto"/>
        </w:rPr>
      </w:pPr>
    </w:p>
    <w:p>
      <w:pPr>
        <w:ind w:left="4220" w:right="1999" w:hanging="3686"/>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488" w:right="1440" w:bottom="1440" w:gutter="0" w:footer="0" w:header="0"/>
        </w:sectPr>
      </w:pPr>
    </w:p>
    <w:bookmarkStart w:id="6" w:name="page7"/>
    <w:bookmarkEnd w:id="6"/>
    <w:p>
      <w:pPr>
        <w:jc w:val="center"/>
        <w:ind w:right="209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1" w:lineRule="exact"/>
        <w:rPr>
          <w:sz w:val="20"/>
          <w:szCs w:val="20"/>
          <w:color w:val="auto"/>
        </w:rPr>
      </w:pPr>
    </w:p>
    <w:p>
      <w:pPr>
        <w:ind w:right="2099" w:firstLine="527"/>
        <w:spacing w:after="0" w:line="285" w:lineRule="auto"/>
        <w:rPr>
          <w:sz w:val="20"/>
          <w:szCs w:val="20"/>
          <w:color w:val="auto"/>
        </w:rPr>
      </w:pPr>
      <w:r>
        <w:rPr>
          <w:rFonts w:ascii="Courier New" w:cs="Courier New" w:eastAsia="Courier New" w:hAnsi="Courier New"/>
          <w:sz w:val="16"/>
          <w:szCs w:val="16"/>
          <w:color w:val="auto"/>
        </w:rPr>
        <w:t>In the opinion of management of Designs, Inc. (the "Company"), the accompanying unaudited consolidated financial statements contain all adjustments (consisting only of normal recurring adjustments) necessary for a fair presentation of the interim financial statements. These financial statements do not include all disclosures associated with annual financial statements and, accordingly, should be read in conjunction with the notes contained in the Company's audited consolidated financial statements for the year ended January 28, 1995. Historically, the Company's business has been seasonal in nature and the results of the interim periods presented are not necessarily indicative of the results to be expected for the full year.</w:t>
      </w:r>
    </w:p>
    <w:p>
      <w:pPr>
        <w:spacing w:after="0" w:line="200" w:lineRule="exact"/>
        <w:rPr>
          <w:sz w:val="20"/>
          <w:szCs w:val="20"/>
          <w:color w:val="auto"/>
        </w:rPr>
      </w:pPr>
    </w:p>
    <w:p>
      <w:pPr>
        <w:spacing w:after="0" w:line="294"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1" w:lineRule="exact"/>
        <w:rPr>
          <w:sz w:val="20"/>
          <w:szCs w:val="20"/>
          <w:color w:val="auto"/>
        </w:rPr>
      </w:pPr>
    </w:p>
    <w:p>
      <w:pPr>
        <w:ind w:right="1999" w:firstLine="527"/>
        <w:spacing w:after="0" w:line="276"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entered into a partnership agreement with LDJV Inc. (the "Partnership Agreement") establishing a joint venture to sell Levi's(R) brand products and jeans-related products in Original Levi's(R) Stores and Levi's(R) Outlets. LDJV Inc. is a wholly-owned subsidiary of Levi's Only Stores, Inc., which</w:t>
      </w:r>
    </w:p>
    <w:p>
      <w:pPr>
        <w:spacing w:after="0" w:line="3" w:lineRule="exact"/>
        <w:rPr>
          <w:sz w:val="20"/>
          <w:szCs w:val="20"/>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is a wholly-owned subsidiary of Levi Strauss &amp; Co. This partnership is known as The Designs/OLS Partnership (the "Partnership").</w:t>
      </w:r>
    </w:p>
    <w:p>
      <w:pPr>
        <w:spacing w:after="0" w:line="5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The operating results of the Partnership are consolidated with the financial statements of the Company for the three, six and twelve months ended July 29, 1995. Minority interest at July 29, 1995 represents LDJV Inc.'s 30% interest in the Partnership.</w:t>
      </w:r>
    </w:p>
    <w:p>
      <w:pPr>
        <w:spacing w:after="0" w:line="82"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In accordance with the Partnership Agreement, the Partnership made capital distributions of $155,000 to its partners for the six months ended July 29, 1995. These capital distributions represented funds sufficient to pay taxes associated with the earnings of the Partnership for the six month period ended July 29, 1995.</w:t>
      </w:r>
    </w:p>
    <w:p>
      <w:pPr>
        <w:spacing w:after="0" w:line="292"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During fiscal 1994, the Company recorded a nonrecurring pre-tax charge of $15 million to cover the expected costs associated with the closing of ten of its poorest performing Designs stores. In connection with the Company's ongoing review of Designs store performance, in November 1994, the Company decided to close up to five more of the poorest performing Designs stores during fiscal 1995. The $15 million is reflected in the consolidated statement of income as a restructuring charge for the twelve month period ended July 30, 1994.</w:t>
      </w:r>
    </w:p>
    <w:p>
      <w:pPr>
        <w:sectPr>
          <w:pgSz w:w="11900" w:h="16838" w:orient="portrait"/>
          <w:cols w:equalWidth="0" w:num="1">
            <w:col w:w="10219"/>
          </w:cols>
          <w:pgMar w:left="240" w:top="488" w:right="1440" w:bottom="1440" w:gutter="0" w:footer="0" w:header="0"/>
        </w:sectPr>
      </w:pPr>
    </w:p>
    <w:bookmarkStart w:id="7" w:name="page8"/>
    <w:bookmarkEnd w:id="7"/>
    <w:p>
      <w:pPr>
        <w:ind w:right="2199" w:firstLine="527"/>
        <w:spacing w:after="0" w:line="306" w:lineRule="auto"/>
        <w:rPr>
          <w:sz w:val="20"/>
          <w:szCs w:val="20"/>
          <w:color w:val="auto"/>
        </w:rPr>
      </w:pPr>
      <w:r>
        <w:rPr>
          <w:rFonts w:ascii="Courier New" w:cs="Courier New" w:eastAsia="Courier New" w:hAnsi="Courier New"/>
          <w:sz w:val="16"/>
          <w:szCs w:val="16"/>
          <w:color w:val="auto"/>
        </w:rPr>
        <w:t>As of the end of fiscal 1995, the estimated cost to close these fifteen stores was $11.8 million. This estimated amount included an accrual of $4.1 million for future lease obligations. In the fourth quarter of fiscal 1995, the Company recognized pre-tax income of $3.2 million which represented the Company's estimated excess restructuring reserve at January 28, 1995.</w:t>
      </w:r>
    </w:p>
    <w:p>
      <w:pPr>
        <w:spacing w:after="0" w:line="60" w:lineRule="exact"/>
        <w:rPr>
          <w:sz w:val="20"/>
          <w:szCs w:val="20"/>
          <w:color w:val="auto"/>
        </w:rPr>
      </w:pPr>
    </w:p>
    <w:p>
      <w:pPr>
        <w:ind w:right="2419" w:firstLine="527"/>
        <w:spacing w:after="0" w:line="274" w:lineRule="auto"/>
        <w:rPr>
          <w:sz w:val="20"/>
          <w:szCs w:val="20"/>
          <w:color w:val="auto"/>
        </w:rPr>
      </w:pPr>
      <w:r>
        <w:rPr>
          <w:rFonts w:ascii="Courier New" w:cs="Courier New" w:eastAsia="Courier New" w:hAnsi="Courier New"/>
          <w:sz w:val="18"/>
          <w:szCs w:val="18"/>
          <w:color w:val="auto"/>
        </w:rPr>
        <w:t>During the first quarter of fiscal 1996, the Company reached final lease agreements with certain landlords for $1.9 million. The remaining accrual of $2.2 million was recognized as pre-tax income for the six month period ended July 29, 1995.</w:t>
      </w:r>
    </w:p>
    <w:p>
      <w:pPr>
        <w:spacing w:after="0" w:line="8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w:t>
      </w:r>
    </w:p>
    <w:p>
      <w:pPr>
        <w:spacing w:after="0" w:line="201" w:lineRule="exact"/>
        <w:rPr>
          <w:sz w:val="20"/>
          <w:szCs w:val="20"/>
          <w:color w:val="auto"/>
        </w:rPr>
      </w:pPr>
    </w:p>
    <w:p>
      <w:pPr>
        <w:ind w:right="1999" w:firstLine="527"/>
        <w:spacing w:after="0" w:line="246" w:lineRule="auto"/>
        <w:rPr>
          <w:sz w:val="20"/>
          <w:szCs w:val="20"/>
          <w:color w:val="auto"/>
        </w:rPr>
      </w:pPr>
      <w:r>
        <w:rPr>
          <w:rFonts w:ascii="Courier New" w:cs="Courier New" w:eastAsia="Courier New" w:hAnsi="Courier New"/>
          <w:sz w:val="18"/>
          <w:szCs w:val="18"/>
          <w:color w:val="auto"/>
        </w:rPr>
        <w:t>On May 2, 1995, the Company acquired certain assets of Boston Trading Ltd., Inc. ("Boston Trading") in accordance with the terms of an Asset Purchase Agreement dated April 21, 1995 among Boston Trading, Designs Acquisition Corp., the Company and others. The Company paid $5,428,000 million in cash, financed by operations, and delivered a non-negotiable promissory note in the principal amount of $1,000,000. The principal amount of the promissory note is payable in two equal annual installments through May 1997. The note bears interest at the published prime rate and is payable semi-annually from the date of acquisition. The purchase price has been allocated to the assets acquired, including certain intangible assets, principally trademarks and license agreements, based on their respective fair values. Trademarks and license agreements are being amortized on a straight-line basis over 15 years and 4 years, respectively. Other assets acquired included all inventory, fixed assets and leasehold improvements associated with 33 Boston Traders(R) outlet stores.</w:t>
      </w:r>
    </w:p>
    <w:p>
      <w:pPr>
        <w:spacing w:after="0" w:line="106" w:lineRule="exact"/>
        <w:rPr>
          <w:sz w:val="20"/>
          <w:szCs w:val="20"/>
          <w:color w:val="auto"/>
        </w:rPr>
      </w:pPr>
    </w:p>
    <w:p>
      <w:pPr>
        <w:ind w:right="2099" w:firstLine="527"/>
        <w:spacing w:after="0" w:line="306" w:lineRule="auto"/>
        <w:rPr>
          <w:sz w:val="20"/>
          <w:szCs w:val="20"/>
          <w:color w:val="auto"/>
        </w:rPr>
      </w:pPr>
      <w:r>
        <w:rPr>
          <w:rFonts w:ascii="Courier New" w:cs="Courier New" w:eastAsia="Courier New" w:hAnsi="Courier New"/>
          <w:sz w:val="16"/>
          <w:szCs w:val="16"/>
          <w:color w:val="auto"/>
        </w:rPr>
        <w:t>The Company is a party to two consulting agreements with former employees of Boston Trading. Pursuant to the consulting agreements, the Company agreed to issue, as part of the consulting fees, a total of 50,000 shares of the Company's $0.01 par value Common Stock ("Common Stock"). These shares are contingent upon the completion the two year consulting agreements.</w:t>
      </w:r>
    </w:p>
    <w:p>
      <w:pPr>
        <w:spacing w:after="0" w:line="60" w:lineRule="exact"/>
        <w:rPr>
          <w:sz w:val="20"/>
          <w:szCs w:val="20"/>
          <w:color w:val="auto"/>
        </w:rPr>
      </w:pPr>
    </w:p>
    <w:p>
      <w:pPr>
        <w:ind w:right="2099" w:firstLine="527"/>
        <w:spacing w:after="0" w:line="283" w:lineRule="auto"/>
        <w:rPr>
          <w:sz w:val="20"/>
          <w:szCs w:val="20"/>
          <w:color w:val="auto"/>
        </w:rPr>
      </w:pPr>
      <w:r>
        <w:rPr>
          <w:rFonts w:ascii="Courier New" w:cs="Courier New" w:eastAsia="Courier New" w:hAnsi="Courier New"/>
          <w:sz w:val="16"/>
          <w:szCs w:val="16"/>
          <w:color w:val="auto"/>
        </w:rPr>
        <w:t>The following pro forma summary presents the consolidated results of operation of the Company as if the acquisition had occurred as of the beginning of the periods presented, after giving effect to certain adjustments, including amortization of intangibles, decreased interest income related to cash used to finance the acquisition and related income tax effects. Pro forma results of operations for the six month ended July 29, 1995 and July 30, 1994 include Boston Trading unaudited results of operations for the period January 29, 1995 through May 1, 1995 and January 30, 1994 through July 30, 1994, respectively. Pro forma results of operations for the twelve month period ended July 29, 1995 and July 30, 1994 assume that the acquisition occurred at July 30, 1994 and July 31, 1993, respectively.</w:t>
      </w:r>
    </w:p>
    <w:p>
      <w:pPr>
        <w:sectPr>
          <w:pgSz w:w="11900" w:h="16838" w:orient="portrait"/>
          <w:cols w:equalWidth="0" w:num="1">
            <w:col w:w="10219"/>
          </w:cols>
          <w:pgMar w:left="240" w:top="691" w:right="1440" w:bottom="1440" w:gutter="0" w:footer="0" w:header="0"/>
        </w:sectPr>
      </w:pPr>
    </w:p>
    <w:p>
      <w:pPr>
        <w:spacing w:after="0" w:line="29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Six Months Ended</w:t>
      </w:r>
    </w:p>
    <w:p>
      <w:pPr>
        <w:spacing w:after="0" w:line="29" w:lineRule="exact"/>
        <w:rPr>
          <w:sz w:val="20"/>
          <w:szCs w:val="20"/>
          <w:color w:val="auto"/>
        </w:rPr>
      </w:pPr>
    </w:p>
    <w:p>
      <w:pPr>
        <w:ind w:left="2120"/>
        <w:spacing w:after="0"/>
        <w:tabs>
          <w:tab w:leader="none" w:pos="3680" w:val="left"/>
        </w:tabs>
        <w:rPr>
          <w:sz w:val="20"/>
          <w:szCs w:val="20"/>
          <w:color w:val="auto"/>
        </w:rPr>
      </w:pPr>
      <w:r>
        <w:rPr>
          <w:rFonts w:ascii="Courier New" w:cs="Courier New" w:eastAsia="Courier New" w:hAnsi="Courier New"/>
          <w:sz w:val="18"/>
          <w:szCs w:val="18"/>
          <w:color w:val="auto"/>
        </w:rPr>
        <w:t>July 29, 1995</w:t>
      </w:r>
      <w:r>
        <w:rPr>
          <w:sz w:val="20"/>
          <w:szCs w:val="20"/>
          <w:color w:val="auto"/>
        </w:rPr>
        <w:tab/>
      </w:r>
      <w:r>
        <w:rPr>
          <w:rFonts w:ascii="Courier New" w:cs="Courier New" w:eastAsia="Courier New" w:hAnsi="Courier New"/>
          <w:sz w:val="16"/>
          <w:szCs w:val="16"/>
          <w:color w:val="auto"/>
        </w:rPr>
        <w:t>July 30, 1994</w:t>
      </w:r>
    </w:p>
    <w:p>
      <w:pPr>
        <w:ind w:left="200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Twelve Months Ended</w:t>
      </w:r>
    </w:p>
    <w:p>
      <w:pPr>
        <w:spacing w:after="0" w:line="3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July 29, 1995 July 30, 1994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ectPr>
          <w:pgSz w:w="11900" w:h="16838" w:orient="portrait"/>
          <w:cols w:equalWidth="0" w:num="2">
            <w:col w:w="5060" w:space="220"/>
            <w:col w:w="493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Revenue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w:t>
      </w:r>
    </w:p>
    <w:p>
      <w:pPr>
        <w:spacing w:after="0"/>
        <w:rPr>
          <w:sz w:val="20"/>
          <w:szCs w:val="20"/>
          <w:color w:val="auto"/>
        </w:rPr>
      </w:pPr>
      <w:r>
        <w:rPr>
          <w:rFonts w:ascii="Courier New" w:cs="Courier New" w:eastAsia="Courier New" w:hAnsi="Courier New"/>
          <w:sz w:val="16"/>
          <w:szCs w:val="16"/>
          <w:color w:val="auto"/>
        </w:rPr>
        <w:t>Net income per share</w:t>
      </w:r>
    </w:p>
    <w:p>
      <w:pPr>
        <w:spacing w:after="0" w:line="20" w:lineRule="exact"/>
        <w:rPr>
          <w:sz w:val="20"/>
          <w:szCs w:val="20"/>
          <w:color w:val="auto"/>
        </w:rPr>
      </w:pPr>
      <w:r>
        <w:rPr>
          <w:sz w:val="20"/>
          <w:szCs w:val="20"/>
          <w:color w:val="auto"/>
        </w:rPr>
        <w:br w:type="column"/>
      </w:r>
    </w:p>
    <w:p>
      <w:pPr>
        <w:ind w:hanging="420"/>
        <w:spacing w:after="0" w:line="410" w:lineRule="auto"/>
        <w:rPr>
          <w:sz w:val="20"/>
          <w:szCs w:val="20"/>
          <w:color w:val="auto"/>
        </w:rPr>
      </w:pPr>
      <w:r>
        <w:rPr>
          <w:rFonts w:ascii="Courier New" w:cs="Courier New" w:eastAsia="Courier New" w:hAnsi="Courier New"/>
          <w:sz w:val="14"/>
          <w:szCs w:val="14"/>
          <w:color w:val="auto"/>
        </w:rPr>
        <w:t>$ 126,127 1,880 $0.12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$ 110,292</w:t>
      </w:r>
    </w:p>
    <w:p>
      <w:pPr>
        <w:spacing w:after="0" w:line="2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(136)</w:t>
      </w:r>
    </w:p>
    <w:p>
      <w:pPr>
        <w:ind w:left="320"/>
        <w:spacing w:after="0"/>
        <w:rPr>
          <w:sz w:val="20"/>
          <w:szCs w:val="20"/>
          <w:color w:val="auto"/>
        </w:rPr>
      </w:pPr>
      <w:r>
        <w:rPr>
          <w:rFonts w:ascii="Courier New" w:cs="Courier New" w:eastAsia="Courier New" w:hAnsi="Courier New"/>
          <w:sz w:val="16"/>
          <w:szCs w:val="16"/>
          <w:color w:val="auto"/>
        </w:rPr>
        <w:t>$(0.01)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$ 295,337</w:t>
      </w:r>
    </w:p>
    <w:p>
      <w:pPr>
        <w:spacing w:after="0" w:line="52"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15,865</w:t>
      </w:r>
    </w:p>
    <w:p>
      <w:pPr>
        <w:jc w:val="right"/>
        <w:spacing w:after="0"/>
        <w:rPr>
          <w:sz w:val="20"/>
          <w:szCs w:val="20"/>
          <w:color w:val="auto"/>
        </w:rPr>
      </w:pPr>
      <w:r>
        <w:rPr>
          <w:rFonts w:ascii="Courier New" w:cs="Courier New" w:eastAsia="Courier New" w:hAnsi="Courier New"/>
          <w:sz w:val="18"/>
          <w:szCs w:val="18"/>
          <w:color w:val="auto"/>
        </w:rPr>
        <w:t>$1.00</w:t>
      </w:r>
    </w:p>
    <w:p>
      <w:pPr>
        <w:spacing w:after="0" w:line="20" w:lineRule="exact"/>
        <w:rPr>
          <w:sz w:val="20"/>
          <w:szCs w:val="20"/>
          <w:color w:val="auto"/>
        </w:rPr>
      </w:pPr>
      <w:r>
        <w:rPr>
          <w:sz w:val="20"/>
          <w:szCs w:val="20"/>
          <w:color w:val="auto"/>
        </w:rPr>
        <w:br w:type="column"/>
      </w:r>
    </w:p>
    <w:p>
      <w:pPr>
        <w:jc w:val="right"/>
        <w:ind w:right="2099"/>
        <w:spacing w:after="0"/>
        <w:rPr>
          <w:sz w:val="20"/>
          <w:szCs w:val="20"/>
          <w:color w:val="auto"/>
        </w:rPr>
      </w:pPr>
      <w:r>
        <w:rPr>
          <w:rFonts w:ascii="Courier New" w:cs="Courier New" w:eastAsia="Courier New" w:hAnsi="Courier New"/>
          <w:sz w:val="16"/>
          <w:szCs w:val="16"/>
          <w:color w:val="auto"/>
        </w:rPr>
        <w:t>$ 264,711</w:t>
      </w:r>
    </w:p>
    <w:p>
      <w:pPr>
        <w:spacing w:after="0" w:line="52"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1,917</w:t>
      </w:r>
    </w:p>
    <w:p>
      <w:pPr>
        <w:jc w:val="right"/>
        <w:ind w:right="2099"/>
        <w:spacing w:after="0"/>
        <w:rPr>
          <w:sz w:val="20"/>
          <w:szCs w:val="20"/>
          <w:color w:val="auto"/>
        </w:rPr>
      </w:pPr>
      <w:r>
        <w:rPr>
          <w:rFonts w:ascii="Courier New" w:cs="Courier New" w:eastAsia="Courier New" w:hAnsi="Courier New"/>
          <w:sz w:val="18"/>
          <w:szCs w:val="18"/>
          <w:color w:val="auto"/>
        </w:rPr>
        <w:t>$0.12</w:t>
      </w:r>
    </w:p>
    <w:p>
      <w:pPr>
        <w:sectPr>
          <w:pgSz w:w="11900" w:h="16838" w:orient="portrait"/>
          <w:cols w:equalWidth="0" w:num="5">
            <w:col w:w="2120" w:space="620"/>
            <w:col w:w="540" w:space="520"/>
            <w:col w:w="1080" w:space="720"/>
            <w:col w:w="940" w:space="640"/>
            <w:col w:w="3039"/>
          </w:cols>
          <w:pgMar w:left="240" w:top="691" w:right="1440" w:bottom="1440" w:gutter="0" w:footer="0" w:header="0"/>
          <w:type w:val="continuous"/>
        </w:sectPr>
      </w:pPr>
    </w:p>
    <w:bookmarkStart w:id="8" w:name="page9"/>
    <w:bookmarkEnd w:id="8"/>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Credit Agreement</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During the second quarter of fiscal 1996, the Company signed an amendment to the $20.0 million revolving credit agreement dated as of November 17, 1994 among the Company, BayBank Boston, N.A. and State Street Bank and Trust Company. This amendment provides that $5.0 million of the $20.0 million line of credit will be used as a letter of credit facility for purchases of inventory related to the development and growth of the Company's Boston Traders(R) product line. At July 29, 1995, $3.1 million of the $5.0 million was available for the issuance of letters of credit.</w:t>
      </w:r>
    </w:p>
    <w:p>
      <w:pPr>
        <w:spacing w:after="0" w:line="30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Adoption of a Shareholders Rights Plan</w:t>
      </w:r>
    </w:p>
    <w:p>
      <w:pPr>
        <w:spacing w:after="0" w:line="201" w:lineRule="exact"/>
        <w:rPr>
          <w:sz w:val="20"/>
          <w:szCs w:val="20"/>
          <w:color w:val="auto"/>
        </w:rPr>
      </w:pPr>
    </w:p>
    <w:p>
      <w:pPr>
        <w:ind w:right="1999" w:firstLine="527"/>
        <w:spacing w:after="0" w:line="277" w:lineRule="auto"/>
        <w:rPr>
          <w:sz w:val="20"/>
          <w:szCs w:val="20"/>
          <w:color w:val="auto"/>
        </w:rPr>
      </w:pPr>
      <w:r>
        <w:rPr>
          <w:rFonts w:ascii="Courier New" w:cs="Courier New" w:eastAsia="Courier New" w:hAnsi="Courier New"/>
          <w:sz w:val="16"/>
          <w:szCs w:val="16"/>
          <w:color w:val="auto"/>
        </w:rPr>
        <w:t>On May 1, 1995, the Board of Directors of the Company adopted a Shareholder Rights Plan. Pursuant to such Plan, the Company entered into a Shareholder Rights Agreement ("Rights Agreement") between the Company and its transfer agent, The First National Bank of Boston. Pursuant to the Rights Agreement, the Board of Directors declared a dividend distribution of one preferred stock purchase right for each outstanding share of the Company's Common Stock, to stockholders of record as of the close of business on May 15, 1995. Initially, these rights will not be exercisable and will trade with the shares of the Common Stock. In the event that a person becomes an "acquiring person" or is declared an "adverse person" each such term as defined in the Rights Agreement, each holder of a right (other than the acquiring person or the adverse person) would be entitled to acquire such number of shares of preferred stock which are equivalent to the Common Stock having a value of twice the then-current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ectPr>
          <w:pgSz w:w="11900" w:h="16838" w:orient="portrait"/>
          <w:cols w:equalWidth="0" w:num="1">
            <w:col w:w="10219"/>
          </w:cols>
          <w:pgMar w:left="240" w:top="691" w:right="1440" w:bottom="1440" w:gutter="0" w:footer="0" w:header="0"/>
        </w:sectPr>
      </w:pPr>
    </w:p>
    <w:bookmarkStart w:id="9" w:name="page10"/>
    <w:bookmarkEnd w:id="9"/>
    <w:p>
      <w:pPr>
        <w:ind w:left="2120" w:right="2939" w:hanging="2106"/>
        <w:spacing w:after="0" w:line="347" w:lineRule="auto"/>
        <w:tabs>
          <w:tab w:leader="none" w:pos="210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right="1999" w:firstLine="527"/>
        <w:spacing w:after="0" w:line="243" w:lineRule="auto"/>
        <w:rPr>
          <w:sz w:val="20"/>
          <w:szCs w:val="20"/>
          <w:color w:val="auto"/>
        </w:rPr>
      </w:pPr>
      <w:r>
        <w:rPr>
          <w:rFonts w:ascii="Courier New" w:cs="Courier New" w:eastAsia="Courier New" w:hAnsi="Courier New"/>
          <w:sz w:val="18"/>
          <w:szCs w:val="18"/>
          <w:color w:val="auto"/>
        </w:rPr>
        <w:t>Sales for the second quarter of fiscal 1996 increased 19% to $67.0 million from $56.4 million in the second quarter of 1995. Comparable store sales increased 4% for the three month period. Of the 155 stores that Designs, Inc. (the "Company") operates, 101 are comparable stores. Comparable store sales increased primarily due to an increase in average unit price of 3%, and a 1% increase in unit sales for the three month period. Comparable Outlet store sales increased 3% for the three month period as compared to the prior year. Comparable Designs store sales increased by 1% for the three month period as compared to the same period in the preceding year. Comparable Original Levi's(R) Stores sales increased 27% for the three month period as compared to the same period in the prior year. For the six month period, sales rose 18% to $124.3 million in the current year as compared to $105.4 million in the prior year. Comparable store sales increased 5% for the six month period principally due to an increase in average unit price of 6% offset by a 1% decrease in unit sales for the six month period. Comparable Outlet store sales increased 4% for the six month period as compared to the prior year. Comparable Designs store sales remained unchanged for the six month period as compared to the same period in the preceding year. Comparable Original Levi's(R) Stores sales increased 31% for the six month period as compared to the same period in the prior year. On a rolling 12 month basis, sales increased 14% to $284.9 million for the twelve month period ended July 29, 1995 compared to $251.0 million for the twelve month period ended July 30, 1994.</w:t>
      </w:r>
    </w:p>
    <w:p>
      <w:pPr>
        <w:spacing w:after="0" w:line="113"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Gross margin rate (including the costs of occupancy) decreased to 29.7% as compared to 30.8% in the second quarter of fiscal 1995 principally due to continued price competition and promotional activity in the marketplace. The increased total sales at this gross margin rate resulted in a 14.3% increase in gross margin dollars to $19.9 million for the second quarter of fiscal 1996 as compared with $17.4 million in fiscal 1995. For the six month period, gross margin rate remained unchanged at 29.0% as compared to the prior period. For the rolling twelve month period, gross margin rate increased to 31.4% as compared to 31.3% in the prior year.</w:t>
      </w:r>
    </w:p>
    <w:p>
      <w:pPr>
        <w:spacing w:after="0" w:line="99" w:lineRule="exact"/>
        <w:rPr>
          <w:sz w:val="20"/>
          <w:szCs w:val="20"/>
          <w:color w:val="auto"/>
        </w:rPr>
      </w:pPr>
    </w:p>
    <w:p>
      <w:pPr>
        <w:ind w:right="1999" w:firstLine="527"/>
        <w:spacing w:after="0" w:line="287" w:lineRule="auto"/>
        <w:rPr>
          <w:sz w:val="20"/>
          <w:szCs w:val="20"/>
          <w:color w:val="auto"/>
        </w:rPr>
      </w:pPr>
      <w:r>
        <w:rPr>
          <w:rFonts w:ascii="Courier New" w:cs="Courier New" w:eastAsia="Courier New" w:hAnsi="Courier New"/>
          <w:sz w:val="16"/>
          <w:szCs w:val="16"/>
          <w:color w:val="auto"/>
        </w:rPr>
        <w:t>For the quarter, selling, general and administrative expenses of $15.9 million increased to 23.8% of sales as compared with 23.4% in the corresponding period in the prior year due, primarily due to expenses associated with the development of the Boston Traders(R) product line and increased healthcare costs. For the six month period, selling, general and administrative expenses increased to 24.2% of sales as compared with 23.3% in the prior year period. For the rolling 12 month period, selling, general and administrative expenses increased to 20.5% of sales compared with 19.5% in the prior period principally due to increased advertising and healthcare costs.</w:t>
      </w:r>
    </w:p>
    <w:p>
      <w:pPr>
        <w:spacing w:after="0" w:line="75"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During fiscal 1994, the Company recorded a non-recurring pre-tax charge of $15.0 million to cover the expected costs associated with the closing of up to ten of its poorest performing Designs stores. In November 1994, in connection with the Company's ongoing review of Designs store performance, the Company decided to close up to five more of the poorest performing Designs stores during fiscal 1995. The $15.0 million is reflected in the consolidated statement of income as a restructuring charge for the twelve month period ended July 30, 1994.</w:t>
      </w:r>
    </w:p>
    <w:p>
      <w:pPr>
        <w:sectPr>
          <w:pgSz w:w="11900" w:h="16838" w:orient="portrait"/>
          <w:cols w:equalWidth="0" w:num="1">
            <w:col w:w="10219"/>
          </w:cols>
          <w:pgMar w:left="240" w:top="488" w:right="1440" w:bottom="1440" w:gutter="0" w:footer="0" w:header="0"/>
        </w:sectPr>
      </w:pPr>
    </w:p>
    <w:bookmarkStart w:id="10" w:name="page11"/>
    <w:bookmarkEnd w:id="10"/>
    <w:p>
      <w:pPr>
        <w:ind w:right="2099" w:firstLine="527"/>
        <w:spacing w:after="0" w:line="306" w:lineRule="auto"/>
        <w:rPr>
          <w:sz w:val="20"/>
          <w:szCs w:val="20"/>
          <w:color w:val="auto"/>
        </w:rPr>
      </w:pPr>
      <w:r>
        <w:rPr>
          <w:rFonts w:ascii="Courier New" w:cs="Courier New" w:eastAsia="Courier New" w:hAnsi="Courier New"/>
          <w:sz w:val="16"/>
          <w:szCs w:val="16"/>
          <w:color w:val="auto"/>
        </w:rPr>
        <w:t>As of the end of fiscal 1995, the estimated costs to close these fifteen stores was an estimated $11.8 million. This estimated amount included an accrual of $4.1 million for future lease obligations. For the fiscal year ended January 28, 1995, the Company recognized pre-tax income of $3.2 million which represented the Company's estimated excess accrual at January 28, 1995.</w:t>
      </w:r>
    </w:p>
    <w:p>
      <w:pPr>
        <w:spacing w:after="0" w:line="60" w:lineRule="exact"/>
        <w:rPr>
          <w:sz w:val="20"/>
          <w:szCs w:val="20"/>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During the first quarter of fiscal 1996, the Company reached final lease agreements with certain landlords for $1.9 million. The remaining accrual of $2.2 million was recognized as pre-tax income for the six month period ended July 29, 1995.</w:t>
      </w:r>
    </w:p>
    <w:p>
      <w:pPr>
        <w:spacing w:after="0" w:line="82"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Depreciation and amortization expense of $2.1 million and $3.9 million for the three and six month periods increased 21.5% and 18.0%, respectively, as compared with the same periods in fiscal 1995 due to the cost of new store openings, remodeled Designs stores and the acquisition of 33 Boston Traders(R) outlet stores. For the rolling 12 month period, depreciation and amortization increased 14.6%, primarily due to the timing of store openings.</w:t>
      </w:r>
    </w:p>
    <w:p>
      <w:pPr>
        <w:spacing w:after="0" w:line="93" w:lineRule="exact"/>
        <w:rPr>
          <w:sz w:val="20"/>
          <w:szCs w:val="20"/>
          <w:color w:val="auto"/>
        </w:rPr>
      </w:pPr>
    </w:p>
    <w:p>
      <w:pPr>
        <w:ind w:right="2099" w:firstLine="527"/>
        <w:spacing w:after="0" w:line="253" w:lineRule="auto"/>
        <w:rPr>
          <w:sz w:val="20"/>
          <w:szCs w:val="20"/>
          <w:color w:val="auto"/>
        </w:rPr>
      </w:pPr>
      <w:r>
        <w:rPr>
          <w:rFonts w:ascii="Courier New" w:cs="Courier New" w:eastAsia="Courier New" w:hAnsi="Courier New"/>
          <w:sz w:val="18"/>
          <w:szCs w:val="18"/>
          <w:color w:val="auto"/>
        </w:rPr>
        <w:t>Interest expense for the second quarter of fiscal year 1996 was $65,000, and remained unchanged as compared to the same period in fiscal year 1995. Interest expense for the six months decreased 85% to $87,000 as compared to $582,000 in the prior year due to interest cost savings and a prepayment penalty of $290,000 associated with the retirement of the Company's Senior Notes in the second quarter of fiscal 1995. On a rolling 12 month basis, interest expense decreased 91% to $114,000 as compared to $1.3 million in the prior period.</w:t>
      </w:r>
    </w:p>
    <w:p>
      <w:pPr>
        <w:spacing w:after="0" w:line="104"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Interest income for the second quarter decreased to $252,000 in fiscal year 1996 from $355,000 in fiscal year 1995 due to lower cash and investment levels and realized losses on the sale of investments of $48,000 in the second quarter of fiscal 1996. For the six month period, interest income of $723,000 decreased 4% as compared to $757,000 for the same period in the prior year. For the rolling 12 months, interest income remained unchanged at $1.4 million as compared to the prior period. See Liquidity and Capital Resources - Working Capital and Cash Flows.</w:t>
      </w:r>
    </w:p>
    <w:p>
      <w:pPr>
        <w:spacing w:after="0" w:line="104"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Net income for the second quarter of fiscal year 1996 was $1.2 million or $0.08 per share, as compared with $1.6 million or $.10 per share in the second quarter of fiscal 1995. For the six month period, the Company recorded net income of $2.8 million, or $0.18 per share in the current year as compared to $1.7 million, or $0.11 per share in the prior year. Net income for the six month period ended July 29, 1995 includes pre-tax income of $2.2 million or $0.08 per share related to the Company's previously discussed restructuring program.</w:t>
      </w:r>
    </w:p>
    <w:p>
      <w:pPr>
        <w:spacing w:after="0" w:line="104"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Net income, on a rolling 12 month basis, was $18.0 million or $1.14 per share in the twelve month period, as compared with $4.9 million, or $0.31 per share in the prior comparable period. Net income includes the impact of a restructuring income (charge) of $5.4 million or $0.20 per share for the twelve month period ended July 29, 1995 and ($15.0) million or ($0.56) per share for the twelve month period ended July 30, 1994.</w:t>
      </w:r>
    </w:p>
    <w:p>
      <w:pPr>
        <w:sectPr>
          <w:pgSz w:w="11900" w:h="16838" w:orient="portrait"/>
          <w:cols w:equalWidth="0" w:num="1">
            <w:col w:w="10219"/>
          </w:cols>
          <w:pgMar w:left="240" w:top="69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SEASONALITY</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The Company's business is seasonal, reflecting increased consumer buying in the "Back to School" and "Holiday" seasons. Historically, the second half of each fiscal year provides a greater portion of the Company's annual sales and operating income.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2099" w:firstLine="527"/>
        <w:spacing w:after="0" w:line="318" w:lineRule="auto"/>
        <w:rPr>
          <w:sz w:val="20"/>
          <w:szCs w:val="20"/>
          <w:color w:val="auto"/>
        </w:rPr>
      </w:pPr>
      <w:r>
        <w:rPr>
          <w:rFonts w:ascii="Courier New" w:cs="Courier New" w:eastAsia="Courier New" w:hAnsi="Courier New"/>
          <w:sz w:val="16"/>
          <w:szCs w:val="16"/>
          <w:color w:val="auto"/>
        </w:rPr>
        <w:t>The Company's primary cash needs are for operating expenses of the Company and the joint venture, seasonal inventory purchases, capital expenses for new and remodeled stores, cash outlays associated with restructuring, and the development of the Boston Traders(R) branded product line.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To date, the Company has financed its working capital requirements and expansion program with cash flow from operations, borrowings and proceeds from Common Stock offerings. Cash used for operations for the first six months of fiscal 1996 was $1.4 million as compared to cash provided by operations of $1.5 million for the same period in the prior period. The decrease in cash from operations is primarily due to $1.9 million paid to landlords in connection with lease terminations associated with the Company's restructuring program.</w:t>
      </w:r>
    </w:p>
    <w:p>
      <w:pPr>
        <w:spacing w:after="0" w:line="104" w:lineRule="exact"/>
        <w:rPr>
          <w:sz w:val="20"/>
          <w:szCs w:val="20"/>
          <w:color w:val="auto"/>
        </w:rPr>
      </w:pPr>
    </w:p>
    <w:p>
      <w:pPr>
        <w:ind w:right="2319" w:firstLine="527"/>
        <w:spacing w:after="0" w:line="318" w:lineRule="auto"/>
        <w:rPr>
          <w:sz w:val="20"/>
          <w:szCs w:val="20"/>
          <w:color w:val="auto"/>
        </w:rPr>
      </w:pPr>
      <w:r>
        <w:rPr>
          <w:rFonts w:ascii="Courier New" w:cs="Courier New" w:eastAsia="Courier New" w:hAnsi="Courier New"/>
          <w:sz w:val="16"/>
          <w:szCs w:val="16"/>
          <w:color w:val="auto"/>
        </w:rPr>
        <w:t>The Company's working capital at July 29, 1995 was approximately $52.1 million as compared to $32.1 million at July 30, 1994. The increase is attributable to the completion of the Company's restructuring program and a reduction in the average maturity of the Company's investment portfolio.</w:t>
      </w:r>
    </w:p>
    <w:p>
      <w:pPr>
        <w:spacing w:after="0" w:line="52"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Inventory in dollars in comparable stores decreased 4.1% and units remained unchanged from July 30, 1994 to July 29, 1995 due principally to a decrease in purchases of inventory for the quarter as compared to last year. Total inventory at July 29, 1995 increased $6.1 million or 10.7% from July 30, 1994. This increase primarily reflects the fair value of the inventory purchased as part of the Boston Trading Ltd., Inc. ("Boston Trading") acquisition and an increase in the proportion of Levi's(R) Outlet stores to total stores at the end of the second quarter of fiscal 1996 as compared fiscal 1995.</w:t>
      </w:r>
    </w:p>
    <w:p>
      <w:pPr>
        <w:spacing w:after="0" w:line="99" w:lineRule="exact"/>
        <w:rPr>
          <w:sz w:val="20"/>
          <w:szCs w:val="20"/>
          <w:color w:val="auto"/>
        </w:rPr>
      </w:pPr>
    </w:p>
    <w:p>
      <w:pPr>
        <w:ind w:right="2099" w:firstLine="527"/>
        <w:spacing w:after="0" w:line="253" w:lineRule="auto"/>
        <w:rPr>
          <w:sz w:val="20"/>
          <w:szCs w:val="20"/>
          <w:color w:val="auto"/>
        </w:rPr>
      </w:pPr>
      <w:r>
        <w:rPr>
          <w:rFonts w:ascii="Courier New" w:cs="Courier New" w:eastAsia="Courier New" w:hAnsi="Courier New"/>
          <w:sz w:val="18"/>
          <w:szCs w:val="18"/>
          <w:color w:val="auto"/>
        </w:rPr>
        <w:t>The Company stocks its Levi's(R) Outlet stores exclusively with manufacturing overruns, discontinued lines and irregulars purchased by the Company directly from Levi Strauss &amp; Co. and end-of-season Levi's(R) merchandise transferred from Designs stores and Original Levi's(R) Stores. By its nature, this merchandise is subject to limited availability. The Company stocks its Boston Traders(R) outlet stores with the end-of-season Boston Traders(R) merchandise from the Designs stores and merchandise that is specifically produced for the Boston Traders(R) outlet stores.</w:t>
      </w:r>
    </w:p>
    <w:p>
      <w:pPr>
        <w:spacing w:after="0" w:line="104" w:lineRule="exact"/>
        <w:rPr>
          <w:sz w:val="20"/>
          <w:szCs w:val="20"/>
          <w:color w:val="auto"/>
        </w:rPr>
      </w:pPr>
    </w:p>
    <w:p>
      <w:pPr>
        <w:ind w:right="1999" w:firstLine="527"/>
        <w:spacing w:after="0" w:line="283" w:lineRule="auto"/>
        <w:rPr>
          <w:sz w:val="20"/>
          <w:szCs w:val="20"/>
          <w:color w:val="auto"/>
        </w:rPr>
      </w:pPr>
      <w:r>
        <w:rPr>
          <w:rFonts w:ascii="Courier New" w:cs="Courier New" w:eastAsia="Courier New" w:hAnsi="Courier New"/>
          <w:sz w:val="16"/>
          <w:szCs w:val="16"/>
          <w:color w:val="auto"/>
        </w:rPr>
        <w:t>The Company's trade payables to Levi Strauss &amp; Co., its principal vendor, generally are due within ten days after the end of the month in which the goods are received. The Company has been current with its payments to Levi Strauss &amp; Co. from fiscal 1987 to date. Trade payables with other vendors are generally payable within 30 days of invoice. Variations in the amount of trade payables outstanding at the end of different periods relate to the timing of purchases. In the second quarter of fiscal 1996, the Company began sourcing its own merchandise with various off-shore vendors. To date, payment to these vendors have been through the issuance of letters of credit, which require payment upon shipment of merchandise. The Company anticipates that these payment methods will continue during the remainder of fiscal 1996.</w:t>
      </w:r>
    </w:p>
    <w:p>
      <w:pPr>
        <w:sectPr>
          <w:pgSz w:w="11900" w:h="16838" w:orient="portrait"/>
          <w:cols w:equalWidth="0" w:num="1">
            <w:col w:w="10219"/>
          </w:cols>
          <w:pgMar w:left="240" w:top="691" w:right="1440" w:bottom="1440" w:gutter="0" w:footer="0" w:header="0"/>
        </w:sectPr>
      </w:pPr>
    </w:p>
    <w:bookmarkStart w:id="12" w:name="page13"/>
    <w:bookmarkEnd w:id="12"/>
    <w:p>
      <w:pPr>
        <w:ind w:right="1999" w:firstLine="527"/>
        <w:spacing w:after="0" w:line="253" w:lineRule="auto"/>
        <w:rPr>
          <w:sz w:val="20"/>
          <w:szCs w:val="20"/>
          <w:color w:val="auto"/>
        </w:rPr>
      </w:pPr>
      <w:r>
        <w:rPr>
          <w:rFonts w:ascii="Courier New" w:cs="Courier New" w:eastAsia="Courier New" w:hAnsi="Courier New"/>
          <w:sz w:val="18"/>
          <w:szCs w:val="18"/>
          <w:color w:val="auto"/>
        </w:rPr>
        <w:t>On May 31, 1995, the Company signed an amendment to the $20.0 million revolving credit agreement dated November 17, 1994 among the Company, BayBank Boston, N.A. and State Street Bank and Trust Company. This amendment provides that $5.0 million of the $20.0 million line of credit will be used as a letter of credit facility for purchases of inventory related to the development and growth of the Company's Boston Traders(R) product line. At July 29, 1995, $3.1 million of the $5.0 million was available for the issuance of letters of credit.</w:t>
      </w:r>
    </w:p>
    <w:p>
      <w:pPr>
        <w:spacing w:after="0" w:line="104"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At July 29, 1995, there were no short-term or long-term borrowings outstanding, with the exception of a $1.0 million promissory note which was issued in connection with the acquisition of assets of Boston Trading, as discussed below. The Company had average outstanding borrowings, excluding the $1.0 million promissory note, of $1.4 million for the quarter ended July 29, 1995.</w:t>
      </w:r>
    </w:p>
    <w:p>
      <w:pPr>
        <w:spacing w:after="0" w:line="93" w:lineRule="exact"/>
        <w:rPr>
          <w:sz w:val="20"/>
          <w:szCs w:val="20"/>
          <w:color w:val="auto"/>
        </w:rPr>
      </w:pPr>
    </w:p>
    <w:p>
      <w:pPr>
        <w:ind w:right="2099" w:firstLine="527"/>
        <w:spacing w:after="0" w:line="249" w:lineRule="auto"/>
        <w:rPr>
          <w:sz w:val="20"/>
          <w:szCs w:val="20"/>
          <w:color w:val="auto"/>
        </w:rPr>
      </w:pPr>
      <w:r>
        <w:rPr>
          <w:rFonts w:ascii="Courier New" w:cs="Courier New" w:eastAsia="Courier New" w:hAnsi="Courier New"/>
          <w:sz w:val="18"/>
          <w:szCs w:val="18"/>
          <w:color w:val="auto"/>
        </w:rPr>
        <w:t>On January 28, 1995, Designs JV Corp., a wholly-owned subsidiary of the Company, and a subsidiary of Levi's Only Stores, a wholly-owned subsidiary of Levi Strauss &amp; Co., entered into a partnership agreement establishing a joint venture to sell Levi's(R) brand products and jeans-related products. The partnership plans to open and operate a total of 35 to 50 Original Levi's(R) Stores and Levi's(R) Outlets throughout 11 Northeast states and the District of Columbia over approximately the next three to five fiscal years. This number of stores includes the ten Original Levi's(R) Stores which were open at July 29, 1995. The Levi's(R) Outlet stores in the partnership will sell only Levi's(R) brand products and service the close-out products of the Original Levi's(R) Stores.</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the formation of the joint venture, Designs JV Corp.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contributed, in exchange for a 70% interest in the joint venture, eight of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Company's existing Original Levi's(R) Stores and three leases for then</w:t>
      </w:r>
    </w:p>
    <w:p>
      <w:pPr>
        <w:spacing w:after="0"/>
        <w:rPr>
          <w:sz w:val="20"/>
          <w:szCs w:val="20"/>
          <w:color w:val="auto"/>
        </w:rPr>
      </w:pPr>
      <w:r>
        <w:rPr>
          <w:rFonts w:ascii="Courier New" w:cs="Courier New" w:eastAsia="Courier New" w:hAnsi="Courier New"/>
          <w:sz w:val="16"/>
          <w:szCs w:val="16"/>
          <w:color w:val="auto"/>
        </w:rPr>
        <w:t>unopened stores in New York City, Nanuet, New York, and White Plains, New York.</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These stores are included in the 35 to 50 stores described above. At the same</w:t>
      </w:r>
    </w:p>
    <w:p>
      <w:pPr>
        <w:spacing w:after="0"/>
        <w:tabs>
          <w:tab w:leader="none" w:pos="5260" w:val="left"/>
        </w:tabs>
        <w:rPr>
          <w:sz w:val="20"/>
          <w:szCs w:val="20"/>
          <w:color w:val="auto"/>
        </w:rPr>
      </w:pPr>
      <w:r>
        <w:rPr>
          <w:rFonts w:ascii="Courier New" w:cs="Courier New" w:eastAsia="Courier New" w:hAnsi="Courier New"/>
          <w:sz w:val="18"/>
          <w:szCs w:val="18"/>
          <w:color w:val="auto"/>
        </w:rPr>
        <w:t>time, LDJV Inc., the joint venture subsidiary of</w:t>
      </w:r>
      <w:r>
        <w:rPr>
          <w:sz w:val="20"/>
          <w:szCs w:val="20"/>
          <w:color w:val="auto"/>
        </w:rPr>
        <w:tab/>
      </w:r>
      <w:r>
        <w:rPr>
          <w:rFonts w:ascii="Courier New" w:cs="Courier New" w:eastAsia="Courier New" w:hAnsi="Courier New"/>
          <w:sz w:val="16"/>
          <w:szCs w:val="16"/>
          <w:color w:val="auto"/>
        </w:rPr>
        <w:t>Levi's Only Stores, Inc.,</w:t>
      </w:r>
    </w:p>
    <w:p>
      <w:pPr>
        <w:spacing w:after="0"/>
        <w:rPr>
          <w:sz w:val="20"/>
          <w:szCs w:val="20"/>
          <w:color w:val="auto"/>
        </w:rPr>
      </w:pPr>
      <w:r>
        <w:rPr>
          <w:rFonts w:ascii="Courier New" w:cs="Courier New" w:eastAsia="Courier New" w:hAnsi="Courier New"/>
          <w:sz w:val="18"/>
          <w:szCs w:val="18"/>
          <w:color w:val="auto"/>
        </w:rPr>
        <w:t>contributed approximately $4.7 million in cash to the joint venture in</w:t>
      </w:r>
    </w:p>
    <w:p>
      <w:pPr>
        <w:spacing w:after="0"/>
        <w:rPr>
          <w:sz w:val="20"/>
          <w:szCs w:val="20"/>
          <w:color w:val="auto"/>
        </w:rPr>
      </w:pPr>
      <w:r>
        <w:rPr>
          <w:rFonts w:ascii="Courier New" w:cs="Courier New" w:eastAsia="Courier New" w:hAnsi="Courier New"/>
          <w:sz w:val="18"/>
          <w:szCs w:val="18"/>
          <w:color w:val="auto"/>
        </w:rPr>
        <w:t>exchange for a 30% interest.</w:t>
      </w:r>
    </w:p>
    <w:p>
      <w:pPr>
        <w:spacing w:after="0" w:line="169" w:lineRule="exact"/>
        <w:rPr>
          <w:sz w:val="20"/>
          <w:szCs w:val="20"/>
          <w:color w:val="auto"/>
        </w:rPr>
      </w:pPr>
    </w:p>
    <w:p>
      <w:pPr>
        <w:ind w:right="2099" w:firstLine="527"/>
        <w:spacing w:after="0" w:line="247" w:lineRule="auto"/>
        <w:rPr>
          <w:sz w:val="20"/>
          <w:szCs w:val="20"/>
          <w:color w:val="auto"/>
        </w:rPr>
      </w:pPr>
      <w:r>
        <w:rPr>
          <w:rFonts w:ascii="Courier New" w:cs="Courier New" w:eastAsia="Courier New" w:hAnsi="Courier New"/>
          <w:sz w:val="18"/>
          <w:szCs w:val="18"/>
          <w:color w:val="auto"/>
        </w:rPr>
        <w:t>It is the current intention of the joint venture partners to fund the joint venture's working capital and funds for its future expansion from the partnership's operations and borrowings from third parties. However, the partners may also decide that they or their affiliates should contribute or loan additional funds to the joint venture or guaranty third-party debt. Neither partner will be required to make any future contribution to the capital of the joint venture, any loan to the joint venture or any such guaranty unless both partners agree. Excess cash (as defined in the partnership agreement) will be distributed by the joint venture in accordance with the terms of the partnership agreement. No assurance can be given that Designs JV Corp. will not make such capital contributions, loans or guaranties or that cash will be distributed to Designs JV Corp. out of the partnership.</w:t>
      </w:r>
    </w:p>
    <w:p>
      <w:pPr>
        <w:sectPr>
          <w:pgSz w:w="11900" w:h="16838" w:orient="portrait"/>
          <w:cols w:equalWidth="0" w:num="1">
            <w:col w:w="10219"/>
          </w:cols>
          <w:pgMar w:left="240" w:top="691" w:right="1440" w:bottom="1440" w:gutter="0" w:footer="0" w:header="0"/>
        </w:sectPr>
      </w:pPr>
    </w:p>
    <w:bookmarkStart w:id="13" w:name="page14"/>
    <w:bookmarkEnd w:id="13"/>
    <w:p>
      <w:pPr>
        <w:ind w:right="1999" w:firstLine="527"/>
        <w:spacing w:after="0" w:line="274" w:lineRule="auto"/>
        <w:rPr>
          <w:sz w:val="20"/>
          <w:szCs w:val="20"/>
          <w:color w:val="auto"/>
        </w:rPr>
      </w:pPr>
      <w:r>
        <w:rPr>
          <w:rFonts w:ascii="Courier New" w:cs="Courier New" w:eastAsia="Courier New" w:hAnsi="Courier New"/>
          <w:sz w:val="16"/>
          <w:szCs w:val="16"/>
          <w:color w:val="auto"/>
        </w:rPr>
        <w:t>In June 1994, Levi Strauss &amp; Co. informed the Company that it wanted to focus the future relationship between the two companies on the Original Levi's(R) Stores joint venture and to reduce the Company's dependency on Levi Strauss &amp; Co. Levi Strauss &amp; Co. informed the Company that it did not see a growth opportunity for the Company's Designs stores in the exclusively Levi's(R) format. However, Levi Strauss &amp; Co. informed the Company that it did see an opportunity for growth of the Company's Designs stores if the format was changed to a multi-brand format. Levi Strauss &amp; Co. advised the Company that it believes that this would avoid consumer confusion between the Original Levi's(R) Stores and Designs stores. According to Levi Strauss &amp; Co., this would require that not more than 70% of the product mix in the stores be Levi Strauss &amp; Co. product, that the format and presentation of the stores be "supportive" of its marketing and brand objectives and that Levi Strauss &amp; Co. approve that format beforehand. The Company has received favorable Levi Strauss &amp; Co. comment regarding the look of the multi-brand Designs stores and believes that the format will be acceptable to Levi Strauss &amp; Co. for Designs store expansion throughout the United States. Levi Strauss &amp; Co. would apply the new branch opening policies and practices to Designs stores that are applicable to other multi-brand retailers of Levi Strauss &amp; Co. products. Levi Strauss &amp; Co. advised the Company that if the Company does not decide to expand the Designs store chain, Levi Strauss &amp; Co. would not require change to a multi-brand format. If the Company does change the format and expand the Designs store chain, Levi Strauss &amp; Co. has said that it will require that the Company's existing Designs stores be converted to the new multi-brand format over a mutually agreeable period of time.</w:t>
      </w:r>
    </w:p>
    <w:p>
      <w:pPr>
        <w:spacing w:after="0" w:line="200" w:lineRule="exact"/>
        <w:rPr>
          <w:sz w:val="20"/>
          <w:szCs w:val="20"/>
          <w:color w:val="auto"/>
        </w:rPr>
      </w:pPr>
    </w:p>
    <w:p>
      <w:pPr>
        <w:spacing w:after="0" w:line="308" w:lineRule="exact"/>
        <w:rPr>
          <w:sz w:val="20"/>
          <w:szCs w:val="20"/>
          <w:color w:val="auto"/>
        </w:rPr>
      </w:pPr>
    </w:p>
    <w:p>
      <w:pPr>
        <w:ind w:right="1999" w:firstLine="527"/>
        <w:spacing w:after="0" w:line="249" w:lineRule="auto"/>
        <w:rPr>
          <w:sz w:val="20"/>
          <w:szCs w:val="20"/>
          <w:color w:val="auto"/>
        </w:rPr>
      </w:pPr>
      <w:r>
        <w:rPr>
          <w:rFonts w:ascii="Courier New" w:cs="Courier New" w:eastAsia="Courier New" w:hAnsi="Courier New"/>
          <w:sz w:val="18"/>
          <w:szCs w:val="18"/>
          <w:color w:val="auto"/>
        </w:rPr>
        <w:t>During fiscal year 1995, the Company introduced private label and Timberland(R) brand products into the merchandise mix in certain of its Designs stores. This was primarily due to the Company's desire to offset decreased gross profit margins in Designs stores caused by increased price competition with other retailers that sell Levi Strauss &amp; Co. merchandise in and around regional malls, the absence of certain key products in the Levi Strauss &amp; Co. line and increased opportunities for expansion of the Designs store chain throughout the United States. Based upon the overall performance of the Timberland(R) merchandise, the Company has added Timberland(R) products to the merchandise mix in the remodeled Designs stores and some of the Boston Traders(R) outlet stores.</w:t>
      </w:r>
    </w:p>
    <w:p>
      <w:pPr>
        <w:spacing w:after="0" w:line="104" w:lineRule="exact"/>
        <w:rPr>
          <w:sz w:val="20"/>
          <w:szCs w:val="20"/>
          <w:color w:val="auto"/>
        </w:rPr>
      </w:pPr>
    </w:p>
    <w:p>
      <w:pPr>
        <w:ind w:right="1999" w:firstLine="527"/>
        <w:spacing w:after="0" w:line="249" w:lineRule="auto"/>
        <w:rPr>
          <w:sz w:val="20"/>
          <w:szCs w:val="20"/>
          <w:color w:val="auto"/>
        </w:rPr>
      </w:pPr>
      <w:r>
        <w:rPr>
          <w:rFonts w:ascii="Courier New" w:cs="Courier New" w:eastAsia="Courier New" w:hAnsi="Courier New"/>
          <w:sz w:val="18"/>
          <w:szCs w:val="18"/>
          <w:color w:val="auto"/>
        </w:rPr>
        <w:t>On May 2, 1995, the Company acquired certain assets of Boston Trading in accordance with the terms of an Asset Purchase Agreement dated April 21, 1995 among Boston Trading, Designs Acquisition Corp., the Company and others. The Company paid $5,428,000 million in cash, financed by operations, and delivered a non-negotiable promissory note in the principal amount of $1,000,000. The principal amount of the promissory note is payable in two equal annual installments through May 1997. The purchase price has been allocated to the assets acquired, including certain intangible assets, such as trademarks and licensing agreements, based on their respective fair values. Other assets acquired included all inventory, fixed assets and leasehold improvements associated with 33 Boston Traders(R) outlet stores.</w:t>
      </w:r>
    </w:p>
    <w:p>
      <w:pPr>
        <w:sectPr>
          <w:pgSz w:w="11900" w:h="16838" w:orient="portrait"/>
          <w:cols w:equalWidth="0" w:num="1">
            <w:col w:w="10219"/>
          </w:cols>
          <w:pgMar w:left="240" w:top="691" w:right="1440" w:bottom="1440" w:gutter="0" w:footer="0" w:header="0"/>
        </w:sectPr>
      </w:pPr>
    </w:p>
    <w:bookmarkStart w:id="14" w:name="page15"/>
    <w:bookmarkEnd w:id="14"/>
    <w:p>
      <w:pPr>
        <w:ind w:right="2099" w:firstLine="527"/>
        <w:spacing w:after="0" w:line="280" w:lineRule="auto"/>
        <w:rPr>
          <w:sz w:val="20"/>
          <w:szCs w:val="20"/>
          <w:color w:val="auto"/>
        </w:rPr>
      </w:pPr>
      <w:r>
        <w:rPr>
          <w:rFonts w:ascii="Courier New" w:cs="Courier New" w:eastAsia="Courier New" w:hAnsi="Courier New"/>
          <w:sz w:val="16"/>
          <w:szCs w:val="16"/>
          <w:color w:val="auto"/>
        </w:rPr>
        <w:t>This acquisition will expand the Company's current operations to include the design, off-shore sourcing and retailing of Boston Traders(R) products. Among other things, the retail distribution of Boston Traders(R) products has required the Company to expend resources for a design and sourcing staff, and storage and distribution facilities in order to assure timely delivery and restocking of merchandise. The Company anticipates that the additional expenses associated with the acquisition and development of the Boston Traders(R) product line will total $4 to $5 million over the next 12 to 18 months. During the second quarter, the Company contracted with a third-party warehouse to facilitate the receiving, storage and distribution of the Boston Traders(R) products. The addition of the Boston Traders(R) outlet stores, which have no geographic restrictions, provides the Company with the opportunity to expand the Company's operations throughout the United States.</w:t>
      </w:r>
    </w:p>
    <w:p>
      <w:pPr>
        <w:spacing w:after="0" w:line="87"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The Boston Traders(R) product line replaces the "Exclusively for Designs" product line which was introduced in certain Design stores in fiscal 1995. The Company began introducing the Boston Traders(R) products into its Designs stores in June 1995. The Company does not expect that the percentage of Boston Traders(R) inventory or sales will be significant until the fall of fiscal 1997. The Company has no plans to continue the wholesale trade business of the Boston Traders(R) product lines.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During the first six months of fiscal 1996, the Company remodeled eight Designs stores and the joint venture partnership opened two Original Levi's(R) Stores. During the first six months of fiscal 1995, the Company opened six Levi's Outlet(R) stores, two Original Levi's(R) Stores and remodeled three Designs stores. Total cash outlays of $9.8 million and $5.1 million during the first six months of fiscal year 1996 and 1995, respectively, represent the costs of new and remodeled stores as well as corporate capital spending during the periods.</w:t>
      </w:r>
    </w:p>
    <w:p>
      <w:pPr>
        <w:spacing w:after="0" w:line="104"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During the remainder of fiscal year 1996, barring unforeseen circumstances, the Company plans to open one mall-based Designs store and two Boston Traders(R) outlet stores. The estimated costs to open these stores are expected to be approximately $1.0 million.</w:t>
      </w:r>
    </w:p>
    <w:p>
      <w:pPr>
        <w:spacing w:after="0" w:line="82"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Subsequent to the end of the quarter, as part of the joint venture, the Company opened one Original Levi's(R) store and two Levi's(R) Outlet stores. During the remainder of fiscal year 1996, barring unforeseen circumstances, the Company plans to open two additional Levi's(R) Outlet stores as part of the joint venture. The estimated costs to open these stores are expected to be approximately $625,000.</w:t>
      </w:r>
    </w:p>
    <w:p>
      <w:pPr>
        <w:spacing w:after="0" w:line="93"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The Company expects that cash flow from operations, short-term borrowings and available cash will enable it to finance its current working capital, remodeling and expansion requirements during the remainder of the fiscal year.</w:t>
      </w:r>
    </w:p>
    <w:p>
      <w:pPr>
        <w:sectPr>
          <w:pgSz w:w="11900" w:h="16838" w:orient="portrait"/>
          <w:cols w:equalWidth="0" w:num="1">
            <w:col w:w="10219"/>
          </w:cols>
          <w:pgMar w:left="240" w:top="691" w:right="1440" w:bottom="1440" w:gutter="0" w:footer="0" w:header="0"/>
        </w:sectPr>
      </w:pPr>
    </w:p>
    <w:bookmarkStart w:id="15" w:name="page16"/>
    <w:bookmarkEnd w:id="15"/>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The Company is a party to litigation and claims arising in the normal course of its business. Barring unforeseen circumstances, management does not expect the results of these actions to have a material adverse effect on the Company's business or financial condition.</w:t>
      </w:r>
    </w:p>
    <w:p>
      <w:pPr>
        <w:spacing w:after="0" w:line="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On June 13, 1995, the Company held its Annual Meeting of Stockholders. At the meeting stockholders holding at least 14,665,174 shares of the Company's Common Stock, $0.01 par value, cast votes in favor of the election of each of Stanley I. Berger, Joel H. Reichman, James G. Groninger, Bernard M. Manuel, Melvin Shapiro and Peter L.Thigpen as directors of the Company and no more than 228,101 shares were withheld from any one of the foregoing.</w:t>
      </w:r>
    </w:p>
    <w:p>
      <w:pPr>
        <w:spacing w:after="0" w:line="9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sz w:val="20"/>
          <w:szCs w:val="20"/>
          <w:color w:val="auto"/>
        </w:rPr>
      </w:pPr>
    </w:p>
    <w:p>
      <w:pPr>
        <w:ind w:left="1060" w:right="2199"/>
        <w:spacing w:after="0" w:line="252" w:lineRule="auto"/>
        <w:rPr>
          <w:sz w:val="20"/>
          <w:szCs w:val="20"/>
          <w:color w:val="auto"/>
        </w:rPr>
      </w:pPr>
      <w:r>
        <w:rPr>
          <w:rFonts w:ascii="Courier New" w:cs="Courier New" w:eastAsia="Courier New" w:hAnsi="Courier New"/>
          <w:sz w:val="18"/>
          <w:szCs w:val="18"/>
          <w:color w:val="auto"/>
        </w:rPr>
        <w:t>Report on Form 8-K, dated May 1, 1995, was filed by the Company to announce that its Board of Directors had adopted a Shareholder Rights Plan. Pursuant to the terms of a Shareholder Rights Agreement dated as of May 1, 1995 between the Company and its transfer agent, First National Bank of Boston, the Board of Directors declared a dividend distribution of one Preferred Stock Purchase Right for each outstanding share of Common Stock to stockholders of record as of the close of business on May 15, 1995.</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40" w:type="dxa"/>
            <w:vAlign w:val="bottom"/>
          </w:tcPr>
          <w:p>
            <w:pPr>
              <w:spacing w:after="0"/>
              <w:rPr>
                <w:sz w:val="24"/>
                <w:szCs w:val="24"/>
                <w:color w:val="auto"/>
              </w:rPr>
            </w:pPr>
          </w:p>
        </w:tc>
        <w:tc>
          <w:tcPr>
            <w:tcW w:w="3000" w:type="dxa"/>
            <w:vAlign w:val="bottom"/>
          </w:tcPr>
          <w:p>
            <w:pPr>
              <w:ind w:left="320"/>
              <w:spacing w:after="0"/>
              <w:rPr>
                <w:sz w:val="20"/>
                <w:szCs w:val="20"/>
                <w:color w:val="auto"/>
              </w:rPr>
            </w:pPr>
            <w:r>
              <w:rPr>
                <w:rFonts w:ascii="Courier New" w:cs="Courier New" w:eastAsia="Courier New" w:hAnsi="Courier New"/>
                <w:sz w:val="18"/>
                <w:szCs w:val="18"/>
                <w:color w:val="auto"/>
              </w:rPr>
              <w:t>B.   Exhibits:</w:t>
            </w:r>
          </w:p>
        </w:tc>
        <w:tc>
          <w:tcPr>
            <w:tcW w:w="3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10.1</w:t>
            </w:r>
          </w:p>
        </w:tc>
        <w:tc>
          <w:tcPr>
            <w:tcW w:w="6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1987 Incentive Stock Option Plan, as amended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(included as Exhibit 10.1</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Company's Annual</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Report on Form 10-K dated</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29, 1993, and</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6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incorporated herein by reference).</w:t>
            </w: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10.2</w:t>
            </w:r>
          </w:p>
        </w:tc>
        <w:tc>
          <w:tcPr>
            <w:tcW w:w="6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1987 Non-Qualified Stock Option Plan, as amended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(included as Exhibit 10.2</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Company's Annual</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Report on Form 10-K dated</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29, 1993, and</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6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incorporated herein by reference).</w:t>
            </w: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10.3</w:t>
            </w:r>
          </w:p>
        </w:tc>
        <w:tc>
          <w:tcPr>
            <w:tcW w:w="6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1992 Stock Incentive Plan, as amended (included as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Exhibit A to the Company's definitive proxy</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statement dated May 10, 1994, and incorporated</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3000" w:type="dxa"/>
            <w:vAlign w:val="bottom"/>
          </w:tcPr>
          <w:p>
            <w:pPr>
              <w:ind w:left="320"/>
              <w:spacing w:after="0"/>
              <w:rPr>
                <w:sz w:val="20"/>
                <w:szCs w:val="20"/>
                <w:color w:val="auto"/>
              </w:rPr>
            </w:pPr>
            <w:r>
              <w:rPr>
                <w:rFonts w:ascii="Courier New" w:cs="Courier New" w:eastAsia="Courier New" w:hAnsi="Courier New"/>
                <w:sz w:val="18"/>
                <w:szCs w:val="18"/>
                <w:color w:val="auto"/>
              </w:rPr>
              <w:t>herein by reference).</w:t>
            </w:r>
          </w:p>
        </w:tc>
        <w:tc>
          <w:tcPr>
            <w:tcW w:w="33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10.4</w:t>
            </w:r>
          </w:p>
        </w:tc>
        <w:tc>
          <w:tcPr>
            <w:tcW w:w="3000" w:type="dxa"/>
            <w:vAlign w:val="bottom"/>
          </w:tcPr>
          <w:p>
            <w:pPr>
              <w:ind w:left="320"/>
              <w:spacing w:after="0"/>
              <w:rPr>
                <w:sz w:val="20"/>
                <w:szCs w:val="20"/>
                <w:color w:val="auto"/>
              </w:rPr>
            </w:pPr>
            <w:r>
              <w:rPr>
                <w:rFonts w:ascii="Courier New" w:cs="Courier New" w:eastAsia="Courier New" w:hAnsi="Courier New"/>
                <w:sz w:val="18"/>
                <w:szCs w:val="18"/>
                <w:color w:val="auto"/>
                <w:w w:val="98"/>
              </w:rPr>
              <w:t>License Agreement between</w:t>
            </w:r>
          </w:p>
        </w:tc>
        <w:tc>
          <w:tcPr>
            <w:tcW w:w="3380" w:type="dxa"/>
            <w:vAlign w:val="bottom"/>
          </w:tcPr>
          <w:p>
            <w:pPr>
              <w:ind w:left="60"/>
              <w:spacing w:after="0"/>
              <w:rPr>
                <w:sz w:val="20"/>
                <w:szCs w:val="20"/>
                <w:color w:val="auto"/>
              </w:rPr>
            </w:pPr>
            <w:r>
              <w:rPr>
                <w:rFonts w:ascii="Courier New" w:cs="Courier New" w:eastAsia="Courier New" w:hAnsi="Courier New"/>
                <w:sz w:val="18"/>
                <w:szCs w:val="18"/>
                <w:color w:val="auto"/>
              </w:rPr>
              <w:t>the Company and Levi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Strauss &amp; Co. dated as of</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14, 1992</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(included as Exhibit 10.8</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Company's Annual</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Report on Form 10-K dated</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29, 1993, and</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6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incorporated herein by reference).</w:t>
            </w: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10.5</w:t>
            </w:r>
          </w:p>
        </w:tc>
        <w:tc>
          <w:tcPr>
            <w:tcW w:w="6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Executive Incentive Plan effective through the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fiscal year ended January</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 1995 (included as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Exhibit 10.8 to the Company's Annual Report on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Form 10-K for the year ended January 28, 1994, and</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6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incorporated herein by reference).</w:t>
            </w: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Credit Agreement among the Company, BayBank</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Boston, N.A., and State Street Bank and Trust</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Company dated as of November 17,</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 (included as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Exhibit 1 to the Company's current report on</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Form 8-K dated November 22, 1994, and incorporated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31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Consulting Agreement between the Company and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Stanley I. Berger dated December 21, 1994 (included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as Exhibit 10.7 to the Company's Annual Report on</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Form 10-K, dated April 26, 1995, and incorporated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31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Employee Separation Agreement between the Company</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and Geoffrey M. Holczer dated December 27, 1994 (included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as Exhibit 10.8 to the Company's Annual Report on</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Form 10-K, dated April 26, 1995, and incorporated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31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Participation Agreement among Designs JV Corp.</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"Designs Partner"), the Company, LDJV Inc.</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"LOS Partner"), Levi's Only Stores, Inc. ("LOS"),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Levi Strauss &amp; Co. ("LS&amp;CO") and Levi Strauss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Associates Inc. ("LSAI") dated January 28, 1995</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(included as Exhibit 10.1 to the Company's Current</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 on Form 8-K dated April 24, 1995, and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incorporated herein by reference).</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Partnership Agreement of The Designs/OLS Partnership</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"Partnership") between the LOS Partner and the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Designs Partner dated January 28, 1995 (included as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Exhibit 10.2 to the Company's Current Report on Form 8-K</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dated April 24, 1995, and incorporated herein by reference).</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Glossary executed by the Designs Partner, the Company,</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LOS Partner, LOS, LS&amp;CO, LSAI and the Partnership</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dated January 28,1995 (included as Exhibit 10.3 to the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and incorporated herein by reference).</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Sublicense Agreement between LOS and the LOS Partner</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(included as Exhibit 10.4 to the Company's Current</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 on Form 8-K dated April 24, 1995, and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incorporated herein by reference).</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Sublicense Agreement between the LOS Partner and the</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Partnership (included as Exhibit 10.5 to the Company's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incorporated herein by reference).</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License Agreement between the Company and the</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Partnership (included as Exhibit 10.6 to the Company's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incorporated herein by reference).</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6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Administrative Services Agreement between the Company</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and the Partnership dated January 28, 1995 (included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as Exhibit 10.7 to the Company's Current Report on</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Form 8-K dated April 24, 1995, and incorporated herein</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rPr>
              <w:t>by reference).</w:t>
            </w:r>
          </w:p>
        </w:tc>
        <w:tc>
          <w:tcPr>
            <w:tcW w:w="31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92" w:right="1440" w:bottom="1440" w:gutter="0" w:footer="0" w:header="0"/>
        </w:sectPr>
      </w:pPr>
    </w:p>
    <w:bookmarkStart w:id="17" w:name="page18"/>
    <w:bookmarkEnd w:id="17"/>
    <w:p>
      <w:pPr>
        <w:ind w:left="1060" w:right="3479" w:hanging="1052"/>
        <w:spacing w:after="0" w:line="292" w:lineRule="auto"/>
        <w:tabs>
          <w:tab w:leader="none" w:pos="1040" w:val="left"/>
        </w:tabs>
        <w:rPr>
          <w:sz w:val="20"/>
          <w:szCs w:val="20"/>
          <w:color w:val="auto"/>
        </w:rPr>
      </w:pPr>
      <w:r>
        <w:rPr>
          <w:rFonts w:ascii="Courier New" w:cs="Courier New" w:eastAsia="Courier New" w:hAnsi="Courier New"/>
          <w:sz w:val="18"/>
          <w:szCs w:val="18"/>
          <w:color w:val="auto"/>
        </w:rPr>
        <w:t>10.16</w:t>
      </w:r>
      <w:r>
        <w:rPr>
          <w:sz w:val="20"/>
          <w:szCs w:val="20"/>
          <w:color w:val="auto"/>
        </w:rPr>
        <w:tab/>
      </w:r>
      <w:r>
        <w:rPr>
          <w:rFonts w:ascii="Courier New" w:cs="Courier New" w:eastAsia="Courier New" w:hAnsi="Courier New"/>
          <w:sz w:val="18"/>
          <w:szCs w:val="18"/>
          <w:color w:val="auto"/>
        </w:rPr>
        <w:t>Asset Purchase Agreement among Boston Trading, Designs Acquisition Corp., the Company and others dated April 21, 1995.</w:t>
      </w:r>
    </w:p>
    <w:p>
      <w:pPr>
        <w:spacing w:after="0" w:line="66" w:lineRule="exact"/>
        <w:rPr>
          <w:sz w:val="20"/>
          <w:szCs w:val="20"/>
          <w:color w:val="auto"/>
        </w:rPr>
      </w:pPr>
    </w:p>
    <w:p>
      <w:pPr>
        <w:ind w:left="1060" w:right="3779" w:hanging="1052"/>
        <w:spacing w:after="0" w:line="292" w:lineRule="auto"/>
        <w:tabs>
          <w:tab w:leader="none" w:pos="1040" w:val="left"/>
        </w:tabs>
        <w:rPr>
          <w:sz w:val="20"/>
          <w:szCs w:val="20"/>
          <w:color w:val="auto"/>
        </w:rPr>
      </w:pPr>
      <w:r>
        <w:rPr>
          <w:rFonts w:ascii="Courier New" w:cs="Courier New" w:eastAsia="Courier New" w:hAnsi="Courier New"/>
          <w:sz w:val="18"/>
          <w:szCs w:val="18"/>
          <w:color w:val="auto"/>
        </w:rPr>
        <w:t>10.17</w:t>
      </w:r>
      <w:r>
        <w:rPr>
          <w:sz w:val="20"/>
          <w:szCs w:val="20"/>
          <w:color w:val="auto"/>
        </w:rPr>
        <w:tab/>
      </w:r>
      <w:r>
        <w:rPr>
          <w:rFonts w:ascii="Courier New" w:cs="Courier New" w:eastAsia="Courier New" w:hAnsi="Courier New"/>
          <w:sz w:val="18"/>
          <w:szCs w:val="18"/>
          <w:color w:val="auto"/>
        </w:rPr>
        <w:t>Non-Negotiable Promissory Note between the Company and Atlantic Harbor, Inc., formerly known as Boston Trading Ltd., Inc., dated May 2, 1995.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10.18</w:t>
            </w:r>
          </w:p>
        </w:tc>
        <w:tc>
          <w:tcPr>
            <w:tcW w:w="268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Amendment dated June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2, 1995 to</w:t>
            </w:r>
          </w:p>
        </w:tc>
        <w:tc>
          <w:tcPr>
            <w:tcW w:w="26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the Credit Agreement</w:t>
            </w:r>
          </w:p>
        </w:tc>
      </w:tr>
      <w:tr>
        <w:trPr>
          <w:trHeight w:val="203"/>
        </w:trPr>
        <w:tc>
          <w:tcPr>
            <w:tcW w:w="540" w:type="dxa"/>
            <w:vAlign w:val="bottom"/>
          </w:tcPr>
          <w:p>
            <w:pPr>
              <w:spacing w:after="0"/>
              <w:rPr>
                <w:sz w:val="17"/>
                <w:szCs w:val="17"/>
                <w:color w:val="auto"/>
              </w:rPr>
            </w:pPr>
          </w:p>
        </w:tc>
        <w:tc>
          <w:tcPr>
            <w:tcW w:w="416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w w:val="98"/>
              </w:rPr>
              <w:t>among the Company, BayBank Boston,</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 and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State Street</w:t>
            </w:r>
          </w:p>
        </w:tc>
      </w:tr>
      <w:tr>
        <w:trPr>
          <w:trHeight w:val="296"/>
        </w:trPr>
        <w:tc>
          <w:tcPr>
            <w:tcW w:w="540" w:type="dxa"/>
            <w:vAlign w:val="bottom"/>
          </w:tcPr>
          <w:p>
            <w:pPr>
              <w:spacing w:after="0"/>
              <w:rPr>
                <w:sz w:val="24"/>
                <w:szCs w:val="24"/>
                <w:color w:val="auto"/>
              </w:rPr>
            </w:pPr>
          </w:p>
        </w:tc>
        <w:tc>
          <w:tcPr>
            <w:tcW w:w="1420" w:type="dxa"/>
            <w:vAlign w:val="bottom"/>
          </w:tcPr>
          <w:p>
            <w:pPr>
              <w:ind w:left="520"/>
              <w:spacing w:after="0"/>
              <w:rPr>
                <w:sz w:val="20"/>
                <w:szCs w:val="20"/>
                <w:color w:val="auto"/>
              </w:rPr>
            </w:pPr>
            <w:r>
              <w:rPr>
                <w:rFonts w:ascii="Courier New" w:cs="Courier New" w:eastAsia="Courier New" w:hAnsi="Courier New"/>
                <w:sz w:val="18"/>
                <w:szCs w:val="18"/>
                <w:color w:val="auto"/>
              </w:rPr>
              <w:t>Bank and</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Trust Company dated as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November 17, 1994.</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1420" w:type="dxa"/>
            <w:vAlign w:val="bottom"/>
          </w:tcPr>
          <w:p>
            <w:pPr>
              <w:ind w:left="520"/>
              <w:spacing w:after="0"/>
              <w:rPr>
                <w:sz w:val="20"/>
                <w:szCs w:val="20"/>
                <w:color w:val="auto"/>
              </w:rPr>
            </w:pPr>
            <w:r>
              <w:rPr>
                <w:rFonts w:ascii="Courier New" w:cs="Courier New" w:eastAsia="Courier New" w:hAnsi="Courier New"/>
                <w:sz w:val="18"/>
                <w:szCs w:val="18"/>
                <w:color w:val="auto"/>
              </w:rPr>
              <w:t>Schedule</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re: computation of per</w:t>
            </w:r>
          </w:p>
        </w:tc>
        <w:tc>
          <w:tcPr>
            <w:tcW w:w="26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share earnings</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80" w:type="dxa"/>
            <w:vAlign w:val="bottom"/>
            <w:gridSpan w:val="2"/>
          </w:tcPr>
          <w:p>
            <w:pPr>
              <w:spacing w:after="0"/>
              <w:rPr>
                <w:sz w:val="20"/>
                <w:szCs w:val="20"/>
                <w:color w:val="auto"/>
              </w:rPr>
            </w:pPr>
            <w:r>
              <w:rPr>
                <w:rFonts w:ascii="Courier New" w:cs="Courier New" w:eastAsia="Courier New" w:hAnsi="Courier New"/>
                <w:sz w:val="18"/>
                <w:szCs w:val="18"/>
                <w:color w:val="auto"/>
                <w:w w:val="98"/>
              </w:rPr>
              <w:t>Previously filed with the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Securities</w:t>
            </w:r>
          </w:p>
        </w:tc>
        <w:tc>
          <w:tcPr>
            <w:tcW w:w="13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and Exchange</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Commission.</w:t>
            </w:r>
          </w:p>
        </w:tc>
      </w:tr>
    </w:tbl>
    <w:p>
      <w:pPr>
        <w:sectPr>
          <w:pgSz w:w="11900" w:h="16838" w:orient="portrait"/>
          <w:cols w:equalWidth="0" w:num="1">
            <w:col w:w="10219"/>
          </w:cols>
          <w:pgMar w:left="240" w:top="691" w:right="1440" w:bottom="1440" w:gutter="0" w:footer="0" w:header="0"/>
        </w:sectPr>
      </w:pPr>
    </w:p>
    <w:bookmarkStart w:id="18" w:name="page19"/>
    <w:bookmarkEnd w:id="18"/>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Exhibit 11.</w:t>
        <w:tab/>
        <w:t>Statement Re:</w:t>
      </w:r>
      <w:r>
        <w:rPr>
          <w:sz w:val="20"/>
          <w:szCs w:val="20"/>
          <w:color w:val="auto"/>
        </w:rPr>
        <w:tab/>
      </w:r>
      <w:r>
        <w:rPr>
          <w:rFonts w:ascii="Courier New" w:cs="Courier New" w:eastAsia="Courier New" w:hAnsi="Courier New"/>
          <w:sz w:val="16"/>
          <w:szCs w:val="16"/>
          <w:color w:val="auto"/>
        </w:rPr>
        <w:t>Computation of Per Share Earnings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8"/>
                <w:szCs w:val="18"/>
                <w:color w:val="auto"/>
              </w:rPr>
              <w:t>Three Months</w:t>
            </w:r>
          </w:p>
        </w:tc>
        <w:tc>
          <w:tcPr>
            <w:tcW w:w="190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Ended</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2620" w:type="dxa"/>
            <w:vAlign w:val="bottom"/>
          </w:tcPr>
          <w:p>
            <w:pPr>
              <w:jc w:val="center"/>
              <w:ind w:left="952"/>
              <w:spacing w:after="0" w:line="203" w:lineRule="exact"/>
              <w:rPr>
                <w:sz w:val="20"/>
                <w:szCs w:val="20"/>
                <w:color w:val="auto"/>
              </w:rPr>
            </w:pPr>
            <w:r>
              <w:rPr>
                <w:rFonts w:ascii="Courier New" w:cs="Courier New" w:eastAsia="Courier New" w:hAnsi="Courier New"/>
                <w:sz w:val="18"/>
                <w:szCs w:val="18"/>
                <w:color w:val="auto"/>
                <w:w w:val="97"/>
              </w:rPr>
              <w:t>7/29/95</w:t>
            </w:r>
          </w:p>
        </w:tc>
        <w:tc>
          <w:tcPr>
            <w:tcW w:w="190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7/30/94</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2620" w:type="dxa"/>
            <w:vAlign w:val="bottom"/>
          </w:tcPr>
          <w:p>
            <w:pPr>
              <w:jc w:val="center"/>
              <w:ind w:left="952"/>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370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0" w:type="dxa"/>
            <w:vAlign w:val="bottom"/>
          </w:tcPr>
          <w:p>
            <w:pPr>
              <w:spacing w:after="0"/>
              <w:rPr>
                <w:sz w:val="1"/>
                <w:szCs w:val="1"/>
                <w:color w:val="auto"/>
              </w:rPr>
            </w:pPr>
          </w:p>
        </w:tc>
      </w:tr>
      <w:tr>
        <w:trPr>
          <w:trHeight w:val="296"/>
        </w:trPr>
        <w:tc>
          <w:tcPr>
            <w:tcW w:w="3700" w:type="dxa"/>
            <w:vAlign w:val="bottom"/>
            <w:vMerge w:val="continue"/>
          </w:tcPr>
          <w:p>
            <w:pPr>
              <w:spacing w:after="0"/>
              <w:rPr>
                <w:sz w:val="24"/>
                <w:szCs w:val="24"/>
                <w:color w:val="auto"/>
              </w:rPr>
            </w:pPr>
          </w:p>
        </w:tc>
        <w:tc>
          <w:tcPr>
            <w:tcW w:w="2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$ 1,193</w:t>
            </w:r>
          </w:p>
        </w:tc>
        <w:tc>
          <w:tcPr>
            <w:tcW w:w="190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5"/>
              </w:rPr>
              <w:t>$ 1,623</w:t>
            </w:r>
          </w:p>
        </w:tc>
        <w:tc>
          <w:tcPr>
            <w:tcW w:w="0" w:type="dxa"/>
            <w:vAlign w:val="bottom"/>
          </w:tcPr>
          <w:p>
            <w:pPr>
              <w:spacing w:after="0"/>
              <w:rPr>
                <w:sz w:val="1"/>
                <w:szCs w:val="1"/>
                <w:color w:val="auto"/>
              </w:rPr>
            </w:pPr>
          </w:p>
        </w:tc>
      </w:tr>
      <w:tr>
        <w:trPr>
          <w:trHeight w:val="311"/>
        </w:trPr>
        <w:tc>
          <w:tcPr>
            <w:tcW w:w="3700" w:type="dxa"/>
            <w:vAlign w:val="bottom"/>
          </w:tcPr>
          <w:p>
            <w:pPr>
              <w:spacing w:after="0"/>
              <w:rPr>
                <w:sz w:val="20"/>
                <w:szCs w:val="20"/>
                <w:color w:val="auto"/>
              </w:rPr>
            </w:pPr>
            <w:r>
              <w:rPr>
                <w:rFonts w:ascii="Courier New" w:cs="Courier New" w:eastAsia="Courier New" w:hAnsi="Courier New"/>
                <w:sz w:val="18"/>
                <w:szCs w:val="18"/>
                <w:color w:val="auto"/>
              </w:rPr>
              <w:t>Weighted average shares</w:t>
            </w:r>
          </w:p>
        </w:tc>
        <w:tc>
          <w:tcPr>
            <w:tcW w:w="26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15,763</w:t>
            </w:r>
          </w:p>
        </w:tc>
        <w:tc>
          <w:tcPr>
            <w:tcW w:w="1900" w:type="dxa"/>
            <w:vAlign w:val="bottom"/>
            <w:vMerge w:val="restart"/>
          </w:tcPr>
          <w:p>
            <w:pPr>
              <w:jc w:val="right"/>
              <w:ind w:right="1072"/>
              <w:spacing w:after="0"/>
              <w:rPr>
                <w:sz w:val="20"/>
                <w:szCs w:val="20"/>
                <w:color w:val="auto"/>
              </w:rPr>
            </w:pPr>
            <w:r>
              <w:rPr>
                <w:rFonts w:ascii="Courier New" w:cs="Courier New" w:eastAsia="Courier New" w:hAnsi="Courier New"/>
                <w:sz w:val="18"/>
                <w:szCs w:val="18"/>
                <w:color w:val="auto"/>
              </w:rPr>
              <w:t>16,002</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0"/>
                <w:szCs w:val="20"/>
                <w:color w:val="auto"/>
              </w:rPr>
            </w:pPr>
            <w:r>
              <w:rPr>
                <w:rFonts w:ascii="Courier New" w:cs="Courier New" w:eastAsia="Courier New" w:hAnsi="Courier New"/>
                <w:sz w:val="18"/>
                <w:szCs w:val="18"/>
                <w:color w:val="auto"/>
              </w:rPr>
              <w:t>outstanding during the period</w:t>
            </w:r>
          </w:p>
        </w:tc>
        <w:tc>
          <w:tcPr>
            <w:tcW w:w="262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tcPr>
          <w:p>
            <w:pPr>
              <w:spacing w:after="0"/>
              <w:rPr>
                <w:sz w:val="20"/>
                <w:szCs w:val="20"/>
                <w:color w:val="auto"/>
              </w:rPr>
            </w:pPr>
            <w:r>
              <w:rPr>
                <w:rFonts w:ascii="Courier New" w:cs="Courier New" w:eastAsia="Courier New" w:hAnsi="Courier New"/>
                <w:sz w:val="18"/>
                <w:szCs w:val="18"/>
                <w:color w:val="auto"/>
              </w:rPr>
              <w:t>Common equivalent shares</w:t>
            </w:r>
          </w:p>
        </w:tc>
        <w:tc>
          <w:tcPr>
            <w:tcW w:w="26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8"/>
              </w:rPr>
              <w:t>---</w:t>
            </w:r>
          </w:p>
        </w:tc>
        <w:tc>
          <w:tcPr>
            <w:tcW w:w="190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96"/>
        </w:trPr>
        <w:tc>
          <w:tcPr>
            <w:tcW w:w="370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 for purpose</w:t>
            </w:r>
          </w:p>
        </w:tc>
        <w:tc>
          <w:tcPr>
            <w:tcW w:w="2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70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calculating net income per</w:t>
            </w:r>
          </w:p>
        </w:tc>
        <w:tc>
          <w:tcPr>
            <w:tcW w:w="2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and common equivalent</w:t>
            </w:r>
          </w:p>
        </w:tc>
        <w:tc>
          <w:tcPr>
            <w:tcW w:w="26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15,763</w:t>
            </w:r>
          </w:p>
        </w:tc>
        <w:tc>
          <w:tcPr>
            <w:tcW w:w="1900" w:type="dxa"/>
            <w:vAlign w:val="bottom"/>
            <w:vMerge w:val="restart"/>
          </w:tcPr>
          <w:p>
            <w:pPr>
              <w:jc w:val="right"/>
              <w:ind w:right="1072"/>
              <w:spacing w:after="0"/>
              <w:rPr>
                <w:sz w:val="20"/>
                <w:szCs w:val="20"/>
                <w:color w:val="auto"/>
              </w:rPr>
            </w:pPr>
            <w:r>
              <w:rPr>
                <w:rFonts w:ascii="Courier New" w:cs="Courier New" w:eastAsia="Courier New" w:hAnsi="Courier New"/>
                <w:sz w:val="18"/>
                <w:szCs w:val="18"/>
                <w:color w:val="auto"/>
              </w:rPr>
              <w:t>16,002</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262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2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700" w:type="dxa"/>
            <w:vAlign w:val="bottom"/>
          </w:tcPr>
          <w:p>
            <w:pPr>
              <w:spacing w:after="0"/>
              <w:rPr>
                <w:sz w:val="20"/>
                <w:szCs w:val="20"/>
                <w:color w:val="auto"/>
              </w:rPr>
            </w:pPr>
            <w:r>
              <w:rPr>
                <w:rFonts w:ascii="Courier New" w:cs="Courier New" w:eastAsia="Courier New" w:hAnsi="Courier New"/>
                <w:sz w:val="18"/>
                <w:szCs w:val="18"/>
                <w:color w:val="auto"/>
              </w:rPr>
              <w:t>Incremental shares to</w:t>
            </w:r>
          </w:p>
        </w:tc>
        <w:tc>
          <w:tcPr>
            <w:tcW w:w="26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N/A</w:t>
            </w:r>
          </w:p>
        </w:tc>
        <w:tc>
          <w:tcPr>
            <w:tcW w:w="1900" w:type="dxa"/>
            <w:vAlign w:val="bottom"/>
            <w:vMerge w:val="restart"/>
          </w:tcPr>
          <w:p>
            <w:pPr>
              <w:jc w:val="right"/>
              <w:ind w:right="1072"/>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0"/>
                <w:szCs w:val="20"/>
                <w:color w:val="auto"/>
              </w:rPr>
            </w:pPr>
            <w:r>
              <w:rPr>
                <w:rFonts w:ascii="Courier New" w:cs="Courier New" w:eastAsia="Courier New" w:hAnsi="Courier New"/>
                <w:sz w:val="18"/>
                <w:szCs w:val="18"/>
                <w:color w:val="auto"/>
              </w:rPr>
              <w:t>reflect full dilution</w:t>
            </w:r>
          </w:p>
        </w:tc>
        <w:tc>
          <w:tcPr>
            <w:tcW w:w="262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tcPr>
          <w:p>
            <w:pPr>
              <w:spacing w:after="0"/>
              <w:rPr>
                <w:sz w:val="20"/>
                <w:szCs w:val="20"/>
                <w:color w:val="auto"/>
              </w:rPr>
            </w:pPr>
            <w:r>
              <w:rPr>
                <w:rFonts w:ascii="Courier New" w:cs="Courier New" w:eastAsia="Courier New" w:hAnsi="Courier New"/>
                <w:sz w:val="18"/>
                <w:szCs w:val="18"/>
                <w:color w:val="auto"/>
              </w:rPr>
              <w:t>Total shares for purposes</w:t>
            </w:r>
          </w:p>
        </w:tc>
        <w:tc>
          <w:tcPr>
            <w:tcW w:w="2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calculating fully</w:t>
            </w:r>
          </w:p>
        </w:tc>
        <w:tc>
          <w:tcPr>
            <w:tcW w:w="2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net income</w:t>
            </w:r>
          </w:p>
        </w:tc>
        <w:tc>
          <w:tcPr>
            <w:tcW w:w="2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0"/>
                <w:szCs w:val="20"/>
                <w:color w:val="auto"/>
              </w:rPr>
            </w:pPr>
            <w:r>
              <w:rPr>
                <w:rFonts w:ascii="Courier New" w:cs="Courier New" w:eastAsia="Courier New" w:hAnsi="Courier New"/>
                <w:sz w:val="18"/>
                <w:szCs w:val="18"/>
                <w:color w:val="auto"/>
              </w:rPr>
              <w:t>per share</w:t>
            </w:r>
          </w:p>
        </w:tc>
        <w:tc>
          <w:tcPr>
            <w:tcW w:w="26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N/A</w:t>
            </w:r>
          </w:p>
        </w:tc>
        <w:tc>
          <w:tcPr>
            <w:tcW w:w="1900" w:type="dxa"/>
            <w:vAlign w:val="bottom"/>
            <w:vMerge w:val="restart"/>
          </w:tcPr>
          <w:p>
            <w:pPr>
              <w:jc w:val="right"/>
              <w:ind w:right="1072"/>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370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per common</w:t>
            </w:r>
          </w:p>
        </w:tc>
        <w:tc>
          <w:tcPr>
            <w:tcW w:w="262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3700" w:type="dxa"/>
            <w:vAlign w:val="bottom"/>
            <w:vMerge w:val="continue"/>
          </w:tcPr>
          <w:p>
            <w:pPr>
              <w:spacing w:after="0"/>
              <w:rPr>
                <w:sz w:val="9"/>
                <w:szCs w:val="9"/>
                <w:color w:val="auto"/>
              </w:rPr>
            </w:pPr>
          </w:p>
        </w:tc>
        <w:tc>
          <w:tcPr>
            <w:tcW w:w="26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$0.08</w:t>
            </w:r>
          </w:p>
        </w:tc>
        <w:tc>
          <w:tcPr>
            <w:tcW w:w="1900" w:type="dxa"/>
            <w:vAlign w:val="bottom"/>
            <w:vMerge w:val="restart"/>
          </w:tcPr>
          <w:p>
            <w:pPr>
              <w:jc w:val="right"/>
              <w:ind w:right="1072"/>
              <w:spacing w:after="0"/>
              <w:rPr>
                <w:sz w:val="20"/>
                <w:szCs w:val="20"/>
                <w:color w:val="auto"/>
              </w:rPr>
            </w:pPr>
            <w:r>
              <w:rPr>
                <w:rFonts w:ascii="Courier New" w:cs="Courier New" w:eastAsia="Courier New" w:hAnsi="Courier New"/>
                <w:sz w:val="18"/>
                <w:szCs w:val="18"/>
                <w:color w:val="auto"/>
              </w:rPr>
              <w:t>$0.10</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262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2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9" w:name="page20"/>
    <w:bookmarkEnd w:id="19"/>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Exhibit 11.</w:t>
        <w:tab/>
        <w:t>Statement Re:</w:t>
      </w:r>
      <w:r>
        <w:rPr>
          <w:sz w:val="20"/>
          <w:szCs w:val="20"/>
          <w:color w:val="auto"/>
        </w:rPr>
        <w:tab/>
      </w:r>
      <w:r>
        <w:rPr>
          <w:rFonts w:ascii="Courier New" w:cs="Courier New" w:eastAsia="Courier New" w:hAnsi="Courier New"/>
          <w:sz w:val="16"/>
          <w:szCs w:val="16"/>
          <w:color w:val="auto"/>
        </w:rPr>
        <w:t>Computation of Per Share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580" w:type="dxa"/>
            <w:vAlign w:val="bottom"/>
          </w:tcPr>
          <w:p>
            <w:pPr>
              <w:ind w:left="1380"/>
              <w:spacing w:after="0"/>
              <w:rPr>
                <w:sz w:val="20"/>
                <w:szCs w:val="20"/>
                <w:color w:val="auto"/>
              </w:rPr>
            </w:pPr>
            <w:r>
              <w:rPr>
                <w:rFonts w:ascii="Courier New" w:cs="Courier New" w:eastAsia="Courier New" w:hAnsi="Courier New"/>
                <w:sz w:val="18"/>
                <w:szCs w:val="18"/>
                <w:color w:val="auto"/>
              </w:rPr>
              <w:t>Earnings, cont.</w:t>
            </w: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80" w:type="dxa"/>
            <w:vAlign w:val="bottom"/>
          </w:tcPr>
          <w:p>
            <w:pPr>
              <w:spacing w:after="0"/>
              <w:rPr>
                <w:sz w:val="24"/>
                <w:szCs w:val="24"/>
                <w:color w:val="auto"/>
              </w:rPr>
            </w:pPr>
          </w:p>
        </w:tc>
        <w:tc>
          <w:tcPr>
            <w:tcW w:w="444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Six Months Ended</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24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7/29/95</w:t>
            </w:r>
          </w:p>
        </w:tc>
        <w:tc>
          <w:tcPr>
            <w:tcW w:w="196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7/30/94</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24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444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7"/>
              </w:rPr>
              <w:t>(In thousands, except per share data)</w:t>
            </w:r>
          </w:p>
        </w:tc>
        <w:tc>
          <w:tcPr>
            <w:tcW w:w="0" w:type="dxa"/>
            <w:vAlign w:val="bottom"/>
          </w:tcPr>
          <w:p>
            <w:pPr>
              <w:spacing w:after="0"/>
              <w:rPr>
                <w:sz w:val="1"/>
                <w:szCs w:val="1"/>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480" w:type="dxa"/>
            <w:vAlign w:val="bottom"/>
          </w:tcPr>
          <w:p>
            <w:pPr>
              <w:ind w:left="1480"/>
              <w:spacing w:after="0"/>
              <w:rPr>
                <w:sz w:val="20"/>
                <w:szCs w:val="20"/>
                <w:color w:val="auto"/>
              </w:rPr>
            </w:pPr>
            <w:r>
              <w:rPr>
                <w:rFonts w:ascii="Courier New" w:cs="Courier New" w:eastAsia="Courier New" w:hAnsi="Courier New"/>
                <w:sz w:val="18"/>
                <w:szCs w:val="18"/>
                <w:color w:val="auto"/>
              </w:rPr>
              <w:t>$ 2,790</w:t>
            </w:r>
          </w:p>
        </w:tc>
        <w:tc>
          <w:tcPr>
            <w:tcW w:w="19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$ 1,723</w:t>
            </w: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Weighted average shares</w:t>
            </w:r>
          </w:p>
        </w:tc>
        <w:tc>
          <w:tcPr>
            <w:tcW w:w="2480" w:type="dxa"/>
            <w:vAlign w:val="bottom"/>
            <w:vMerge w:val="restart"/>
          </w:tcPr>
          <w:p>
            <w:pPr>
              <w:ind w:left="1580"/>
              <w:spacing w:after="0"/>
              <w:rPr>
                <w:sz w:val="20"/>
                <w:szCs w:val="20"/>
                <w:color w:val="auto"/>
              </w:rPr>
            </w:pPr>
            <w:r>
              <w:rPr>
                <w:rFonts w:ascii="Courier New" w:cs="Courier New" w:eastAsia="Courier New" w:hAnsi="Courier New"/>
                <w:sz w:val="18"/>
                <w:szCs w:val="18"/>
                <w:color w:val="auto"/>
              </w:rPr>
              <w:t>15,760</w:t>
            </w:r>
          </w:p>
        </w:tc>
        <w:tc>
          <w:tcPr>
            <w:tcW w:w="1960" w:type="dxa"/>
            <w:vAlign w:val="bottom"/>
            <w:vMerge w:val="restart"/>
          </w:tcPr>
          <w:p>
            <w:pPr>
              <w:jc w:val="right"/>
              <w:ind w:right="972"/>
              <w:spacing w:after="0"/>
              <w:rPr>
                <w:sz w:val="20"/>
                <w:szCs w:val="20"/>
                <w:color w:val="auto"/>
              </w:rPr>
            </w:pPr>
            <w:r>
              <w:rPr>
                <w:rFonts w:ascii="Courier New" w:cs="Courier New" w:eastAsia="Courier New" w:hAnsi="Courier New"/>
                <w:sz w:val="18"/>
                <w:szCs w:val="18"/>
                <w:color w:val="auto"/>
              </w:rPr>
              <w:t>15,987</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outstanding during the period</w:t>
            </w:r>
          </w:p>
        </w:tc>
        <w:tc>
          <w:tcPr>
            <w:tcW w:w="24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Common equivalent shares</w:t>
            </w:r>
          </w:p>
        </w:tc>
        <w:tc>
          <w:tcPr>
            <w:tcW w:w="2480" w:type="dxa"/>
            <w:vAlign w:val="bottom"/>
          </w:tcPr>
          <w:p>
            <w:pPr>
              <w:ind w:left="1800"/>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96"/>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 for purpose</w:t>
            </w:r>
          </w:p>
        </w:tc>
        <w:tc>
          <w:tcPr>
            <w:tcW w:w="2480" w:type="dxa"/>
            <w:vAlign w:val="bottom"/>
          </w:tcPr>
          <w:p>
            <w:pPr>
              <w:ind w:left="1580"/>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4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of calculating net income per</w:t>
            </w:r>
          </w:p>
        </w:tc>
        <w:tc>
          <w:tcPr>
            <w:tcW w:w="2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and common equivalent</w:t>
            </w:r>
          </w:p>
        </w:tc>
        <w:tc>
          <w:tcPr>
            <w:tcW w:w="2480" w:type="dxa"/>
            <w:vAlign w:val="bottom"/>
            <w:vMerge w:val="restart"/>
          </w:tcPr>
          <w:p>
            <w:pPr>
              <w:ind w:left="1580"/>
              <w:spacing w:after="0"/>
              <w:rPr>
                <w:sz w:val="20"/>
                <w:szCs w:val="20"/>
                <w:color w:val="auto"/>
              </w:rPr>
            </w:pPr>
            <w:r>
              <w:rPr>
                <w:rFonts w:ascii="Courier New" w:cs="Courier New" w:eastAsia="Courier New" w:hAnsi="Courier New"/>
                <w:sz w:val="18"/>
                <w:szCs w:val="18"/>
                <w:color w:val="auto"/>
              </w:rPr>
              <w:t>15,760</w:t>
            </w:r>
          </w:p>
        </w:tc>
        <w:tc>
          <w:tcPr>
            <w:tcW w:w="1960" w:type="dxa"/>
            <w:vAlign w:val="bottom"/>
            <w:vMerge w:val="restart"/>
          </w:tcPr>
          <w:p>
            <w:pPr>
              <w:jc w:val="right"/>
              <w:ind w:right="972"/>
              <w:spacing w:after="0"/>
              <w:rPr>
                <w:sz w:val="20"/>
                <w:szCs w:val="20"/>
                <w:color w:val="auto"/>
              </w:rPr>
            </w:pPr>
            <w:r>
              <w:rPr>
                <w:rFonts w:ascii="Courier New" w:cs="Courier New" w:eastAsia="Courier New" w:hAnsi="Courier New"/>
                <w:sz w:val="18"/>
                <w:szCs w:val="18"/>
                <w:color w:val="auto"/>
              </w:rPr>
              <w:t>15,987</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248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2480" w:type="dxa"/>
            <w:vAlign w:val="bottom"/>
          </w:tcPr>
          <w:p>
            <w:pPr>
              <w:ind w:left="1580"/>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Incremental shares to</w:t>
            </w:r>
          </w:p>
        </w:tc>
        <w:tc>
          <w:tcPr>
            <w:tcW w:w="2480" w:type="dxa"/>
            <w:vAlign w:val="bottom"/>
            <w:vMerge w:val="restart"/>
          </w:tcPr>
          <w:p>
            <w:pPr>
              <w:ind w:left="1900"/>
              <w:spacing w:after="0"/>
              <w:rPr>
                <w:sz w:val="20"/>
                <w:szCs w:val="20"/>
                <w:color w:val="auto"/>
              </w:rPr>
            </w:pPr>
            <w:r>
              <w:rPr>
                <w:rFonts w:ascii="Courier New" w:cs="Courier New" w:eastAsia="Courier New" w:hAnsi="Courier New"/>
                <w:sz w:val="18"/>
                <w:szCs w:val="18"/>
                <w:color w:val="auto"/>
              </w:rPr>
              <w:t>N/A</w:t>
            </w:r>
          </w:p>
        </w:tc>
        <w:tc>
          <w:tcPr>
            <w:tcW w:w="1960" w:type="dxa"/>
            <w:vAlign w:val="bottom"/>
            <w:vMerge w:val="restart"/>
          </w:tcPr>
          <w:p>
            <w:pPr>
              <w:jc w:val="right"/>
              <w:ind w:right="972"/>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reflect full dilution</w:t>
            </w:r>
          </w:p>
        </w:tc>
        <w:tc>
          <w:tcPr>
            <w:tcW w:w="24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Total shares for purposes</w:t>
            </w: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of calculating fully</w:t>
            </w:r>
          </w:p>
        </w:tc>
        <w:tc>
          <w:tcPr>
            <w:tcW w:w="2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net income</w:t>
            </w:r>
          </w:p>
        </w:tc>
        <w:tc>
          <w:tcPr>
            <w:tcW w:w="2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per share</w:t>
            </w:r>
          </w:p>
        </w:tc>
        <w:tc>
          <w:tcPr>
            <w:tcW w:w="2480" w:type="dxa"/>
            <w:vAlign w:val="bottom"/>
            <w:vMerge w:val="restart"/>
          </w:tcPr>
          <w:p>
            <w:pPr>
              <w:ind w:left="1800"/>
              <w:spacing w:after="0"/>
              <w:rPr>
                <w:sz w:val="20"/>
                <w:szCs w:val="20"/>
                <w:color w:val="auto"/>
              </w:rPr>
            </w:pPr>
            <w:r>
              <w:rPr>
                <w:rFonts w:ascii="Courier New" w:cs="Courier New" w:eastAsia="Courier New" w:hAnsi="Courier New"/>
                <w:sz w:val="18"/>
                <w:szCs w:val="18"/>
                <w:color w:val="auto"/>
              </w:rPr>
              <w:t>N/A</w:t>
            </w:r>
          </w:p>
        </w:tc>
        <w:tc>
          <w:tcPr>
            <w:tcW w:w="1960" w:type="dxa"/>
            <w:vAlign w:val="bottom"/>
            <w:vMerge w:val="restart"/>
          </w:tcPr>
          <w:p>
            <w:pPr>
              <w:jc w:val="right"/>
              <w:ind w:right="972"/>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per common</w:t>
            </w:r>
          </w:p>
        </w:tc>
        <w:tc>
          <w:tcPr>
            <w:tcW w:w="248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2480" w:type="dxa"/>
            <w:vAlign w:val="bottom"/>
            <w:vMerge w:val="restart"/>
          </w:tcPr>
          <w:p>
            <w:pPr>
              <w:ind w:left="1580"/>
              <w:spacing w:after="0"/>
              <w:rPr>
                <w:sz w:val="20"/>
                <w:szCs w:val="20"/>
                <w:color w:val="auto"/>
              </w:rPr>
            </w:pPr>
            <w:r>
              <w:rPr>
                <w:rFonts w:ascii="Courier New" w:cs="Courier New" w:eastAsia="Courier New" w:hAnsi="Courier New"/>
                <w:sz w:val="18"/>
                <w:szCs w:val="18"/>
                <w:color w:val="auto"/>
              </w:rPr>
              <w:t>$0.18</w:t>
            </w:r>
          </w:p>
        </w:tc>
        <w:tc>
          <w:tcPr>
            <w:tcW w:w="1960" w:type="dxa"/>
            <w:vAlign w:val="bottom"/>
            <w:vMerge w:val="restart"/>
          </w:tcPr>
          <w:p>
            <w:pPr>
              <w:jc w:val="right"/>
              <w:ind w:right="972"/>
              <w:spacing w:after="0"/>
              <w:rPr>
                <w:sz w:val="20"/>
                <w:szCs w:val="20"/>
                <w:color w:val="auto"/>
              </w:rPr>
            </w:pPr>
            <w:r>
              <w:rPr>
                <w:rFonts w:ascii="Courier New" w:cs="Courier New" w:eastAsia="Courier New" w:hAnsi="Courier New"/>
                <w:sz w:val="18"/>
                <w:szCs w:val="18"/>
                <w:color w:val="auto"/>
              </w:rPr>
              <w:t>$0.11</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248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20" w:name="page21"/>
    <w:bookmarkEnd w:id="20"/>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Exhibit 11.</w:t>
        <w:tab/>
        <w:t>Statement Re:</w:t>
      </w:r>
      <w:r>
        <w:rPr>
          <w:sz w:val="20"/>
          <w:szCs w:val="20"/>
          <w:color w:val="auto"/>
        </w:rPr>
        <w:tab/>
      </w:r>
      <w:r>
        <w:rPr>
          <w:rFonts w:ascii="Courier New" w:cs="Courier New" w:eastAsia="Courier New" w:hAnsi="Courier New"/>
          <w:sz w:val="16"/>
          <w:szCs w:val="16"/>
          <w:color w:val="auto"/>
        </w:rPr>
        <w:t>Computation of Per Share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540" w:type="dxa"/>
            <w:vAlign w:val="bottom"/>
          </w:tcPr>
          <w:p>
            <w:pPr>
              <w:ind w:left="1380"/>
              <w:spacing w:after="0"/>
              <w:rPr>
                <w:sz w:val="20"/>
                <w:szCs w:val="20"/>
                <w:color w:val="auto"/>
              </w:rPr>
            </w:pPr>
            <w:r>
              <w:rPr>
                <w:rFonts w:ascii="Courier New" w:cs="Courier New" w:eastAsia="Courier New" w:hAnsi="Courier New"/>
                <w:sz w:val="18"/>
                <w:szCs w:val="18"/>
                <w:color w:val="auto"/>
              </w:rPr>
              <w:t>Earnings, cont.</w:t>
            </w:r>
          </w:p>
        </w:tc>
        <w:tc>
          <w:tcPr>
            <w:tcW w:w="2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40" w:type="dxa"/>
            <w:vAlign w:val="bottom"/>
          </w:tcPr>
          <w:p>
            <w:pPr>
              <w:spacing w:after="0"/>
              <w:rPr>
                <w:sz w:val="24"/>
                <w:szCs w:val="24"/>
                <w:color w:val="auto"/>
              </w:rPr>
            </w:pPr>
          </w:p>
        </w:tc>
        <w:tc>
          <w:tcPr>
            <w:tcW w:w="436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Twelve Months Ended</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7/29/95</w:t>
            </w:r>
          </w:p>
        </w:tc>
        <w:tc>
          <w:tcPr>
            <w:tcW w:w="18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7/30/94</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4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 thousands, except per share data)</w:t>
            </w:r>
          </w:p>
        </w:tc>
        <w:tc>
          <w:tcPr>
            <w:tcW w:w="0" w:type="dxa"/>
            <w:vAlign w:val="bottom"/>
          </w:tcPr>
          <w:p>
            <w:pPr>
              <w:spacing w:after="0"/>
              <w:rPr>
                <w:sz w:val="1"/>
                <w:szCs w:val="1"/>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$ 17,970</w:t>
            </w:r>
          </w:p>
        </w:tc>
        <w:tc>
          <w:tcPr>
            <w:tcW w:w="18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$ 4,909</w:t>
            </w: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Weighted average shares</w:t>
            </w:r>
          </w:p>
        </w:tc>
        <w:tc>
          <w:tcPr>
            <w:tcW w:w="2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15,812</w:t>
            </w:r>
          </w:p>
        </w:tc>
        <w:tc>
          <w:tcPr>
            <w:tcW w:w="188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15,968</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outstanding during the period</w:t>
            </w:r>
          </w:p>
        </w:tc>
        <w:tc>
          <w:tcPr>
            <w:tcW w:w="248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Common equivalent shares</w:t>
            </w:r>
          </w:p>
        </w:tc>
        <w:tc>
          <w:tcPr>
            <w:tcW w:w="2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54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 for purpose</w:t>
            </w:r>
          </w:p>
        </w:tc>
        <w:tc>
          <w:tcPr>
            <w:tcW w:w="2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40" w:type="dxa"/>
            <w:vAlign w:val="bottom"/>
            <w:vMerge w:val="continue"/>
          </w:tcPr>
          <w:p>
            <w:pPr>
              <w:spacing w:after="0"/>
              <w:rPr>
                <w:sz w:val="9"/>
                <w:szCs w:val="9"/>
                <w:color w:val="auto"/>
              </w:rPr>
            </w:pPr>
          </w:p>
        </w:tc>
        <w:tc>
          <w:tcPr>
            <w:tcW w:w="24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of calculating net income per</w:t>
            </w:r>
          </w:p>
        </w:tc>
        <w:tc>
          <w:tcPr>
            <w:tcW w:w="2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and common equivalent</w:t>
            </w:r>
          </w:p>
        </w:tc>
        <w:tc>
          <w:tcPr>
            <w:tcW w:w="2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15,812</w:t>
            </w:r>
          </w:p>
        </w:tc>
        <w:tc>
          <w:tcPr>
            <w:tcW w:w="188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15,968</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248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40" w:type="dxa"/>
            <w:vAlign w:val="bottom"/>
            <w:vMerge w:val="restart"/>
          </w:tcPr>
          <w:p>
            <w:pPr>
              <w:spacing w:after="0"/>
              <w:rPr>
                <w:sz w:val="20"/>
                <w:szCs w:val="20"/>
                <w:color w:val="auto"/>
              </w:rPr>
            </w:pPr>
            <w:r>
              <w:rPr>
                <w:rFonts w:ascii="Courier New" w:cs="Courier New" w:eastAsia="Courier New" w:hAnsi="Courier New"/>
                <w:sz w:val="18"/>
                <w:szCs w:val="18"/>
                <w:color w:val="auto"/>
              </w:rPr>
              <w:t>Incremental shares to</w:t>
            </w:r>
          </w:p>
        </w:tc>
        <w:tc>
          <w:tcPr>
            <w:tcW w:w="2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40" w:type="dxa"/>
            <w:vAlign w:val="bottom"/>
            <w:vMerge w:val="continue"/>
          </w:tcPr>
          <w:p>
            <w:pPr>
              <w:spacing w:after="0"/>
              <w:rPr>
                <w:sz w:val="9"/>
                <w:szCs w:val="9"/>
                <w:color w:val="auto"/>
              </w:rPr>
            </w:pPr>
          </w:p>
        </w:tc>
        <w:tc>
          <w:tcPr>
            <w:tcW w:w="2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N/A</w:t>
            </w:r>
          </w:p>
        </w:tc>
        <w:tc>
          <w:tcPr>
            <w:tcW w:w="188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reflect full dilution</w:t>
            </w:r>
          </w:p>
        </w:tc>
        <w:tc>
          <w:tcPr>
            <w:tcW w:w="248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Total shares for purposes</w:t>
            </w:r>
          </w:p>
        </w:tc>
        <w:tc>
          <w:tcPr>
            <w:tcW w:w="2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of calculating fully</w:t>
            </w:r>
          </w:p>
        </w:tc>
        <w:tc>
          <w:tcPr>
            <w:tcW w:w="2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net income</w:t>
            </w:r>
          </w:p>
        </w:tc>
        <w:tc>
          <w:tcPr>
            <w:tcW w:w="2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N/A</w:t>
            </w:r>
          </w:p>
        </w:tc>
        <w:tc>
          <w:tcPr>
            <w:tcW w:w="188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per share</w:t>
            </w:r>
          </w:p>
        </w:tc>
        <w:tc>
          <w:tcPr>
            <w:tcW w:w="248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Net income per common</w:t>
            </w:r>
          </w:p>
        </w:tc>
        <w:tc>
          <w:tcPr>
            <w:tcW w:w="2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$1.14</w:t>
            </w:r>
          </w:p>
        </w:tc>
        <w:tc>
          <w:tcPr>
            <w:tcW w:w="188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$0.31</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248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2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By:/s/ William D. Richins</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William D. Richins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3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September 12, 1995</w:t>
      </w:r>
    </w:p>
    <w:p>
      <w:pPr>
        <w:sectPr>
          <w:pgSz w:w="11900" w:h="16838" w:orient="portrait"/>
          <w:cols w:equalWidth="0" w:num="1">
            <w:col w:w="10219"/>
          </w:cols>
          <w:pgMar w:left="240" w:top="1440" w:right="1440" w:bottom="1440" w:gutter="0" w:footer="0" w:header="0"/>
        </w:sectPr>
      </w:pPr>
    </w:p>
    <w:bookmarkStart w:id="22" w:name="page23"/>
    <w:bookmarkEnd w:id="22"/>
    <w:p>
      <w:pPr>
        <w:jc w:val="center"/>
        <w:ind w:right="4019"/>
        <w:spacing w:after="0"/>
        <w:rPr>
          <w:sz w:val="20"/>
          <w:szCs w:val="20"/>
          <w:color w:val="auto"/>
        </w:rPr>
      </w:pPr>
      <w:r>
        <w:rPr>
          <w:rFonts w:ascii="Courier New" w:cs="Courier New" w:eastAsia="Courier New" w:hAnsi="Courier New"/>
          <w:sz w:val="18"/>
          <w:szCs w:val="18"/>
          <w:color w:val="auto"/>
        </w:rPr>
        <w:t>ASSET PURCHASE AGREEMENT</w:t>
      </w:r>
    </w:p>
    <w:p>
      <w:pPr>
        <w:spacing w:after="0" w:line="201"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1240"/>
        <w:spacing w:after="0"/>
        <w:rPr>
          <w:sz w:val="20"/>
          <w:szCs w:val="20"/>
          <w:color w:val="auto"/>
        </w:rPr>
      </w:pPr>
      <w:r>
        <w:rPr>
          <w:rFonts w:ascii="Courier New" w:cs="Courier New" w:eastAsia="Courier New" w:hAnsi="Courier New"/>
          <w:sz w:val="18"/>
          <w:szCs w:val="18"/>
          <w:color w:val="auto"/>
        </w:rPr>
        <w:t>DESIGNS ACQUISITION CORP.</w:t>
      </w:r>
    </w:p>
    <w:p>
      <w:pPr>
        <w:spacing w:after="0" w:line="3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as Buyer,</w:t>
      </w:r>
    </w:p>
    <w:p>
      <w:pPr>
        <w:spacing w:after="0" w:line="169" w:lineRule="exact"/>
        <w:rPr>
          <w:sz w:val="20"/>
          <w:szCs w:val="20"/>
          <w:color w:val="auto"/>
        </w:rPr>
      </w:pPr>
    </w:p>
    <w:p>
      <w:pPr>
        <w:ind w:left="1240"/>
        <w:spacing w:after="0"/>
        <w:rPr>
          <w:sz w:val="20"/>
          <w:szCs w:val="20"/>
          <w:color w:val="auto"/>
        </w:rPr>
      </w:pPr>
      <w:r>
        <w:rPr>
          <w:rFonts w:ascii="Courier New" w:cs="Courier New" w:eastAsia="Courier New" w:hAnsi="Courier New"/>
          <w:sz w:val="18"/>
          <w:szCs w:val="18"/>
          <w:color w:val="auto"/>
        </w:rPr>
        <w:t>BOSTON TRADING LTD., INC.</w:t>
      </w:r>
    </w:p>
    <w:p>
      <w:pPr>
        <w:spacing w:after="0" w:line="31"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as Seller</w:t>
      </w:r>
    </w:p>
    <w:p>
      <w:pPr>
        <w:spacing w:after="0" w:line="169"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240"/>
        <w:spacing w:after="0"/>
        <w:rPr>
          <w:sz w:val="20"/>
          <w:szCs w:val="20"/>
          <w:color w:val="auto"/>
        </w:rPr>
      </w:pPr>
      <w:r>
        <w:rPr>
          <w:rFonts w:ascii="Courier New" w:cs="Courier New" w:eastAsia="Courier New" w:hAnsi="Courier New"/>
          <w:sz w:val="18"/>
          <w:szCs w:val="18"/>
          <w:color w:val="auto"/>
        </w:rPr>
        <w:t>Seller's Stockholders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60"/>
        <w:spacing w:after="0"/>
        <w:tabs>
          <w:tab w:leader="none" w:pos="2360" w:val="left"/>
        </w:tabs>
        <w:rPr>
          <w:sz w:val="20"/>
          <w:szCs w:val="20"/>
          <w:color w:val="auto"/>
        </w:rPr>
      </w:pPr>
      <w:r>
        <w:rPr>
          <w:rFonts w:ascii="Courier New" w:cs="Courier New" w:eastAsia="Courier New" w:hAnsi="Courier New"/>
          <w:sz w:val="18"/>
          <w:szCs w:val="18"/>
          <w:color w:val="auto"/>
        </w:rPr>
        <w:t>April</w:t>
      </w:r>
      <w:r>
        <w:rPr>
          <w:sz w:val="20"/>
          <w:szCs w:val="20"/>
          <w:color w:val="auto"/>
        </w:rPr>
        <w:tab/>
      </w:r>
      <w:r>
        <w:rPr>
          <w:rFonts w:ascii="Courier New" w:cs="Courier New" w:eastAsia="Courier New" w:hAnsi="Courier New"/>
          <w:sz w:val="16"/>
          <w:szCs w:val="16"/>
          <w:color w:val="auto"/>
        </w:rPr>
        <w:t>21, 1995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Page</w:t>
      </w:r>
    </w:p>
    <w:p>
      <w:pPr>
        <w:spacing w:after="0" w:line="31"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SECTION 1. PURCHASE AND SALE OF ASSETS . . . . . . . . . . . . 1</w:t>
      </w:r>
    </w:p>
    <w:p>
      <w:pPr>
        <w:spacing w:after="0" w:line="20" w:lineRule="exact"/>
        <w:rPr>
          <w:sz w:val="20"/>
          <w:szCs w:val="20"/>
          <w:color w:val="auto"/>
        </w:rPr>
      </w:pPr>
    </w:p>
    <w:p>
      <w:pPr>
        <w:jc w:val="right"/>
        <w:ind w:right="2199"/>
        <w:spacing w:after="0"/>
        <w:tabs>
          <w:tab w:leader="none" w:pos="56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Sale of Assets. . . . . . . . . . . . . . . . . . . 1</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Assumption of Liabilities . . . . . . . . . . . . . 5</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Excluded Liabilities. . . . . . . . . . . . . . . . 6</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Purchase Price and Payment. . . . . . . . . . . . . 6</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Time and Place of Closing . . . . . . . . . . . . . 11</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Delivery of Agreement of Assumption of Liabilities. 11</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6"/>
          <w:szCs w:val="16"/>
          <w:color w:val="auto"/>
        </w:rPr>
        <w:t>Transfer of Subject Assets. . . . . . . . . . . . . 11</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6"/>
          <w:szCs w:val="16"/>
          <w:color w:val="auto"/>
        </w:rPr>
        <w:t>Delivery of Records and Contracts . . . . . . . . . 11</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6"/>
          <w:szCs w:val="16"/>
          <w:color w:val="auto"/>
        </w:rPr>
        <w:t>Assignment of Intellectual Property . . . . . . . . 12</w:t>
      </w:r>
    </w:p>
    <w:p>
      <w:pPr>
        <w:ind w:left="700"/>
        <w:spacing w:after="0"/>
        <w:rPr>
          <w:sz w:val="20"/>
          <w:szCs w:val="20"/>
          <w:color w:val="auto"/>
        </w:rPr>
      </w:pPr>
      <w:r>
        <w:rPr>
          <w:rFonts w:ascii="Courier New" w:cs="Courier New" w:eastAsia="Courier New" w:hAnsi="Courier New"/>
          <w:sz w:val="16"/>
          <w:szCs w:val="16"/>
          <w:color w:val="auto"/>
        </w:rPr>
        <w:t>1.10 Nonassignable Contracts . . . . . . . . . . . . . . 12</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1.11 Termination of Trademark License Agreements. . . . .12</w:t>
      </w:r>
    </w:p>
    <w:p>
      <w:pPr>
        <w:spacing w:after="0" w:line="20" w:lineRule="exact"/>
        <w:rPr>
          <w:sz w:val="20"/>
          <w:szCs w:val="20"/>
          <w:color w:val="auto"/>
        </w:rPr>
      </w:pPr>
    </w:p>
    <w:p>
      <w:pPr>
        <w:ind w:left="700"/>
        <w:spacing w:after="0"/>
        <w:tabs>
          <w:tab w:leader="none" w:pos="4480" w:val="left"/>
        </w:tabs>
        <w:rPr>
          <w:sz w:val="20"/>
          <w:szCs w:val="20"/>
          <w:color w:val="auto"/>
        </w:rPr>
      </w:pPr>
      <w:r>
        <w:rPr>
          <w:rFonts w:ascii="Courier New" w:cs="Courier New" w:eastAsia="Courier New" w:hAnsi="Courier New"/>
          <w:sz w:val="18"/>
          <w:szCs w:val="18"/>
          <w:color w:val="auto"/>
        </w:rPr>
        <w:t>1.12 Further Assurances. . . . . .</w:t>
      </w:r>
      <w:r>
        <w:rPr>
          <w:sz w:val="20"/>
          <w:szCs w:val="20"/>
          <w:color w:val="auto"/>
        </w:rPr>
        <w:tab/>
      </w:r>
      <w:r>
        <w:rPr>
          <w:rFonts w:ascii="Courier New" w:cs="Courier New" w:eastAsia="Courier New" w:hAnsi="Courier New"/>
          <w:sz w:val="16"/>
          <w:szCs w:val="16"/>
          <w:color w:val="auto"/>
        </w:rPr>
        <w:t>. . . . . . . . . . .13</w:t>
      </w:r>
    </w:p>
    <w:p>
      <w:pPr>
        <w:ind w:left="700"/>
        <w:spacing w:after="0"/>
        <w:tabs>
          <w:tab w:leader="none" w:pos="4480" w:val="left"/>
        </w:tabs>
        <w:rPr>
          <w:sz w:val="20"/>
          <w:szCs w:val="20"/>
          <w:color w:val="auto"/>
        </w:rPr>
      </w:pPr>
      <w:r>
        <w:rPr>
          <w:rFonts w:ascii="Courier New" w:cs="Courier New" w:eastAsia="Courier New" w:hAnsi="Courier New"/>
          <w:sz w:val="18"/>
          <w:szCs w:val="18"/>
          <w:color w:val="auto"/>
        </w:rPr>
        <w:t>1.13 Allocation of Purchase Price.</w:t>
      </w:r>
      <w:r>
        <w:rPr>
          <w:sz w:val="20"/>
          <w:szCs w:val="20"/>
          <w:color w:val="auto"/>
        </w:rPr>
        <w:tab/>
      </w:r>
      <w:r>
        <w:rPr>
          <w:rFonts w:ascii="Courier New" w:cs="Courier New" w:eastAsia="Courier New" w:hAnsi="Courier New"/>
          <w:sz w:val="16"/>
          <w:szCs w:val="16"/>
          <w:color w:val="auto"/>
        </w:rPr>
        <w:t>. . . . . . . . . . .13</w:t>
      </w:r>
    </w:p>
    <w:p>
      <w:pPr>
        <w:ind w:left="700"/>
        <w:spacing w:after="0"/>
        <w:rPr>
          <w:sz w:val="20"/>
          <w:szCs w:val="20"/>
          <w:color w:val="auto"/>
        </w:rPr>
      </w:pPr>
      <w:r>
        <w:rPr>
          <w:rFonts w:ascii="Courier New" w:cs="Courier New" w:eastAsia="Courier New" w:hAnsi="Courier New"/>
          <w:sz w:val="16"/>
          <w:szCs w:val="16"/>
          <w:color w:val="auto"/>
        </w:rPr>
        <w:t>1.14 Stockholders' Representative . . . . . . . . . . . .13</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1.15 Change of Name . . . . . . . . . . . . . . . . . . .14</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1.16 Sales and Transfer Taxes . . . . . . . . . . . . . .15</w:t>
      </w:r>
    </w:p>
    <w:p>
      <w:pPr>
        <w:spacing w:after="0" w:line="21" w:lineRule="exact"/>
        <w:rPr>
          <w:sz w:val="20"/>
          <w:szCs w:val="20"/>
          <w:color w:val="auto"/>
        </w:rPr>
      </w:pPr>
    </w:p>
    <w:p>
      <w:pPr>
        <w:ind w:left="1240" w:right="2099" w:hanging="526"/>
        <w:spacing w:after="0" w:line="378" w:lineRule="auto"/>
        <w:rPr>
          <w:sz w:val="20"/>
          <w:szCs w:val="20"/>
          <w:color w:val="auto"/>
        </w:rPr>
      </w:pPr>
      <w:r>
        <w:rPr>
          <w:rFonts w:ascii="Courier New" w:cs="Courier New" w:eastAsia="Courier New" w:hAnsi="Courier New"/>
          <w:sz w:val="16"/>
          <w:szCs w:val="16"/>
          <w:color w:val="auto"/>
        </w:rPr>
        <w:t>1.17 Transfer of Stockholders'Interests in Other Businesses . . . . . . . . . . . . . . . . . . . . .15</w:t>
      </w:r>
    </w:p>
    <w:p>
      <w:pPr>
        <w:spacing w:after="0" w:line="200" w:lineRule="exact"/>
        <w:rPr>
          <w:sz w:val="20"/>
          <w:szCs w:val="20"/>
          <w:color w:val="auto"/>
        </w:rPr>
      </w:pPr>
    </w:p>
    <w:p>
      <w:pPr>
        <w:spacing w:after="0" w:line="210" w:lineRule="exact"/>
        <w:rPr>
          <w:sz w:val="20"/>
          <w:szCs w:val="20"/>
          <w:color w:val="auto"/>
        </w:rPr>
      </w:pPr>
    </w:p>
    <w:p>
      <w:pPr>
        <w:ind w:left="1240" w:right="2099" w:hanging="1158"/>
        <w:spacing w:after="0" w:line="289" w:lineRule="auto"/>
        <w:rPr>
          <w:sz w:val="20"/>
          <w:szCs w:val="20"/>
          <w:color w:val="auto"/>
        </w:rPr>
      </w:pPr>
      <w:r>
        <w:rPr>
          <w:rFonts w:ascii="Courier New" w:cs="Courier New" w:eastAsia="Courier New" w:hAnsi="Courier New"/>
          <w:sz w:val="16"/>
          <w:szCs w:val="16"/>
          <w:color w:val="auto"/>
        </w:rPr>
        <w:t>SECTION 2. REPRESENTATIONS AND WARRANTIES OF SELLER AND STOCKHOLDERS. . . . . . . . . . . . . . . . . . . . 15</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Making of Representations and Warranties. . . . . . 15</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Organization and Qualifications of Seller . . . . . 16</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Subsidiaries. . . . . . . . . . . . . . . . . . . . 16</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Capital Stock of Seller; Beneficial Ownership . . . 16</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Authority of Seller and the Stockholders. . . . . . 17</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Real and Personal Property. . . . . . . . . . . . . 18</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Financial Statements. . . . . . . . . . . . . . . . 20</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Taxes . . . . . . . . . . . . . . . . . . . . . . . 21</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6"/>
          <w:szCs w:val="16"/>
          <w:color w:val="auto"/>
        </w:rPr>
        <w:t>Collectability of Accounts Receivable . . . . . . . 22</w:t>
      </w:r>
    </w:p>
    <w:p>
      <w:pPr>
        <w:ind w:left="700"/>
        <w:spacing w:after="0"/>
        <w:rPr>
          <w:sz w:val="20"/>
          <w:szCs w:val="20"/>
          <w:color w:val="auto"/>
        </w:rPr>
      </w:pPr>
      <w:r>
        <w:rPr>
          <w:rFonts w:ascii="Courier New" w:cs="Courier New" w:eastAsia="Courier New" w:hAnsi="Courier New"/>
          <w:sz w:val="16"/>
          <w:szCs w:val="16"/>
          <w:color w:val="auto"/>
        </w:rPr>
        <w:t>2.10 Inventories . . . . . . . . . . . . . . . . . . . . 23</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2.11 Absence of Certain Changes. . . . . . . . . . . . . 23</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2.12 Ordinary Course . . . . . . . . . . . . . . . . . . 24</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2.13 Banking Relations . . . . . . . . . . . . . . . . . 25</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2.14 Intellectual Property . . . . . . . . . . . . . . . 25</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2.15 Contracts . . . . . . . . . . . . . . . . . . . . . 26</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2.16 Litigation. . . . . . . . . . . . . . . . . . . . . 28</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2.17 Compliance with Laws. . . . . . . . . . . . . . . . 28</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2.18 Insurance . . . . . . . . . . . . . . . . . . . . . 28</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2.19 Warranty or Other Claims. . . . . . . . . . . . . . 28</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2.20 Finder's Fee. . . . . . . . . . . . . . . . . . . . 29</w:t>
      </w:r>
    </w:p>
    <w:p>
      <w:pPr>
        <w:sectPr>
          <w:pgSz w:w="11900" w:h="16838" w:orient="portrait"/>
          <w:cols w:equalWidth="0" w:num="1">
            <w:col w:w="9019"/>
          </w:cols>
          <w:pgMar w:left="1440" w:top="515" w:right="1440" w:bottom="1440" w:gutter="0" w:footer="0" w:header="0"/>
        </w:sectPr>
      </w:pPr>
    </w:p>
    <w:bookmarkStart w:id="23" w:name="page24"/>
    <w:bookmarkEnd w:id="23"/>
    <w:p>
      <w:pPr>
        <w:ind w:left="700"/>
        <w:spacing w:after="0"/>
        <w:rPr>
          <w:sz w:val="20"/>
          <w:szCs w:val="20"/>
          <w:color w:val="auto"/>
        </w:rPr>
      </w:pPr>
      <w:r>
        <w:rPr>
          <w:rFonts w:ascii="Courier New" w:cs="Courier New" w:eastAsia="Courier New" w:hAnsi="Courier New"/>
          <w:sz w:val="16"/>
          <w:szCs w:val="16"/>
          <w:color w:val="auto"/>
        </w:rPr>
        <w:t>2.21 Permits; Burdensome Agreements. . . . . . . . . . . 29</w:t>
      </w:r>
    </w:p>
    <w:p>
      <w:pPr>
        <w:spacing w:after="0" w:line="53"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2.22 Corporate Records . . . . . . . . . . . . . . . . . 29</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2.23 Transactions with Interested Persons. . . . . . . . 29</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2.24 Employee Benefit Programs . . . . . . . . . . . . . 29</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2.25 Environmental Matters . . . . . . . . . . . . . . . 32</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2.26 Directors and Officers. . . . . . . . . . . . . . . 33</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2.27 Disclosure. . . . . . . . . . . . . . . . . . . . . 33</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2.28 Employees; Labor Matters. . . . . . . . . . . . . . 33</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2.29 Customers, Distributors and Suppliers . . . . . . . 34</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2.30 Customs Liability . . . . . . . . . . . . . . . . . 34</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2.31 Foreign Corrupt Practices Act . . . . . . . . . . . 35</w:t>
      </w:r>
    </w:p>
    <w:p>
      <w:pPr>
        <w:spacing w:after="0" w:line="192" w:lineRule="exact"/>
        <w:rPr>
          <w:sz w:val="20"/>
          <w:szCs w:val="20"/>
          <w:color w:val="auto"/>
        </w:rPr>
      </w:pPr>
    </w:p>
    <w:p>
      <w:pPr>
        <w:jc w:val="right"/>
        <w:ind w:left="80" w:right="2099"/>
        <w:spacing w:after="0" w:line="250" w:lineRule="auto"/>
        <w:rPr>
          <w:sz w:val="20"/>
          <w:szCs w:val="20"/>
          <w:color w:val="auto"/>
        </w:rPr>
      </w:pPr>
      <w:r>
        <w:rPr>
          <w:rFonts w:ascii="Courier New" w:cs="Courier New" w:eastAsia="Courier New" w:hAnsi="Courier New"/>
          <w:sz w:val="18"/>
          <w:szCs w:val="18"/>
          <w:color w:val="auto"/>
        </w:rPr>
        <w:t>SECTION 3. COVENANTS OF SELLER AND THE STOCKHOLDERS. . . . . . 35 3.1  Making of Covenants and Agreements. . . . . . . . . 35 3.2  Conduct of Business . . . . . . . . . . . . . . . . 35</w:t>
      </w:r>
    </w:p>
    <w:p>
      <w:pPr>
        <w:spacing w:after="0" w:line="1" w:lineRule="exact"/>
        <w:rPr>
          <w:sz w:val="20"/>
          <w:szCs w:val="20"/>
          <w:color w:val="auto"/>
        </w:rPr>
      </w:pP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Authorization and Consent from Others . . . . . . . 36</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Notice of Default . . . . . . . . . . . . . . . . . 37</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Consummation of Agreement . . . . . . . . . . . . . 37</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Cooperation of Seller . . . . . . . . . . . . . . . 37</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6"/>
          <w:szCs w:val="16"/>
          <w:color w:val="auto"/>
        </w:rPr>
        <w:t>Non-competition . . . . . . . . . . . . . . . . . . 38</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6"/>
          <w:szCs w:val="16"/>
          <w:color w:val="auto"/>
        </w:rPr>
        <w:t>No Solicitation of Other Offers . . . . . . . . . . 38</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3.9</w:t>
      </w:r>
      <w:r>
        <w:rPr>
          <w:sz w:val="20"/>
          <w:szCs w:val="20"/>
          <w:color w:val="auto"/>
        </w:rPr>
        <w:tab/>
      </w:r>
      <w:r>
        <w:rPr>
          <w:rFonts w:ascii="Courier New" w:cs="Courier New" w:eastAsia="Courier New" w:hAnsi="Courier New"/>
          <w:sz w:val="16"/>
          <w:szCs w:val="16"/>
          <w:color w:val="auto"/>
        </w:rPr>
        <w:t>Confidentiality . . . . . . . . . . . . . . . . . . 38</w:t>
      </w:r>
    </w:p>
    <w:p>
      <w:pPr>
        <w:ind w:left="700"/>
        <w:spacing w:after="0"/>
        <w:rPr>
          <w:sz w:val="20"/>
          <w:szCs w:val="20"/>
          <w:color w:val="auto"/>
        </w:rPr>
      </w:pPr>
      <w:r>
        <w:rPr>
          <w:rFonts w:ascii="Courier New" w:cs="Courier New" w:eastAsia="Courier New" w:hAnsi="Courier New"/>
          <w:sz w:val="16"/>
          <w:szCs w:val="16"/>
          <w:color w:val="auto"/>
        </w:rPr>
        <w:t>3.10 Foreign Corrupt Practices Act . . . . . . . . . . . 39</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3.11 Tax Returns . . . . . . . . . . . . . . . . . . . . 39</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3.12 Distributions to Creditors. . . . . . . . . . . . . 39</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3.13 Certain Proceedings . . . . . . . . . . . . . . . . 39</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4"/>
              </w:rPr>
              <w:t>SECTION 4.</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REPRESENTATIONS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c>
          <w:tcPr>
            <w:tcW w:w="3640" w:type="dxa"/>
            <w:vAlign w:val="bottom"/>
            <w:gridSpan w:val="3"/>
          </w:tcPr>
          <w:p>
            <w:pPr>
              <w:jc w:val="right"/>
              <w:ind w:right="2132"/>
              <w:spacing w:after="0"/>
              <w:rPr>
                <w:sz w:val="20"/>
                <w:szCs w:val="20"/>
                <w:color w:val="auto"/>
              </w:rPr>
            </w:pPr>
            <w:r>
              <w:rPr>
                <w:rFonts w:ascii="Courier New" w:cs="Courier New" w:eastAsia="Courier New" w:hAnsi="Courier New"/>
                <w:sz w:val="18"/>
                <w:szCs w:val="18"/>
                <w:color w:val="auto"/>
                <w:w w:val="99"/>
              </w:rPr>
              <w:t>WARRANTIES OF</w:t>
            </w:r>
          </w:p>
        </w:tc>
        <w:tc>
          <w:tcPr>
            <w:tcW w:w="0" w:type="dxa"/>
            <w:vAlign w:val="bottom"/>
          </w:tcPr>
          <w:p>
            <w:pPr>
              <w:spacing w:after="0"/>
              <w:rPr>
                <w:sz w:val="1"/>
                <w:szCs w:val="1"/>
                <w:color w:val="auto"/>
              </w:rPr>
            </w:pPr>
          </w:p>
        </w:tc>
      </w:tr>
      <w:tr>
        <w:trPr>
          <w:trHeight w:val="203"/>
        </w:trPr>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4.1</w:t>
            </w:r>
          </w:p>
        </w:tc>
        <w:tc>
          <w:tcPr>
            <w:tcW w:w="57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DESIGNS AND BUYER . . . . . . . . . . . . . . . . . 40</w:t>
            </w: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2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Making of Representations</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Warranties. . . . . . 40</w:t>
            </w:r>
          </w:p>
        </w:tc>
        <w:tc>
          <w:tcPr>
            <w:tcW w:w="0" w:type="dxa"/>
            <w:vAlign w:val="bottom"/>
          </w:tcPr>
          <w:p>
            <w:pPr>
              <w:spacing w:after="0"/>
              <w:rPr>
                <w:sz w:val="1"/>
                <w:szCs w:val="1"/>
                <w:color w:val="auto"/>
              </w:rPr>
            </w:pPr>
          </w:p>
        </w:tc>
      </w:tr>
      <w:tr>
        <w:trPr>
          <w:trHeight w:val="203"/>
        </w:trPr>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Organization of</w:t>
            </w:r>
          </w:p>
        </w:tc>
        <w:tc>
          <w:tcPr>
            <w:tcW w:w="4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Designs and Buyer . . . . . . . . . 40</w:t>
            </w:r>
          </w:p>
        </w:tc>
        <w:tc>
          <w:tcPr>
            <w:tcW w:w="0" w:type="dxa"/>
            <w:vAlign w:val="bottom"/>
          </w:tcPr>
          <w:p>
            <w:pPr>
              <w:spacing w:after="0"/>
              <w:rPr>
                <w:sz w:val="1"/>
                <w:szCs w:val="1"/>
                <w:color w:val="auto"/>
              </w:rPr>
            </w:pPr>
          </w:p>
        </w:tc>
      </w:tr>
      <w:tr>
        <w:trPr>
          <w:trHeight w:val="203"/>
        </w:trPr>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57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Authority of Designs and Buyer. . . . . . . . . . . 40</w:t>
            </w:r>
          </w:p>
        </w:tc>
        <w:tc>
          <w:tcPr>
            <w:tcW w:w="0" w:type="dxa"/>
            <w:vAlign w:val="bottom"/>
          </w:tcPr>
          <w:p>
            <w:pPr>
              <w:spacing w:after="0"/>
              <w:rPr>
                <w:sz w:val="1"/>
                <w:szCs w:val="1"/>
                <w:color w:val="auto"/>
              </w:rPr>
            </w:pPr>
          </w:p>
        </w:tc>
      </w:tr>
      <w:tr>
        <w:trPr>
          <w:trHeight w:val="203"/>
        </w:trPr>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57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Litigation. . . . . . . . . . . . . . . . . . . . . 40</w:t>
            </w:r>
          </w:p>
        </w:tc>
        <w:tc>
          <w:tcPr>
            <w:tcW w:w="0" w:type="dxa"/>
            <w:vAlign w:val="bottom"/>
          </w:tcPr>
          <w:p>
            <w:pPr>
              <w:spacing w:after="0"/>
              <w:rPr>
                <w:sz w:val="1"/>
                <w:szCs w:val="1"/>
                <w:color w:val="auto"/>
              </w:rPr>
            </w:pPr>
          </w:p>
        </w:tc>
      </w:tr>
      <w:tr>
        <w:trPr>
          <w:trHeight w:val="296"/>
        </w:trPr>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4.5</w:t>
            </w:r>
          </w:p>
        </w:tc>
        <w:tc>
          <w:tcPr>
            <w:tcW w:w="574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7"/>
              </w:rPr>
              <w:t>Finder's Fee. . . . . . . . . . . . . . . . . . . . 40</w:t>
            </w:r>
          </w:p>
        </w:tc>
        <w:tc>
          <w:tcPr>
            <w:tcW w:w="0" w:type="dxa"/>
            <w:vAlign w:val="bottom"/>
          </w:tcPr>
          <w:p>
            <w:pPr>
              <w:spacing w:after="0"/>
              <w:rPr>
                <w:sz w:val="1"/>
                <w:szCs w:val="1"/>
                <w:color w:val="auto"/>
              </w:rPr>
            </w:pPr>
          </w:p>
        </w:tc>
      </w:tr>
      <w:tr>
        <w:trPr>
          <w:trHeight w:val="311"/>
        </w:trPr>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4"/>
              </w:rPr>
              <w:t>SECTION 5.</w:t>
            </w:r>
          </w:p>
        </w:tc>
        <w:tc>
          <w:tcPr>
            <w:tcW w:w="574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7"/>
              </w:rPr>
              <w:t>COVENANTS OF DESIGNS AND BUYER. . . . . . . . . . . 41</w:t>
            </w:r>
          </w:p>
        </w:tc>
        <w:tc>
          <w:tcPr>
            <w:tcW w:w="0" w:type="dxa"/>
            <w:vAlign w:val="bottom"/>
          </w:tcPr>
          <w:p>
            <w:pPr>
              <w:spacing w:after="0"/>
              <w:rPr>
                <w:sz w:val="1"/>
                <w:szCs w:val="1"/>
                <w:color w:val="auto"/>
              </w:rPr>
            </w:pPr>
          </w:p>
        </w:tc>
      </w:tr>
      <w:tr>
        <w:trPr>
          <w:trHeight w:val="203"/>
        </w:trPr>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w:t>
            </w:r>
          </w:p>
        </w:tc>
        <w:tc>
          <w:tcPr>
            <w:tcW w:w="57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Making of Covenants and Agreement . . . . . . . . . 41</w:t>
            </w:r>
          </w:p>
        </w:tc>
        <w:tc>
          <w:tcPr>
            <w:tcW w:w="0" w:type="dxa"/>
            <w:vAlign w:val="bottom"/>
          </w:tcPr>
          <w:p>
            <w:pPr>
              <w:spacing w:after="0"/>
              <w:rPr>
                <w:sz w:val="1"/>
                <w:szCs w:val="1"/>
                <w:color w:val="auto"/>
              </w:rPr>
            </w:pPr>
          </w:p>
        </w:tc>
      </w:tr>
      <w:tr>
        <w:trPr>
          <w:trHeight w:val="203"/>
        </w:trPr>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Confidentiality</w:t>
            </w:r>
          </w:p>
        </w:tc>
        <w:tc>
          <w:tcPr>
            <w:tcW w:w="4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 . . . . . . . . . . . . . . . 41</w:t>
            </w:r>
          </w:p>
        </w:tc>
        <w:tc>
          <w:tcPr>
            <w:tcW w:w="0" w:type="dxa"/>
            <w:vAlign w:val="bottom"/>
          </w:tcPr>
          <w:p>
            <w:pPr>
              <w:spacing w:after="0"/>
              <w:rPr>
                <w:sz w:val="1"/>
                <w:szCs w:val="1"/>
                <w:color w:val="auto"/>
              </w:rPr>
            </w:pPr>
          </w:p>
        </w:tc>
      </w:tr>
      <w:tr>
        <w:trPr>
          <w:trHeight w:val="203"/>
        </w:trPr>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Cooperation . .</w:t>
            </w:r>
          </w:p>
        </w:tc>
        <w:tc>
          <w:tcPr>
            <w:tcW w:w="4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 . . . . . . . . . . . . . . . 41</w:t>
            </w:r>
          </w:p>
        </w:tc>
        <w:tc>
          <w:tcPr>
            <w:tcW w:w="0" w:type="dxa"/>
            <w:vAlign w:val="bottom"/>
          </w:tcPr>
          <w:p>
            <w:pPr>
              <w:spacing w:after="0"/>
              <w:rPr>
                <w:sz w:val="1"/>
                <w:szCs w:val="1"/>
                <w:color w:val="auto"/>
              </w:rPr>
            </w:pPr>
          </w:p>
        </w:tc>
      </w:tr>
      <w:tr>
        <w:trPr>
          <w:trHeight w:val="203"/>
        </w:trPr>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Availability of</w:t>
            </w:r>
          </w:p>
        </w:tc>
        <w:tc>
          <w:tcPr>
            <w:tcW w:w="4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Records to Seller . . . . . . . . . 41</w:t>
            </w:r>
          </w:p>
        </w:tc>
        <w:tc>
          <w:tcPr>
            <w:tcW w:w="0" w:type="dxa"/>
            <w:vAlign w:val="bottom"/>
          </w:tcPr>
          <w:p>
            <w:pPr>
              <w:spacing w:after="0"/>
              <w:rPr>
                <w:sz w:val="1"/>
                <w:szCs w:val="1"/>
                <w:color w:val="auto"/>
              </w:rPr>
            </w:pPr>
          </w:p>
        </w:tc>
      </w:tr>
      <w:tr>
        <w:trPr>
          <w:trHeight w:val="296"/>
        </w:trPr>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5.5</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Consummation of</w:t>
            </w:r>
          </w:p>
        </w:tc>
        <w:tc>
          <w:tcPr>
            <w:tcW w:w="406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Agreement . . . . . . . . . . . . . 41</w:t>
            </w:r>
          </w:p>
        </w:tc>
        <w:tc>
          <w:tcPr>
            <w:tcW w:w="0" w:type="dxa"/>
            <w:vAlign w:val="bottom"/>
          </w:tcPr>
          <w:p>
            <w:pPr>
              <w:spacing w:after="0"/>
              <w:rPr>
                <w:sz w:val="1"/>
                <w:szCs w:val="1"/>
                <w:color w:val="auto"/>
              </w:rPr>
            </w:pPr>
          </w:p>
        </w:tc>
      </w:tr>
    </w:tbl>
    <w:p>
      <w:pPr>
        <w:sectPr>
          <w:pgSz w:w="11900" w:h="16838" w:orient="portrait"/>
          <w:cols w:equalWidth="0" w:num="1">
            <w:col w:w="9019"/>
          </w:cols>
          <w:pgMar w:left="1440" w:top="488" w:right="1440" w:bottom="1440" w:gutter="0" w:footer="0" w:header="0"/>
        </w:sectPr>
      </w:pPr>
    </w:p>
    <w:bookmarkStart w:id="24" w:name="page25"/>
    <w:bookmarkEnd w:id="24"/>
    <w:p>
      <w:pPr>
        <w:jc w:val="right"/>
        <w:ind w:left="80" w:right="2099"/>
        <w:spacing w:after="0" w:line="257" w:lineRule="auto"/>
        <w:rPr>
          <w:sz w:val="20"/>
          <w:szCs w:val="20"/>
          <w:color w:val="auto"/>
        </w:rPr>
      </w:pPr>
      <w:r>
        <w:rPr>
          <w:rFonts w:ascii="Courier New" w:cs="Courier New" w:eastAsia="Courier New" w:hAnsi="Courier New"/>
          <w:sz w:val="18"/>
          <w:szCs w:val="18"/>
          <w:color w:val="auto"/>
        </w:rPr>
        <w:t>SECTION 6. CONDITIONS. . . . . . . . . . . . . . . . . . . . . 42 6.1  Conditions to the Obligations of Designs and Buyer. 42</w:t>
      </w:r>
    </w:p>
    <w:p>
      <w:pPr>
        <w:ind w:left="1240" w:right="2099" w:hanging="526"/>
        <w:spacing w:after="0" w:line="378" w:lineRule="auto"/>
        <w:tabs>
          <w:tab w:leader="none" w:pos="122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Conditions to Obligations of Seller and the Stockholders. . . . . . . . . . . . . . . . . . . . 44</w:t>
      </w:r>
    </w:p>
    <w:p>
      <w:pPr>
        <w:spacing w:after="0" w:line="5" w:lineRule="exact"/>
        <w:rPr>
          <w:sz w:val="20"/>
          <w:szCs w:val="20"/>
          <w:color w:val="auto"/>
        </w:rPr>
      </w:pPr>
    </w:p>
    <w:p>
      <w:pPr>
        <w:jc w:val="right"/>
        <w:ind w:left="80" w:right="2099"/>
        <w:spacing w:after="0" w:line="257" w:lineRule="auto"/>
        <w:rPr>
          <w:sz w:val="20"/>
          <w:szCs w:val="20"/>
          <w:color w:val="auto"/>
        </w:rPr>
      </w:pPr>
      <w:r>
        <w:rPr>
          <w:rFonts w:ascii="Courier New" w:cs="Courier New" w:eastAsia="Courier New" w:hAnsi="Courier New"/>
          <w:sz w:val="18"/>
          <w:szCs w:val="18"/>
          <w:color w:val="auto"/>
        </w:rPr>
        <w:t>SECTION 7. CERTAIN EMPLOYEE AND EMPLOYEE PLAN MATTERS. . . . . 45 7.1  Offers of Employment. . . . . . . . . . . . . . . . 45</w:t>
      </w:r>
    </w:p>
    <w:p>
      <w:pPr>
        <w:ind w:left="1240" w:right="2099" w:hanging="526"/>
        <w:spacing w:after="0" w:line="268" w:lineRule="auto"/>
        <w:tabs>
          <w:tab w:leader="none" w:pos="12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Seller's Retention of Employee Liability and Indemnity . . . . . . . . . . . . . . . . . . . . . 45</w:t>
      </w:r>
    </w:p>
    <w:p>
      <w:pPr>
        <w:ind w:left="700"/>
        <w:spacing w:after="0"/>
        <w:tabs>
          <w:tab w:leader="none" w:pos="12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Employee Programs . . . . . . . . . . . . . . . . . 45</w:t>
      </w:r>
    </w:p>
    <w:p>
      <w:pPr>
        <w:spacing w:after="0" w:line="169" w:lineRule="exact"/>
        <w:rPr>
          <w:sz w:val="20"/>
          <w:szCs w:val="20"/>
          <w:color w:val="auto"/>
        </w:rPr>
      </w:pPr>
    </w:p>
    <w:p>
      <w:pPr>
        <w:jc w:val="right"/>
        <w:ind w:left="80" w:right="2099"/>
        <w:spacing w:after="0" w:line="292" w:lineRule="auto"/>
        <w:rPr>
          <w:sz w:val="20"/>
          <w:szCs w:val="20"/>
          <w:color w:val="auto"/>
        </w:rPr>
      </w:pPr>
      <w:r>
        <w:rPr>
          <w:rFonts w:ascii="Courier New" w:cs="Courier New" w:eastAsia="Courier New" w:hAnsi="Courier New"/>
          <w:sz w:val="18"/>
          <w:szCs w:val="18"/>
          <w:color w:val="auto"/>
        </w:rPr>
        <w:t>SECTION 8. TERMINATION OF AGREEMENT; RIGHTS TO PROCEED . . . . 45 8.1  Termination . . . . . . . . . . . . . . . . . . . . 45 8.2  Effect of Termination . . . . . . . . . . . . . . . 46</w:t>
      </w:r>
    </w:p>
    <w:p>
      <w:pPr>
        <w:spacing w:after="0" w:line="6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SECTION 9. SURVIVAL OF WARRANTIES. . . . . . . . . . . . . . . 46</w:t>
      </w:r>
    </w:p>
    <w:p>
      <w:pPr>
        <w:spacing w:after="0" w:line="224" w:lineRule="exact"/>
        <w:rPr>
          <w:sz w:val="20"/>
          <w:szCs w:val="20"/>
          <w:color w:val="auto"/>
        </w:rPr>
      </w:pPr>
    </w:p>
    <w:p>
      <w:pPr>
        <w:jc w:val="right"/>
        <w:ind w:left="80" w:right="2099"/>
        <w:spacing w:after="0" w:line="250" w:lineRule="auto"/>
        <w:rPr>
          <w:sz w:val="20"/>
          <w:szCs w:val="20"/>
          <w:color w:val="auto"/>
        </w:rPr>
      </w:pPr>
      <w:r>
        <w:rPr>
          <w:rFonts w:ascii="Courier New" w:cs="Courier New" w:eastAsia="Courier New" w:hAnsi="Courier New"/>
          <w:sz w:val="18"/>
          <w:szCs w:val="18"/>
          <w:color w:val="auto"/>
        </w:rPr>
        <w:t>SECTION 10.  INDEMNIFICATION . . . . . . . . . . . . . . . . . 46 10.1 Indemnification by Seller and the Stockholders . . . 46 10.2 Indemnification by Buyer . . . . . . . . . . . . . . 47</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10.3 Notice; Defense of Claims. . . . . . . . . . . . . . 48</w:t>
      </w:r>
    </w:p>
    <w:p>
      <w:pPr>
        <w:spacing w:after="0" w:line="192" w:lineRule="exact"/>
        <w:rPr>
          <w:sz w:val="20"/>
          <w:szCs w:val="20"/>
          <w:color w:val="auto"/>
        </w:rPr>
      </w:pPr>
    </w:p>
    <w:p>
      <w:pPr>
        <w:jc w:val="right"/>
        <w:ind w:left="80" w:right="2099"/>
        <w:spacing w:after="0" w:line="250" w:lineRule="auto"/>
        <w:rPr>
          <w:sz w:val="20"/>
          <w:szCs w:val="20"/>
          <w:color w:val="auto"/>
        </w:rPr>
      </w:pPr>
      <w:r>
        <w:rPr>
          <w:rFonts w:ascii="Courier New" w:cs="Courier New" w:eastAsia="Courier New" w:hAnsi="Courier New"/>
          <w:sz w:val="18"/>
          <w:szCs w:val="18"/>
          <w:color w:val="auto"/>
        </w:rPr>
        <w:t>SECTION 11.  MISCELLANEOUS . . . . . . . . . . . . . . . . . . 49 11.1 Satisfaction of Seller and Stockholder Obligations . 49 11.2 Limitations on Seller and Stockholder Obligations. . 49</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11.3 Bulk Sales . . . . . . . . . . . . . . . . . . . . . 49</w:t>
      </w:r>
    </w:p>
    <w:p>
      <w:pPr>
        <w:spacing w:after="0" w:line="20" w:lineRule="exact"/>
        <w:rPr>
          <w:sz w:val="20"/>
          <w:szCs w:val="20"/>
          <w:color w:val="auto"/>
        </w:rPr>
      </w:pPr>
    </w:p>
    <w:p>
      <w:pPr>
        <w:ind w:left="600"/>
        <w:spacing w:after="0"/>
        <w:tabs>
          <w:tab w:leader="none" w:pos="3520" w:val="left"/>
        </w:tabs>
        <w:rPr>
          <w:sz w:val="20"/>
          <w:szCs w:val="20"/>
          <w:color w:val="auto"/>
        </w:rPr>
      </w:pPr>
      <w:r>
        <w:rPr>
          <w:rFonts w:ascii="Courier New" w:cs="Courier New" w:eastAsia="Courier New" w:hAnsi="Courier New"/>
          <w:sz w:val="18"/>
          <w:szCs w:val="18"/>
          <w:color w:val="auto"/>
        </w:rPr>
        <w:t>11.4 Inventory Destruction</w:t>
      </w:r>
      <w:r>
        <w:rPr>
          <w:sz w:val="20"/>
          <w:szCs w:val="20"/>
          <w:color w:val="auto"/>
        </w:rPr>
        <w:tab/>
      </w:r>
      <w:r>
        <w:rPr>
          <w:rFonts w:ascii="Courier New" w:cs="Courier New" w:eastAsia="Courier New" w:hAnsi="Courier New"/>
          <w:sz w:val="16"/>
          <w:szCs w:val="16"/>
          <w:color w:val="auto"/>
        </w:rPr>
        <w:t>. . . . . . . . . . . . . . . 50</w:t>
      </w:r>
    </w:p>
    <w:p>
      <w:pPr>
        <w:ind w:left="600"/>
        <w:spacing w:after="0"/>
        <w:tabs>
          <w:tab w:leader="none" w:pos="5220" w:val="left"/>
        </w:tabs>
        <w:rPr>
          <w:sz w:val="20"/>
          <w:szCs w:val="20"/>
          <w:color w:val="auto"/>
        </w:rPr>
      </w:pPr>
      <w:r>
        <w:rPr>
          <w:rFonts w:ascii="Courier New" w:cs="Courier New" w:eastAsia="Courier New" w:hAnsi="Courier New"/>
          <w:sz w:val="18"/>
          <w:szCs w:val="18"/>
          <w:color w:val="auto"/>
        </w:rPr>
        <w:t>11.5 Fees and Expenses . . . . . . . . . .</w:t>
      </w:r>
      <w:r>
        <w:rPr>
          <w:sz w:val="20"/>
          <w:szCs w:val="20"/>
          <w:color w:val="auto"/>
        </w:rPr>
        <w:tab/>
      </w:r>
      <w:r>
        <w:rPr>
          <w:rFonts w:ascii="Courier New" w:cs="Courier New" w:eastAsia="Courier New" w:hAnsi="Courier New"/>
          <w:sz w:val="16"/>
          <w:szCs w:val="16"/>
          <w:color w:val="auto"/>
        </w:rPr>
        <w:t>. . . . . . . 50</w:t>
      </w:r>
    </w:p>
    <w:p>
      <w:pPr>
        <w:ind w:left="600"/>
        <w:spacing w:after="0"/>
        <w:tabs>
          <w:tab w:leader="none" w:pos="5220" w:val="left"/>
        </w:tabs>
        <w:rPr>
          <w:sz w:val="20"/>
          <w:szCs w:val="20"/>
          <w:color w:val="auto"/>
        </w:rPr>
      </w:pPr>
      <w:r>
        <w:rPr>
          <w:rFonts w:ascii="Courier New" w:cs="Courier New" w:eastAsia="Courier New" w:hAnsi="Courier New"/>
          <w:sz w:val="18"/>
          <w:szCs w:val="18"/>
          <w:color w:val="auto"/>
        </w:rPr>
        <w:t>11.6 Governing Law . . . . . . . . . . . .</w:t>
      </w:r>
      <w:r>
        <w:rPr>
          <w:sz w:val="20"/>
          <w:szCs w:val="20"/>
          <w:color w:val="auto"/>
        </w:rPr>
        <w:tab/>
      </w:r>
      <w:r>
        <w:rPr>
          <w:rFonts w:ascii="Courier New" w:cs="Courier New" w:eastAsia="Courier New" w:hAnsi="Courier New"/>
          <w:sz w:val="16"/>
          <w:szCs w:val="16"/>
          <w:color w:val="auto"/>
        </w:rPr>
        <w:t>. . . . . . . 51</w:t>
      </w:r>
    </w:p>
    <w:p>
      <w:pPr>
        <w:ind w:left="600"/>
        <w:spacing w:after="0"/>
        <w:tabs>
          <w:tab w:leader="none" w:pos="5220" w:val="left"/>
        </w:tabs>
        <w:rPr>
          <w:sz w:val="20"/>
          <w:szCs w:val="20"/>
          <w:color w:val="auto"/>
        </w:rPr>
      </w:pPr>
      <w:r>
        <w:rPr>
          <w:rFonts w:ascii="Courier New" w:cs="Courier New" w:eastAsia="Courier New" w:hAnsi="Courier New"/>
          <w:sz w:val="18"/>
          <w:szCs w:val="18"/>
          <w:color w:val="auto"/>
        </w:rPr>
        <w:t>11.7 Notices . . . . . . . . . . . . . . .</w:t>
      </w:r>
      <w:r>
        <w:rPr>
          <w:sz w:val="20"/>
          <w:szCs w:val="20"/>
          <w:color w:val="auto"/>
        </w:rPr>
        <w:tab/>
      </w:r>
      <w:r>
        <w:rPr>
          <w:rFonts w:ascii="Courier New" w:cs="Courier New" w:eastAsia="Courier New" w:hAnsi="Courier New"/>
          <w:sz w:val="16"/>
          <w:szCs w:val="16"/>
          <w:color w:val="auto"/>
        </w:rPr>
        <w:t>. . . . . . . 51</w:t>
      </w:r>
    </w:p>
    <w:p>
      <w:pPr>
        <w:ind w:left="600"/>
        <w:spacing w:after="0"/>
        <w:tabs>
          <w:tab w:leader="none" w:pos="5220" w:val="left"/>
        </w:tabs>
        <w:rPr>
          <w:sz w:val="20"/>
          <w:szCs w:val="20"/>
          <w:color w:val="auto"/>
        </w:rPr>
      </w:pPr>
      <w:r>
        <w:rPr>
          <w:rFonts w:ascii="Courier New" w:cs="Courier New" w:eastAsia="Courier New" w:hAnsi="Courier New"/>
          <w:sz w:val="18"/>
          <w:szCs w:val="18"/>
          <w:color w:val="auto"/>
        </w:rPr>
        <w:t>11.8 Entire Agreement. . . . . . . . . . .</w:t>
      </w:r>
      <w:r>
        <w:rPr>
          <w:sz w:val="20"/>
          <w:szCs w:val="20"/>
          <w:color w:val="auto"/>
        </w:rPr>
        <w:tab/>
      </w:r>
      <w:r>
        <w:rPr>
          <w:rFonts w:ascii="Courier New" w:cs="Courier New" w:eastAsia="Courier New" w:hAnsi="Courier New"/>
          <w:sz w:val="16"/>
          <w:szCs w:val="16"/>
          <w:color w:val="auto"/>
        </w:rPr>
        <w:t>. . . . . . . 52</w:t>
      </w:r>
    </w:p>
    <w:p>
      <w:pPr>
        <w:ind w:left="600"/>
        <w:spacing w:after="0"/>
        <w:tabs>
          <w:tab w:leader="none" w:pos="5220" w:val="left"/>
        </w:tabs>
        <w:rPr>
          <w:sz w:val="20"/>
          <w:szCs w:val="20"/>
          <w:color w:val="auto"/>
        </w:rPr>
      </w:pPr>
      <w:r>
        <w:rPr>
          <w:rFonts w:ascii="Courier New" w:cs="Courier New" w:eastAsia="Courier New" w:hAnsi="Courier New"/>
          <w:sz w:val="18"/>
          <w:szCs w:val="18"/>
          <w:color w:val="auto"/>
        </w:rPr>
        <w:t>11.9 No Third Party Beneficiaries. . . . .</w:t>
      </w:r>
      <w:r>
        <w:rPr>
          <w:sz w:val="20"/>
          <w:szCs w:val="20"/>
          <w:color w:val="auto"/>
        </w:rPr>
        <w:tab/>
      </w:r>
      <w:r>
        <w:rPr>
          <w:rFonts w:ascii="Courier New" w:cs="Courier New" w:eastAsia="Courier New" w:hAnsi="Courier New"/>
          <w:sz w:val="16"/>
          <w:szCs w:val="16"/>
          <w:color w:val="auto"/>
        </w:rPr>
        <w:t>. . . . . . . 52</w:t>
      </w:r>
    </w:p>
    <w:p>
      <w:pPr>
        <w:ind w:left="600"/>
        <w:spacing w:after="0"/>
        <w:tabs>
          <w:tab w:leader="none" w:pos="1320" w:val="left"/>
          <w:tab w:leader="none" w:pos="5220" w:val="left"/>
        </w:tabs>
        <w:rPr>
          <w:sz w:val="20"/>
          <w:szCs w:val="20"/>
          <w:color w:val="auto"/>
        </w:rPr>
      </w:pPr>
      <w:r>
        <w:rPr>
          <w:rFonts w:ascii="Courier New" w:cs="Courier New" w:eastAsia="Courier New" w:hAnsi="Courier New"/>
          <w:sz w:val="18"/>
          <w:szCs w:val="18"/>
          <w:color w:val="auto"/>
        </w:rPr>
        <w:t>11.10</w:t>
        <w:tab/>
        <w:t>Assignability; Binding Effect . . .</w:t>
      </w:r>
      <w:r>
        <w:rPr>
          <w:sz w:val="20"/>
          <w:szCs w:val="20"/>
          <w:color w:val="auto"/>
        </w:rPr>
        <w:tab/>
      </w:r>
      <w:r>
        <w:rPr>
          <w:rFonts w:ascii="Courier New" w:cs="Courier New" w:eastAsia="Courier New" w:hAnsi="Courier New"/>
          <w:sz w:val="16"/>
          <w:szCs w:val="16"/>
          <w:color w:val="auto"/>
        </w:rPr>
        <w:t>. . . . . . . 52</w:t>
      </w:r>
    </w:p>
    <w:p>
      <w:pPr>
        <w:ind w:left="600"/>
        <w:spacing w:after="0"/>
        <w:tabs>
          <w:tab w:leader="none" w:pos="1320" w:val="left"/>
          <w:tab w:leader="none" w:pos="5220" w:val="left"/>
        </w:tabs>
        <w:rPr>
          <w:sz w:val="20"/>
          <w:szCs w:val="20"/>
          <w:color w:val="auto"/>
        </w:rPr>
      </w:pPr>
      <w:r>
        <w:rPr>
          <w:rFonts w:ascii="Courier New" w:cs="Courier New" w:eastAsia="Courier New" w:hAnsi="Courier New"/>
          <w:sz w:val="18"/>
          <w:szCs w:val="18"/>
          <w:color w:val="auto"/>
        </w:rPr>
        <w:t>11.11</w:t>
        <w:tab/>
        <w:t>Captions and Gender . . . . . . . .</w:t>
      </w:r>
      <w:r>
        <w:rPr>
          <w:sz w:val="20"/>
          <w:szCs w:val="20"/>
          <w:color w:val="auto"/>
        </w:rPr>
        <w:tab/>
      </w:r>
      <w:r>
        <w:rPr>
          <w:rFonts w:ascii="Courier New" w:cs="Courier New" w:eastAsia="Courier New" w:hAnsi="Courier New"/>
          <w:sz w:val="16"/>
          <w:szCs w:val="16"/>
          <w:color w:val="auto"/>
        </w:rPr>
        <w:t>. . . . . . . 52</w:t>
      </w:r>
    </w:p>
    <w:p>
      <w:pPr>
        <w:ind w:left="600"/>
        <w:spacing w:after="0"/>
        <w:tabs>
          <w:tab w:leader="none" w:pos="1320" w:val="left"/>
          <w:tab w:leader="none" w:pos="5220" w:val="left"/>
        </w:tabs>
        <w:rPr>
          <w:sz w:val="20"/>
          <w:szCs w:val="20"/>
          <w:color w:val="auto"/>
        </w:rPr>
      </w:pPr>
      <w:r>
        <w:rPr>
          <w:rFonts w:ascii="Courier New" w:cs="Courier New" w:eastAsia="Courier New" w:hAnsi="Courier New"/>
          <w:sz w:val="18"/>
          <w:szCs w:val="18"/>
          <w:color w:val="auto"/>
        </w:rPr>
        <w:t>11.12</w:t>
        <w:tab/>
        <w:t>Execution in Counterparts . . . . .</w:t>
      </w:r>
      <w:r>
        <w:rPr>
          <w:sz w:val="20"/>
          <w:szCs w:val="20"/>
          <w:color w:val="auto"/>
        </w:rPr>
        <w:tab/>
      </w:r>
      <w:r>
        <w:rPr>
          <w:rFonts w:ascii="Courier New" w:cs="Courier New" w:eastAsia="Courier New" w:hAnsi="Courier New"/>
          <w:sz w:val="16"/>
          <w:szCs w:val="16"/>
          <w:color w:val="auto"/>
        </w:rPr>
        <w:t>. . . . . . . 53</w:t>
      </w:r>
    </w:p>
    <w:p>
      <w:pPr>
        <w:ind w:left="600"/>
        <w:spacing w:after="0"/>
        <w:tabs>
          <w:tab w:leader="none" w:pos="1320" w:val="left"/>
          <w:tab w:leader="none" w:pos="5220" w:val="left"/>
        </w:tabs>
        <w:rPr>
          <w:sz w:val="20"/>
          <w:szCs w:val="20"/>
          <w:color w:val="auto"/>
        </w:rPr>
      </w:pPr>
      <w:r>
        <w:rPr>
          <w:rFonts w:ascii="Courier New" w:cs="Courier New" w:eastAsia="Courier New" w:hAnsi="Courier New"/>
          <w:sz w:val="18"/>
          <w:szCs w:val="18"/>
          <w:color w:val="auto"/>
        </w:rPr>
        <w:t>11.13</w:t>
        <w:tab/>
        <w:t>Amendments. . . . . . . . . . . . .</w:t>
      </w:r>
      <w:r>
        <w:rPr>
          <w:sz w:val="20"/>
          <w:szCs w:val="20"/>
          <w:color w:val="auto"/>
        </w:rPr>
        <w:tab/>
      </w:r>
      <w:r>
        <w:rPr>
          <w:rFonts w:ascii="Courier New" w:cs="Courier New" w:eastAsia="Courier New" w:hAnsi="Courier New"/>
          <w:sz w:val="16"/>
          <w:szCs w:val="16"/>
          <w:color w:val="auto"/>
        </w:rPr>
        <w:t>. . . . . . . 53</w:t>
      </w:r>
    </w:p>
    <w:p>
      <w:pPr>
        <w:ind w:left="600"/>
        <w:spacing w:after="0"/>
        <w:tabs>
          <w:tab w:leader="none" w:pos="1320" w:val="left"/>
          <w:tab w:leader="none" w:pos="5220" w:val="left"/>
        </w:tabs>
        <w:rPr>
          <w:sz w:val="20"/>
          <w:szCs w:val="20"/>
          <w:color w:val="auto"/>
        </w:rPr>
      </w:pPr>
      <w:r>
        <w:rPr>
          <w:rFonts w:ascii="Courier New" w:cs="Courier New" w:eastAsia="Courier New" w:hAnsi="Courier New"/>
          <w:sz w:val="18"/>
          <w:szCs w:val="18"/>
          <w:color w:val="auto"/>
        </w:rPr>
        <w:t>11.14</w:t>
        <w:tab/>
        <w:t>Publicity and Disclosures . . . . .</w:t>
      </w:r>
      <w:r>
        <w:rPr>
          <w:sz w:val="20"/>
          <w:szCs w:val="20"/>
          <w:color w:val="auto"/>
        </w:rPr>
        <w:tab/>
      </w:r>
      <w:r>
        <w:rPr>
          <w:rFonts w:ascii="Courier New" w:cs="Courier New" w:eastAsia="Courier New" w:hAnsi="Courier New"/>
          <w:sz w:val="16"/>
          <w:szCs w:val="16"/>
          <w:color w:val="auto"/>
        </w:rPr>
        <w:t>. . . . . . . 53</w:t>
      </w:r>
    </w:p>
    <w:p>
      <w:pPr>
        <w:ind w:left="600"/>
        <w:spacing w:after="0"/>
        <w:tabs>
          <w:tab w:leader="none" w:pos="1320" w:val="left"/>
          <w:tab w:leader="none" w:pos="5220" w:val="left"/>
        </w:tabs>
        <w:rPr>
          <w:sz w:val="20"/>
          <w:szCs w:val="20"/>
          <w:color w:val="auto"/>
        </w:rPr>
      </w:pPr>
      <w:r>
        <w:rPr>
          <w:rFonts w:ascii="Courier New" w:cs="Courier New" w:eastAsia="Courier New" w:hAnsi="Courier New"/>
          <w:sz w:val="18"/>
          <w:szCs w:val="18"/>
          <w:color w:val="auto"/>
        </w:rPr>
        <w:t>11.15</w:t>
        <w:tab/>
        <w:t>Consent to Jurisdiction . . . . . .</w:t>
      </w:r>
      <w:r>
        <w:rPr>
          <w:sz w:val="20"/>
          <w:szCs w:val="20"/>
          <w:color w:val="auto"/>
        </w:rPr>
        <w:tab/>
      </w:r>
      <w:r>
        <w:rPr>
          <w:rFonts w:ascii="Courier New" w:cs="Courier New" w:eastAsia="Courier New" w:hAnsi="Courier New"/>
          <w:sz w:val="16"/>
          <w:szCs w:val="16"/>
          <w:color w:val="auto"/>
        </w:rPr>
        <w:t>. . . . . . . 53</w:t>
      </w:r>
    </w:p>
    <w:p>
      <w:pPr>
        <w:sectPr>
          <w:pgSz w:w="11900" w:h="16838" w:orient="portrait"/>
          <w:cols w:equalWidth="0" w:num="1">
            <w:col w:w="9019"/>
          </w:cols>
          <w:pgMar w:left="1440" w:top="488" w:right="1440" w:bottom="1440" w:gutter="0" w:footer="0" w:header="0"/>
        </w:sectPr>
      </w:pPr>
    </w:p>
    <w:bookmarkStart w:id="25" w:name="page26"/>
    <w:bookmarkEnd w:id="25"/>
    <w:tbl>
      <w:tblPr>
        <w:tblLayout w:type="fixed"/>
        <w:tblInd w:w="80" w:type="dxa"/>
        <w:tblCellMar>
          <w:top w:w="0" w:type="dxa"/>
          <w:left w:w="0" w:type="dxa"/>
          <w:bottom w:w="0" w:type="dxa"/>
          <w:right w:w="0" w:type="dxa"/>
        </w:tblCellMar>
      </w:tblPr>
      <w:tr>
        <w:trPr>
          <w:trHeight w:val="296"/>
        </w:trPr>
        <w:tc>
          <w:tcPr>
            <w:tcW w:w="1680" w:type="dxa"/>
            <w:vAlign w:val="bottom"/>
          </w:tcPr>
          <w:p>
            <w:pPr>
              <w:spacing w:after="0"/>
              <w:rPr>
                <w:sz w:val="24"/>
                <w:szCs w:val="24"/>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8"/>
                <w:szCs w:val="18"/>
                <w:color w:val="auto"/>
              </w:rPr>
              <w:t>List of Exhibits and Schedules</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Courier New" w:cs="Courier New" w:eastAsia="Courier New" w:hAnsi="Courier New"/>
                <w:sz w:val="18"/>
                <w:szCs w:val="18"/>
                <w:color w:val="auto"/>
              </w:rPr>
              <w:t>Schedule 1.1(b)</w:t>
            </w: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Excluded Office Equipment</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1.4</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Prepaid Expenses and Deposits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1.17</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Affiliated Entities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2.2</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Foreign Qualifications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2.3</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Subsidiaries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2.4(b)</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Stockholders of Seller</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2.5</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Authority</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2.6(b)</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Leased Real Property</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2.6(c)</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Machinery, Equipment and Other Tangible</w:t>
            </w:r>
          </w:p>
        </w:tc>
        <w:tc>
          <w:tcPr>
            <w:tcW w:w="0" w:type="dxa"/>
            <w:vAlign w:val="bottom"/>
          </w:tcPr>
          <w:p>
            <w:pPr>
              <w:spacing w:after="0"/>
              <w:rPr>
                <w:sz w:val="1"/>
                <w:szCs w:val="1"/>
                <w:color w:val="auto"/>
              </w:rPr>
            </w:pPr>
          </w:p>
        </w:tc>
      </w:tr>
      <w:tr>
        <w:trPr>
          <w:trHeight w:val="203"/>
        </w:trPr>
        <w:tc>
          <w:tcPr>
            <w:tcW w:w="1680" w:type="dxa"/>
            <w:vAlign w:val="bottom"/>
            <w:vMerge w:val="restart"/>
          </w:tcPr>
          <w:p>
            <w:pPr>
              <w:spacing w:after="0"/>
              <w:rPr>
                <w:sz w:val="20"/>
                <w:szCs w:val="20"/>
                <w:color w:val="auto"/>
              </w:rPr>
            </w:pPr>
            <w:r>
              <w:rPr>
                <w:rFonts w:ascii="Courier New" w:cs="Courier New" w:eastAsia="Courier New" w:hAnsi="Courier New"/>
                <w:sz w:val="18"/>
                <w:szCs w:val="18"/>
                <w:color w:val="auto"/>
              </w:rPr>
              <w:t>Schedule 2.7</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Personal Property</w:t>
            </w:r>
          </w:p>
        </w:tc>
        <w:tc>
          <w:tcPr>
            <w:tcW w:w="0" w:type="dxa"/>
            <w:vAlign w:val="bottom"/>
          </w:tcPr>
          <w:p>
            <w:pPr>
              <w:spacing w:after="0"/>
              <w:rPr>
                <w:sz w:val="1"/>
                <w:szCs w:val="1"/>
                <w:color w:val="auto"/>
              </w:rPr>
            </w:pPr>
          </w:p>
        </w:tc>
      </w:tr>
      <w:tr>
        <w:trPr>
          <w:trHeight w:val="203"/>
        </w:trPr>
        <w:tc>
          <w:tcPr>
            <w:tcW w:w="1680" w:type="dxa"/>
            <w:vAlign w:val="bottom"/>
            <w:vMerge w:val="continue"/>
          </w:tcPr>
          <w:p>
            <w:pPr>
              <w:spacing w:after="0"/>
              <w:rPr>
                <w:sz w:val="17"/>
                <w:szCs w:val="17"/>
                <w:color w:val="auto"/>
              </w:rPr>
            </w:pP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2.8</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 Matters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2.9</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Accounts or Loans Receivable from Affiliated</w:t>
            </w:r>
          </w:p>
        </w:tc>
        <w:tc>
          <w:tcPr>
            <w:tcW w:w="0" w:type="dxa"/>
            <w:vAlign w:val="bottom"/>
          </w:tcPr>
          <w:p>
            <w:pPr>
              <w:spacing w:after="0"/>
              <w:rPr>
                <w:sz w:val="1"/>
                <w:szCs w:val="1"/>
                <w:color w:val="auto"/>
              </w:rPr>
            </w:pPr>
          </w:p>
        </w:tc>
      </w:tr>
      <w:tr>
        <w:trPr>
          <w:trHeight w:val="203"/>
        </w:trPr>
        <w:tc>
          <w:tcPr>
            <w:tcW w:w="1680" w:type="dxa"/>
            <w:vAlign w:val="bottom"/>
            <w:vMerge w:val="restart"/>
          </w:tcPr>
          <w:p>
            <w:pPr>
              <w:spacing w:after="0"/>
              <w:rPr>
                <w:sz w:val="20"/>
                <w:szCs w:val="20"/>
                <w:color w:val="auto"/>
              </w:rPr>
            </w:pPr>
            <w:r>
              <w:rPr>
                <w:rFonts w:ascii="Courier New" w:cs="Courier New" w:eastAsia="Courier New" w:hAnsi="Courier New"/>
                <w:sz w:val="18"/>
                <w:szCs w:val="18"/>
                <w:color w:val="auto"/>
              </w:rPr>
              <w:t>Schedule 2.10</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Persons</w:t>
            </w:r>
          </w:p>
        </w:tc>
        <w:tc>
          <w:tcPr>
            <w:tcW w:w="0" w:type="dxa"/>
            <w:vAlign w:val="bottom"/>
          </w:tcPr>
          <w:p>
            <w:pPr>
              <w:spacing w:after="0"/>
              <w:rPr>
                <w:sz w:val="1"/>
                <w:szCs w:val="1"/>
                <w:color w:val="auto"/>
              </w:rPr>
            </w:pPr>
          </w:p>
        </w:tc>
      </w:tr>
      <w:tr>
        <w:trPr>
          <w:trHeight w:val="203"/>
        </w:trPr>
        <w:tc>
          <w:tcPr>
            <w:tcW w:w="1680" w:type="dxa"/>
            <w:vAlign w:val="bottom"/>
            <w:vMerge w:val="continue"/>
          </w:tcPr>
          <w:p>
            <w:pPr>
              <w:spacing w:after="0"/>
              <w:rPr>
                <w:sz w:val="17"/>
                <w:szCs w:val="17"/>
                <w:color w:val="auto"/>
              </w:rPr>
            </w:pP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Inventory</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2.11</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Absence of Certain Changes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2.13</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Banking Relations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2.14</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Intellectual Property</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2.15</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Contracts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2.16</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Litigation</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2.17</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Compliance with Laws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2.18</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Insurance</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2.19</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Warranty or Other Claims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2.20</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Finder's Fee</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2.21</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Permits; Burdensome Agreement</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2.23</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Transactions with Interested Persons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2.24</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Employee Benefit Programs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2.25</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Environmental Matters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2.26</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Directors and Officers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2.28</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Labor Matters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2.29</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Customers and Distributors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2.30</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Customs Matters</w:t>
            </w:r>
          </w:p>
        </w:tc>
        <w:tc>
          <w:tcPr>
            <w:tcW w:w="0" w:type="dxa"/>
            <w:vAlign w:val="bottom"/>
          </w:tcPr>
          <w:p>
            <w:pPr>
              <w:spacing w:after="0"/>
              <w:rPr>
                <w:sz w:val="1"/>
                <w:szCs w:val="1"/>
                <w:color w:val="auto"/>
              </w:rPr>
            </w:pPr>
          </w:p>
        </w:tc>
      </w:tr>
      <w:tr>
        <w:trPr>
          <w:trHeight w:val="296"/>
        </w:trPr>
        <w:tc>
          <w:tcPr>
            <w:tcW w:w="1680" w:type="dxa"/>
            <w:vAlign w:val="bottom"/>
          </w:tcPr>
          <w:p>
            <w:pPr>
              <w:spacing w:after="0"/>
              <w:rPr>
                <w:sz w:val="20"/>
                <w:szCs w:val="20"/>
                <w:color w:val="auto"/>
              </w:rPr>
            </w:pPr>
            <w:r>
              <w:rPr>
                <w:rFonts w:ascii="Courier New" w:cs="Courier New" w:eastAsia="Courier New" w:hAnsi="Courier New"/>
                <w:sz w:val="18"/>
                <w:szCs w:val="18"/>
                <w:color w:val="auto"/>
              </w:rPr>
              <w:t>Schedule 7.1(a)</w:t>
            </w: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BTL Employees</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Courier New" w:cs="Courier New" w:eastAsia="Courier New" w:hAnsi="Courier New"/>
                <w:sz w:val="18"/>
                <w:szCs w:val="18"/>
                <w:color w:val="auto"/>
              </w:rPr>
              <w:t>Exhibit 1.4(a)</w:t>
            </w: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Escrow Agreement</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1.4(b)</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Promissory Note</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1.6</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Agreement of Assumption of Liabilities</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1.11</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License Termination Agreement</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1.13</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Allocation</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3.3</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Release</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6.1(e)</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Bill of Sale</w:t>
            </w:r>
          </w:p>
        </w:tc>
        <w:tc>
          <w:tcPr>
            <w:tcW w:w="0" w:type="dxa"/>
            <w:vAlign w:val="bottom"/>
          </w:tcPr>
          <w:p>
            <w:pPr>
              <w:spacing w:after="0"/>
              <w:rPr>
                <w:sz w:val="1"/>
                <w:szCs w:val="1"/>
                <w:color w:val="auto"/>
              </w:rPr>
            </w:pPr>
          </w:p>
        </w:tc>
      </w:tr>
      <w:tr>
        <w:trPr>
          <w:trHeight w:val="296"/>
        </w:trPr>
        <w:tc>
          <w:tcPr>
            <w:tcW w:w="1680" w:type="dxa"/>
            <w:vAlign w:val="bottom"/>
          </w:tcPr>
          <w:p>
            <w:pPr>
              <w:spacing w:after="0"/>
              <w:rPr>
                <w:sz w:val="20"/>
                <w:szCs w:val="20"/>
                <w:color w:val="auto"/>
              </w:rPr>
            </w:pPr>
            <w:r>
              <w:rPr>
                <w:rFonts w:ascii="Courier New" w:cs="Courier New" w:eastAsia="Courier New" w:hAnsi="Courier New"/>
                <w:sz w:val="18"/>
                <w:szCs w:val="18"/>
                <w:color w:val="auto"/>
              </w:rPr>
              <w:t>Exhibit 6.1(f)</w:t>
            </w: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Assignment of Trademarks</w:t>
            </w:r>
          </w:p>
        </w:tc>
        <w:tc>
          <w:tcPr>
            <w:tcW w:w="0" w:type="dxa"/>
            <w:vAlign w:val="bottom"/>
          </w:tcPr>
          <w:p>
            <w:pPr>
              <w:spacing w:after="0"/>
              <w:rPr>
                <w:sz w:val="1"/>
                <w:szCs w:val="1"/>
                <w:color w:val="auto"/>
              </w:rPr>
            </w:pPr>
          </w:p>
        </w:tc>
      </w:tr>
    </w:tbl>
    <w:p>
      <w:pPr>
        <w:sectPr>
          <w:pgSz w:w="11900" w:h="16838" w:orient="portrait"/>
          <w:cols w:equalWidth="0" w:num="1">
            <w:col w:w="9019"/>
          </w:cols>
          <w:pgMar w:left="1440" w:top="488" w:right="1440" w:bottom="1440" w:gutter="0" w:footer="0" w:header="0"/>
        </w:sectPr>
      </w:pPr>
    </w:p>
    <w:bookmarkStart w:id="26" w:name="page27"/>
    <w:bookmarkEnd w:id="26"/>
    <w:p>
      <w:pPr>
        <w:ind w:left="80"/>
        <w:spacing w:after="0"/>
        <w:tabs>
          <w:tab w:leader="none" w:pos="2160" w:val="left"/>
        </w:tabs>
        <w:rPr>
          <w:sz w:val="20"/>
          <w:szCs w:val="20"/>
          <w:color w:val="auto"/>
        </w:rPr>
      </w:pPr>
      <w:r>
        <w:rPr>
          <w:rFonts w:ascii="Courier New" w:cs="Courier New" w:eastAsia="Courier New" w:hAnsi="Courier New"/>
          <w:sz w:val="18"/>
          <w:szCs w:val="18"/>
          <w:color w:val="auto"/>
        </w:rPr>
        <w:t>Exhibit 6.1(g)</w:t>
      </w:r>
      <w:r>
        <w:rPr>
          <w:sz w:val="20"/>
          <w:szCs w:val="20"/>
          <w:color w:val="auto"/>
        </w:rPr>
        <w:tab/>
      </w:r>
      <w:r>
        <w:rPr>
          <w:rFonts w:ascii="Courier New" w:cs="Courier New" w:eastAsia="Courier New" w:hAnsi="Courier New"/>
          <w:sz w:val="16"/>
          <w:szCs w:val="16"/>
          <w:color w:val="auto"/>
        </w:rPr>
        <w:t>Opinion of Counsel for Seller</w:t>
      </w:r>
    </w:p>
    <w:p>
      <w:pPr>
        <w:spacing w:after="0" w:line="29" w:lineRule="exact"/>
        <w:rPr>
          <w:sz w:val="20"/>
          <w:szCs w:val="20"/>
          <w:color w:val="auto"/>
        </w:rPr>
      </w:pPr>
    </w:p>
    <w:p>
      <w:pPr>
        <w:ind w:left="80"/>
        <w:spacing w:after="0"/>
        <w:tabs>
          <w:tab w:leader="none" w:pos="2160" w:val="left"/>
        </w:tabs>
        <w:rPr>
          <w:sz w:val="20"/>
          <w:szCs w:val="20"/>
          <w:color w:val="auto"/>
        </w:rPr>
      </w:pPr>
      <w:r>
        <w:rPr>
          <w:rFonts w:ascii="Courier New" w:cs="Courier New" w:eastAsia="Courier New" w:hAnsi="Courier New"/>
          <w:sz w:val="18"/>
          <w:szCs w:val="18"/>
          <w:color w:val="auto"/>
        </w:rPr>
        <w:t>Exhibit 6.1(j)</w:t>
      </w:r>
      <w:r>
        <w:rPr>
          <w:sz w:val="20"/>
          <w:szCs w:val="20"/>
          <w:color w:val="auto"/>
        </w:rPr>
        <w:tab/>
      </w:r>
      <w:r>
        <w:rPr>
          <w:rFonts w:ascii="Courier New" w:cs="Courier New" w:eastAsia="Courier New" w:hAnsi="Courier New"/>
          <w:sz w:val="16"/>
          <w:szCs w:val="16"/>
          <w:color w:val="auto"/>
        </w:rPr>
        <w:t>Consulting Agreements</w:t>
      </w:r>
    </w:p>
    <w:p>
      <w:pPr>
        <w:ind w:left="80"/>
        <w:spacing w:after="0"/>
        <w:tabs>
          <w:tab w:leader="none" w:pos="2160" w:val="left"/>
        </w:tabs>
        <w:rPr>
          <w:sz w:val="20"/>
          <w:szCs w:val="20"/>
          <w:color w:val="auto"/>
        </w:rPr>
      </w:pPr>
      <w:r>
        <w:rPr>
          <w:rFonts w:ascii="Courier New" w:cs="Courier New" w:eastAsia="Courier New" w:hAnsi="Courier New"/>
          <w:sz w:val="18"/>
          <w:szCs w:val="18"/>
          <w:color w:val="auto"/>
        </w:rPr>
        <w:t>Exhibit 6.1(l)</w:t>
      </w:r>
      <w:r>
        <w:rPr>
          <w:sz w:val="20"/>
          <w:szCs w:val="20"/>
          <w:color w:val="auto"/>
        </w:rPr>
        <w:tab/>
      </w:r>
      <w:r>
        <w:rPr>
          <w:rFonts w:ascii="Courier New" w:cs="Courier New" w:eastAsia="Courier New" w:hAnsi="Courier New"/>
          <w:sz w:val="16"/>
          <w:szCs w:val="16"/>
          <w:color w:val="auto"/>
        </w:rPr>
        <w:t>FIRPTA Withholding Certificate</w:t>
      </w:r>
    </w:p>
    <w:p>
      <w:pPr>
        <w:ind w:left="80"/>
        <w:spacing w:after="0"/>
        <w:tabs>
          <w:tab w:leader="none" w:pos="2160" w:val="left"/>
        </w:tabs>
        <w:rPr>
          <w:sz w:val="20"/>
          <w:szCs w:val="20"/>
          <w:color w:val="auto"/>
        </w:rPr>
      </w:pPr>
      <w:r>
        <w:rPr>
          <w:rFonts w:ascii="Courier New" w:cs="Courier New" w:eastAsia="Courier New" w:hAnsi="Courier New"/>
          <w:sz w:val="18"/>
          <w:szCs w:val="18"/>
          <w:color w:val="auto"/>
        </w:rPr>
        <w:t>Exhibit 6.2(c)</w:t>
      </w:r>
      <w:r>
        <w:rPr>
          <w:sz w:val="20"/>
          <w:szCs w:val="20"/>
          <w:color w:val="auto"/>
        </w:rPr>
        <w:tab/>
      </w:r>
      <w:r>
        <w:rPr>
          <w:rFonts w:ascii="Courier New" w:cs="Courier New" w:eastAsia="Courier New" w:hAnsi="Courier New"/>
          <w:sz w:val="16"/>
          <w:szCs w:val="16"/>
          <w:color w:val="auto"/>
        </w:rPr>
        <w:t>Opinion of Counsel for Designs and Buyer</w:t>
      </w:r>
    </w:p>
    <w:p>
      <w:pPr>
        <w:sectPr>
          <w:pgSz w:w="11900" w:h="16838" w:orient="portrait"/>
          <w:cols w:equalWidth="0" w:num="1">
            <w:col w:w="9019"/>
          </w:cols>
          <w:pgMar w:left="1440" w:top="691" w:right="1440" w:bottom="1440" w:gutter="0" w:footer="0" w:header="0"/>
        </w:sectPr>
      </w:pPr>
    </w:p>
    <w:bookmarkStart w:id="27" w:name="page28"/>
    <w:bookmarkEnd w:id="27"/>
    <w:p>
      <w:pPr>
        <w:ind w:left="1660"/>
        <w:spacing w:after="0"/>
        <w:rPr>
          <w:sz w:val="20"/>
          <w:szCs w:val="20"/>
          <w:color w:val="auto"/>
        </w:rPr>
      </w:pPr>
      <w:r>
        <w:rPr>
          <w:rFonts w:ascii="Courier New" w:cs="Courier New" w:eastAsia="Courier New" w:hAnsi="Courier New"/>
          <w:sz w:val="18"/>
          <w:szCs w:val="18"/>
          <w:color w:val="auto"/>
        </w:rPr>
        <w:t>ASSET PURCHASE AGREEMENT</w:t>
      </w:r>
    </w:p>
    <w:p>
      <w:pPr>
        <w:spacing w:after="0" w:line="201" w:lineRule="exact"/>
        <w:rPr>
          <w:sz w:val="20"/>
          <w:szCs w:val="20"/>
          <w:color w:val="auto"/>
        </w:rPr>
      </w:pPr>
    </w:p>
    <w:p>
      <w:pPr>
        <w:ind w:left="80" w:right="2619" w:firstLine="527"/>
        <w:spacing w:after="0" w:line="253" w:lineRule="auto"/>
        <w:rPr>
          <w:sz w:val="20"/>
          <w:szCs w:val="20"/>
          <w:color w:val="auto"/>
        </w:rPr>
      </w:pPr>
      <w:r>
        <w:rPr>
          <w:rFonts w:ascii="Courier New" w:cs="Courier New" w:eastAsia="Courier New" w:hAnsi="Courier New"/>
          <w:sz w:val="18"/>
          <w:szCs w:val="18"/>
          <w:color w:val="auto"/>
        </w:rPr>
        <w:t>AGREEMENT entered into as of April 21, 1995, by and among DESIGNS, INC., a Delaware corporation ("Designs"), DESIGNS ACQUISITION CORP., a Delaware corporation ("Buyer"), BOSTON TRADING LTD., INC., a Massachusetts corporation ("Seller"), and each of ARNOLD W. KLINE and JACK STAHL, the stockholders holding all of the issued and outstanding capital stock of Seller (individually, a "Stockholder," and collectively, the "Stockholders").</w:t>
      </w:r>
    </w:p>
    <w:p>
      <w:pPr>
        <w:spacing w:after="0" w:line="1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W I T N E S S E T H</w:t>
      </w:r>
    </w:p>
    <w:p>
      <w:pPr>
        <w:spacing w:after="0" w:line="201" w:lineRule="exact"/>
        <w:rPr>
          <w:sz w:val="20"/>
          <w:szCs w:val="20"/>
          <w:color w:val="auto"/>
        </w:rPr>
      </w:pPr>
    </w:p>
    <w:p>
      <w:pPr>
        <w:jc w:val="both"/>
        <w:ind w:left="80" w:right="2839" w:firstLine="527"/>
        <w:spacing w:after="0" w:line="292" w:lineRule="auto"/>
        <w:rPr>
          <w:sz w:val="20"/>
          <w:szCs w:val="20"/>
          <w:color w:val="auto"/>
        </w:rPr>
      </w:pPr>
      <w:r>
        <w:rPr>
          <w:rFonts w:ascii="Courier New" w:cs="Courier New" w:eastAsia="Courier New" w:hAnsi="Courier New"/>
          <w:sz w:val="18"/>
          <w:szCs w:val="18"/>
          <w:color w:val="auto"/>
        </w:rPr>
        <w:t>WHEREAS, subject to the terms and conditions hereof, Seller desires to sell substantially all of its properties and assets; and</w:t>
      </w:r>
    </w:p>
    <w:p>
      <w:pPr>
        <w:spacing w:after="0" w:line="66" w:lineRule="exact"/>
        <w:rPr>
          <w:sz w:val="20"/>
          <w:szCs w:val="20"/>
          <w:color w:val="auto"/>
        </w:rPr>
      </w:pPr>
    </w:p>
    <w:p>
      <w:pPr>
        <w:ind w:left="80" w:right="2939" w:firstLine="527"/>
        <w:spacing w:after="0" w:line="265" w:lineRule="auto"/>
        <w:rPr>
          <w:sz w:val="20"/>
          <w:szCs w:val="20"/>
          <w:color w:val="auto"/>
        </w:rPr>
      </w:pPr>
      <w:r>
        <w:rPr>
          <w:rFonts w:ascii="Courier New" w:cs="Courier New" w:eastAsia="Courier New" w:hAnsi="Courier New"/>
          <w:sz w:val="18"/>
          <w:szCs w:val="18"/>
          <w:color w:val="auto"/>
        </w:rPr>
        <w:t>WHEREAS, subject to the terms and conditions hereof, Buyer desires to purchase said properties and assets of Seller for the consideration specified herein and the assumption by Buyer of certain specified liabilities and obligations of Seller;</w:t>
      </w:r>
    </w:p>
    <w:p>
      <w:pPr>
        <w:spacing w:after="0" w:line="90" w:lineRule="exact"/>
        <w:rPr>
          <w:sz w:val="20"/>
          <w:szCs w:val="20"/>
          <w:color w:val="auto"/>
        </w:rPr>
      </w:pPr>
    </w:p>
    <w:p>
      <w:pPr>
        <w:jc w:val="both"/>
        <w:ind w:left="80" w:right="2839" w:firstLine="527"/>
        <w:spacing w:after="0" w:line="344" w:lineRule="auto"/>
        <w:rPr>
          <w:sz w:val="20"/>
          <w:szCs w:val="20"/>
          <w:color w:val="auto"/>
        </w:rPr>
      </w:pPr>
      <w:r>
        <w:rPr>
          <w:rFonts w:ascii="Courier New" w:cs="Courier New" w:eastAsia="Courier New" w:hAnsi="Courier New"/>
          <w:sz w:val="16"/>
          <w:szCs w:val="16"/>
          <w:color w:val="auto"/>
        </w:rPr>
        <w:t>NOW, THEREFORE, in order to consummate said purchase and sale and in consideration of the mutual agreements set forth herein, the parties hereto hereby agree as follows:</w:t>
      </w:r>
    </w:p>
    <w:p>
      <w:pPr>
        <w:spacing w:after="0" w:line="31" w:lineRule="exact"/>
        <w:rPr>
          <w:sz w:val="20"/>
          <w:szCs w:val="20"/>
          <w:color w:val="auto"/>
        </w:rPr>
      </w:pPr>
    </w:p>
    <w:p>
      <w:pPr>
        <w:ind w:left="180"/>
        <w:spacing w:after="0"/>
        <w:tabs>
          <w:tab w:leader="none" w:pos="174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PURCHASE AND SALE OF ASSETS.</w:t>
      </w:r>
    </w:p>
    <w:p>
      <w:pPr>
        <w:spacing w:after="0" w:line="201" w:lineRule="exact"/>
        <w:rPr>
          <w:sz w:val="20"/>
          <w:szCs w:val="20"/>
          <w:color w:val="auto"/>
        </w:rPr>
      </w:pPr>
    </w:p>
    <w:p>
      <w:pPr>
        <w:ind w:left="80" w:right="2619" w:firstLine="527"/>
        <w:spacing w:after="0" w:line="252" w:lineRule="auto"/>
        <w:rPr>
          <w:sz w:val="20"/>
          <w:szCs w:val="20"/>
          <w:color w:val="auto"/>
        </w:rPr>
      </w:pPr>
      <w:r>
        <w:rPr>
          <w:rFonts w:ascii="Courier New" w:cs="Courier New" w:eastAsia="Courier New" w:hAnsi="Courier New"/>
          <w:sz w:val="18"/>
          <w:szCs w:val="18"/>
          <w:color w:val="auto"/>
        </w:rPr>
        <w:t>1.1 Sale of Assets. (a) Subject to the provisions of this Agreement, and with the exception of the Excluded Assets (as defined in Section 1.1(b)), Seller agrees to sell and Buyer agrees to purchase, at the Closing (as defined in Section 1.5 hereof), all of the properties and assets of Seller of every kind and description, tangible and intangible, real, personal or mixed, and wherever located (collectively, the "Subject Assets"), including, without limitation, the following:</w:t>
      </w:r>
    </w:p>
    <w:p>
      <w:pPr>
        <w:spacing w:after="0" w:line="99" w:lineRule="exact"/>
        <w:rPr>
          <w:sz w:val="20"/>
          <w:szCs w:val="20"/>
          <w:color w:val="auto"/>
        </w:rPr>
      </w:pPr>
    </w:p>
    <w:p>
      <w:pPr>
        <w:ind w:left="80" w:right="2619" w:firstLine="835"/>
        <w:spacing w:after="0" w:line="249" w:lineRule="auto"/>
        <w:tabs>
          <w:tab w:leader="none" w:pos="16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tangible personal property owned by Seller (and all right, title and interest of Seller in and to the tangible personal property leased by Seller) and used or held for use in connection with the business of Seller, including without limitation all office equipment, computers, and furniture located in the Lynn Headquarters (as defined in Section 1.1(b) below) except as provided in Section 1.1(b)(viii) and all furniture, fixtures and improvements in all of Seller's retail stores, New York City showroom and Vermont Warehouse (as defined in Section 1.4(b) below);</w:t>
      </w:r>
    </w:p>
    <w:p>
      <w:pPr>
        <w:spacing w:after="0" w:line="103" w:lineRule="exact"/>
        <w:rPr>
          <w:rFonts w:ascii="Courier New" w:cs="Courier New" w:eastAsia="Courier New" w:hAnsi="Courier New"/>
          <w:sz w:val="18"/>
          <w:szCs w:val="18"/>
          <w:color w:val="auto"/>
        </w:rPr>
      </w:pPr>
    </w:p>
    <w:p>
      <w:pPr>
        <w:ind w:left="80" w:right="2739" w:firstLine="730"/>
        <w:spacing w:after="0" w:line="260" w:lineRule="auto"/>
        <w:tabs>
          <w:tab w:leader="none" w:pos="16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store, warehouse, in transit or on order inventory (the "Inventory"), including but not limited to the Inventory set forth on Schedule 2.10 attached hereto (subject to such additions or deletions in such Inventory described on such Schedule 2.10 in the ordinary course of Seller's business);</w:t>
      </w:r>
    </w:p>
    <w:p>
      <w:pPr>
        <w:spacing w:after="0" w:line="92" w:lineRule="exact"/>
        <w:rPr>
          <w:rFonts w:ascii="Courier New" w:cs="Courier New" w:eastAsia="Courier New" w:hAnsi="Courier New"/>
          <w:sz w:val="18"/>
          <w:szCs w:val="18"/>
          <w:color w:val="auto"/>
        </w:rPr>
      </w:pPr>
    </w:p>
    <w:p>
      <w:pPr>
        <w:ind w:left="1660" w:hanging="956"/>
        <w:spacing w:after="0"/>
        <w:tabs>
          <w:tab w:leader="none" w:pos="16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and cash equivalents;</w:t>
      </w:r>
    </w:p>
    <w:p>
      <w:pPr>
        <w:spacing w:after="0" w:line="201" w:lineRule="exact"/>
        <w:rPr>
          <w:rFonts w:ascii="Courier New" w:cs="Courier New" w:eastAsia="Courier New" w:hAnsi="Courier New"/>
          <w:sz w:val="18"/>
          <w:szCs w:val="18"/>
          <w:color w:val="auto"/>
        </w:rPr>
      </w:pPr>
    </w:p>
    <w:p>
      <w:pPr>
        <w:ind w:left="80" w:right="2619" w:firstLine="730"/>
        <w:spacing w:after="0" w:line="288" w:lineRule="auto"/>
        <w:tabs>
          <w:tab w:leader="none" w:pos="16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accounts receivable in excess of the first $270,000 of trade receivables and $250,000 of royalty receivables of Seller collected by Buyer or Seller after the Closing (the "Purchased Accounts Receivable") pursuant to Section 1.4(d) hereof; and all deferred charges and chattel paper of Seller on the Closing Date, together with accrued interest thereon and all other rights to receive payments relating to the Subject Assets or otherwise arising from the operation of Seller's business;</w:t>
      </w:r>
    </w:p>
    <w:p>
      <w:pPr>
        <w:spacing w:after="0" w:line="285" w:lineRule="exact"/>
        <w:rPr>
          <w:rFonts w:ascii="Courier New" w:cs="Courier New" w:eastAsia="Courier New" w:hAnsi="Courier New"/>
          <w:sz w:val="16"/>
          <w:szCs w:val="16"/>
          <w:color w:val="auto"/>
        </w:rPr>
      </w:pPr>
    </w:p>
    <w:p>
      <w:pPr>
        <w:ind w:left="80" w:right="2619" w:firstLine="835"/>
        <w:spacing w:after="0" w:line="278" w:lineRule="auto"/>
        <w:tabs>
          <w:tab w:leader="none" w:pos="16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1.10, all rights and benefits of Seller in, to and under all licenses, contracts, agreements and purchase orders of Seller or by which any of the Subject Assets are bound, including without limitation</w:t>
      </w:r>
    </w:p>
    <w:p>
      <w:pPr>
        <w:spacing w:after="0" w:line="2" w:lineRule="exact"/>
        <w:rPr>
          <w:rFonts w:ascii="Courier New" w:cs="Courier New" w:eastAsia="Courier New" w:hAnsi="Courier New"/>
          <w:sz w:val="16"/>
          <w:szCs w:val="16"/>
          <w:color w:val="auto"/>
        </w:rPr>
      </w:pPr>
    </w:p>
    <w:p>
      <w:pPr>
        <w:ind w:left="80" w:right="2739" w:hanging="8"/>
        <w:spacing w:after="0" w:line="304" w:lineRule="auto"/>
        <w:tabs>
          <w:tab w:leader="none" w:pos="5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Leases (as defined in Section 2.6(b)), (B) the trademark license agreements (the "Trademark License Agreements") existing on the Closing Date including but not limited to those Trademark License Agreements described in</w:t>
      </w:r>
    </w:p>
    <w:p>
      <w:pPr>
        <w:sectPr>
          <w:pgSz w:w="11900" w:h="16838" w:orient="portrait"/>
          <w:cols w:equalWidth="0" w:num="1">
            <w:col w:w="9019"/>
          </w:cols>
          <w:pgMar w:left="1440" w:top="691" w:right="1440" w:bottom="0" w:gutter="0" w:footer="0" w:header="0"/>
        </w:sectPr>
      </w:pPr>
    </w:p>
    <w:bookmarkStart w:id="28" w:name="page29"/>
    <w:bookmarkEnd w:id="28"/>
    <w:p>
      <w:pPr>
        <w:spacing w:after="0" w:line="31" w:lineRule="exact"/>
        <w:rPr>
          <w:sz w:val="20"/>
          <w:szCs w:val="20"/>
          <w:color w:val="auto"/>
        </w:rPr>
      </w:pPr>
    </w:p>
    <w:p>
      <w:pPr>
        <w:ind w:left="80" w:right="2619"/>
        <w:spacing w:after="0" w:line="248" w:lineRule="auto"/>
        <w:rPr>
          <w:sz w:val="20"/>
          <w:szCs w:val="20"/>
          <w:color w:val="auto"/>
        </w:rPr>
      </w:pPr>
      <w:r>
        <w:rPr>
          <w:rFonts w:ascii="Courier New" w:cs="Courier New" w:eastAsia="Courier New" w:hAnsi="Courier New"/>
          <w:sz w:val="18"/>
          <w:szCs w:val="18"/>
          <w:color w:val="auto"/>
        </w:rPr>
        <w:t>Section 1.2(a) and (C) the licenses, contracts, and agreements specifically identified on Schedule 2.15 attached hereto as being those licenses, contracts and agreements which Buyer shall assume pursuant to the terms hereof; provided, however, that the assignment of the Trademark License Agreements to Buyer pursuant to this subsection (v) shall in no way diminish Seller's obligations pursuant to Section 1.11 hereof to obtain the terminations of all Domestic Trademark Licenses (as defined in Section 1.11) and to use its best efforts to obtain the terminations of all International Trademark Licenses (as defined in Section 1.11);</w:t>
      </w:r>
    </w:p>
    <w:p>
      <w:pPr>
        <w:spacing w:after="0" w:line="105" w:lineRule="exact"/>
        <w:rPr>
          <w:sz w:val="20"/>
          <w:szCs w:val="20"/>
          <w:color w:val="auto"/>
        </w:rPr>
      </w:pPr>
    </w:p>
    <w:p>
      <w:pPr>
        <w:ind w:left="80" w:right="2839" w:firstLine="730"/>
        <w:spacing w:after="0" w:line="283" w:lineRule="auto"/>
        <w:tabs>
          <w:tab w:leader="none" w:pos="166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Seller's sales and business records (including all such records in electronic form), wherever located, including without limitation all files, invoices, correspondence, maintenance, operating records, original leases, records of occupancy, advertising materials, customer lists, cost and pricing information, supplier lists, business plans, catalogs, manuals, personnel and employee benefits records (to the extent legally transferable), credit records of customers and any other proprietary information with respect to Seller's business except as provided in Section 1.1(b)(x) below;</w:t>
      </w:r>
    </w:p>
    <w:p>
      <w:pPr>
        <w:spacing w:after="0" w:line="79" w:lineRule="exact"/>
        <w:rPr>
          <w:rFonts w:ascii="Courier New" w:cs="Courier New" w:eastAsia="Courier New" w:hAnsi="Courier New"/>
          <w:sz w:val="16"/>
          <w:szCs w:val="16"/>
          <w:color w:val="auto"/>
        </w:rPr>
      </w:pPr>
    </w:p>
    <w:p>
      <w:pPr>
        <w:ind w:left="80" w:right="2619" w:firstLine="624"/>
        <w:spacing w:after="0" w:line="250" w:lineRule="auto"/>
        <w:tabs>
          <w:tab w:leader="none" w:pos="166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permits, approvals, franchises, licenses or other rights granted by any federal, state, local or foreign governmental authority which have been issued or are pending to Seller and are used, or intended to be used, in the business of Seller or which relate to the Subject Assets more particularly described on Schedule 2.21 attached hereto and all other consents, grants, and other rights that are used, required or necessary for the lawful ownership and operation of Seller's business, all only to the extent legally transferable;</w:t>
      </w:r>
    </w:p>
    <w:p>
      <w:pPr>
        <w:spacing w:after="0" w:line="104" w:lineRule="exact"/>
        <w:rPr>
          <w:rFonts w:ascii="Courier New" w:cs="Courier New" w:eastAsia="Courier New" w:hAnsi="Courier New"/>
          <w:sz w:val="18"/>
          <w:szCs w:val="18"/>
          <w:color w:val="auto"/>
        </w:rPr>
      </w:pPr>
    </w:p>
    <w:p>
      <w:pPr>
        <w:ind w:left="80" w:right="2619" w:firstLine="519"/>
        <w:spacing w:after="0" w:line="276" w:lineRule="auto"/>
        <w:tabs>
          <w:tab w:leader="none" w:pos="166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Seller's rights in the following categories of intellectual property, to the extent either owned by Seller or licensed to Seller and related to or used in connection with the business of Seller or the Subject Assets or any part thereof, including, without limitation:</w:t>
      </w:r>
    </w:p>
    <w:p>
      <w:pPr>
        <w:spacing w:after="0" w:line="2" w:lineRule="exact"/>
        <w:rPr>
          <w:rFonts w:ascii="Courier New" w:cs="Courier New" w:eastAsia="Courier New" w:hAnsi="Courier New"/>
          <w:sz w:val="16"/>
          <w:szCs w:val="16"/>
          <w:color w:val="auto"/>
        </w:rPr>
      </w:pPr>
    </w:p>
    <w:p>
      <w:pPr>
        <w:ind w:left="80" w:right="2619" w:hanging="8"/>
        <w:spacing w:after="0" w:line="243" w:lineRule="auto"/>
        <w:tabs>
          <w:tab w:leader="none" w:pos="50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trademarks, tradenames, service marks, copyrights, and other intellectual property including without limitation such intellectual property more particularly set forth on Schedule 2.14 attached hereto, including all registrations and applications for registration thereof, both foreign and domestic; (B) all designs, samples, patterns, inventions, discoveries, trade secrets, improvements, formulae, practices, processes, methods, technologies and know-how, whether or not patented or patentable, and similar proprietary rights and related licenses and all documentation related to any and all of the foregoing; (C) the right to sue for past infringement or improper, unlawful, or unfair use or disclosure of any items described in this Section 1.1(a)(viii); and (D) all software and all manuals and licenses with respect thereto as more particularly described on Schedule 2.14;</w:t>
      </w:r>
    </w:p>
    <w:p>
      <w:pPr>
        <w:spacing w:after="0" w:line="108" w:lineRule="exact"/>
        <w:rPr>
          <w:rFonts w:ascii="Courier New" w:cs="Courier New" w:eastAsia="Courier New" w:hAnsi="Courier New"/>
          <w:sz w:val="18"/>
          <w:szCs w:val="18"/>
          <w:color w:val="auto"/>
        </w:rPr>
      </w:pPr>
    </w:p>
    <w:p>
      <w:pPr>
        <w:ind w:left="80" w:right="2619" w:firstLine="730"/>
        <w:spacing w:after="0" w:line="250" w:lineRule="auto"/>
        <w:tabs>
          <w:tab w:leader="none" w:pos="16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and benefits of Seller in and to all prepayments, deposits and refunds, all cash payments on account of the Purchased Accounts Receivable delivered pursuant to Section 1.1(a)(iv), all manufacturer's and third party warranties or guaranties related to the Subject Assets, all indemnification rights against third parties related to the Subject Assets or related to any of the Assumed Liabilities, and any and all manufacturers or third party service and replacement programs related to the Subject Assets; and</w:t>
      </w:r>
    </w:p>
    <w:p>
      <w:pPr>
        <w:spacing w:after="0" w:line="104" w:lineRule="exact"/>
        <w:rPr>
          <w:rFonts w:ascii="Courier New" w:cs="Courier New" w:eastAsia="Courier New" w:hAnsi="Courier New"/>
          <w:sz w:val="18"/>
          <w:szCs w:val="18"/>
          <w:color w:val="auto"/>
        </w:rPr>
      </w:pPr>
    </w:p>
    <w:p>
      <w:pPr>
        <w:ind w:left="80" w:right="2619" w:firstLine="835"/>
        <w:spacing w:after="0" w:line="256" w:lineRule="auto"/>
        <w:tabs>
          <w:tab w:leader="none" w:pos="16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assets of Seller of every kind and nature, used or useful in connection with the operation of its business, including those assets acquired by Seller between the date hereof and the Closing Date, together with all goodwill and going concern value (including the goodwill connected with the intellectual property described in Section 1.1(a)(viii) above), if any.</w:t>
      </w:r>
    </w:p>
    <w:p>
      <w:pPr>
        <w:spacing w:after="0" w:line="98" w:lineRule="exact"/>
        <w:rPr>
          <w:rFonts w:ascii="Courier New" w:cs="Courier New" w:eastAsia="Courier New" w:hAnsi="Courier New"/>
          <w:sz w:val="18"/>
          <w:szCs w:val="18"/>
          <w:color w:val="auto"/>
        </w:rPr>
      </w:pPr>
    </w:p>
    <w:p>
      <w:pPr>
        <w:ind w:left="80" w:right="2619" w:firstLine="519"/>
        <w:spacing w:after="0" w:line="318" w:lineRule="auto"/>
        <w:tabs>
          <w:tab w:leader="none" w:pos="113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excluded from the purchase and sale hereunder the following assets and property of Seller and interests in assets and property of Seller which shall be retained by Seller (collectively, the "Excluded Assets"):</w:t>
      </w:r>
    </w:p>
    <w:p>
      <w:pPr>
        <w:sectPr>
          <w:pgSz w:w="11900" w:h="16869" w:orient="portrait"/>
          <w:cols w:equalWidth="0" w:num="1">
            <w:col w:w="9019"/>
          </w:cols>
          <w:pgMar w:left="1440" w:top="110" w:right="1440" w:bottom="0" w:gutter="0" w:footer="0" w:header="0"/>
        </w:sectPr>
      </w:pPr>
    </w:p>
    <w:bookmarkStart w:id="29" w:name="page30"/>
    <w:bookmarkEnd w:id="29"/>
    <w:p>
      <w:pPr>
        <w:ind w:left="80" w:right="2839" w:firstLine="835"/>
        <w:spacing w:after="0" w:line="265" w:lineRule="auto"/>
        <w:tabs>
          <w:tab w:leader="none" w:pos="16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and property disposed of between the date hereof and the closing in the ordinary course of business consistent with the past practices of Seller, and such other assets as have been or are disposed of pursuant to this Agreement;</w:t>
      </w:r>
    </w:p>
    <w:p>
      <w:pPr>
        <w:spacing w:after="0" w:line="89" w:lineRule="exact"/>
        <w:rPr>
          <w:rFonts w:ascii="Courier New" w:cs="Courier New" w:eastAsia="Courier New" w:hAnsi="Courier New"/>
          <w:sz w:val="18"/>
          <w:szCs w:val="18"/>
          <w:color w:val="auto"/>
        </w:rPr>
      </w:pPr>
    </w:p>
    <w:p>
      <w:pPr>
        <w:ind w:left="80" w:right="2619" w:firstLine="730"/>
        <w:spacing w:after="0" w:line="274" w:lineRule="auto"/>
        <w:tabs>
          <w:tab w:leader="none" w:pos="16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of the first $270,000 of trade receivables and the first $250,000 of royalty receivables of Seller collected by Buyer or Seller after the Closing Date (the "BTL Retained Accounts Receivable");</w:t>
      </w:r>
    </w:p>
    <w:p>
      <w:pPr>
        <w:spacing w:after="0" w:line="81" w:lineRule="exact"/>
        <w:rPr>
          <w:rFonts w:ascii="Courier New" w:cs="Courier New" w:eastAsia="Courier New" w:hAnsi="Courier New"/>
          <w:sz w:val="18"/>
          <w:szCs w:val="18"/>
          <w:color w:val="auto"/>
        </w:rPr>
      </w:pPr>
    </w:p>
    <w:p>
      <w:pPr>
        <w:ind w:left="80" w:right="2739" w:firstLine="624"/>
        <w:spacing w:after="0" w:line="293" w:lineRule="auto"/>
        <w:tabs>
          <w:tab w:leader="none" w:pos="166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domestic trademarks license agreements and international trademark license agreements including such license agreements more particularly described on Schedule 2.15 attached hereto, except to the extent that Buyer agrees to assume any such trademark license agreement pursuant to Section 1.1(a)(v), Section 1.2(a) and Section 1.11 hereof (the "Buyer Designated License Agreements");</w:t>
      </w:r>
    </w:p>
    <w:p>
      <w:pPr>
        <w:spacing w:after="0" w:line="71" w:lineRule="exact"/>
        <w:rPr>
          <w:rFonts w:ascii="Courier New" w:cs="Courier New" w:eastAsia="Courier New" w:hAnsi="Courier New"/>
          <w:sz w:val="16"/>
          <w:szCs w:val="16"/>
          <w:color w:val="auto"/>
        </w:rPr>
      </w:pPr>
    </w:p>
    <w:p>
      <w:pPr>
        <w:ind w:left="80" w:right="2739" w:firstLine="730"/>
        <w:spacing w:after="0" w:line="265" w:lineRule="auto"/>
        <w:tabs>
          <w:tab w:leader="none" w:pos="16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and benefits of Seller in, to and under the leases for Seller's headquarters located at 315 Washington Street, Lynn, Massachusetts (the "Lynn Headquarters") or under any leases for the use of personal property used exclusively at this location;</w:t>
      </w:r>
    </w:p>
    <w:p>
      <w:pPr>
        <w:spacing w:after="0" w:line="89" w:lineRule="exact"/>
        <w:rPr>
          <w:rFonts w:ascii="Courier New" w:cs="Courier New" w:eastAsia="Courier New" w:hAnsi="Courier New"/>
          <w:sz w:val="18"/>
          <w:szCs w:val="18"/>
          <w:color w:val="auto"/>
        </w:rPr>
      </w:pPr>
    </w:p>
    <w:p>
      <w:pPr>
        <w:ind w:left="80" w:right="2939" w:firstLine="835"/>
        <w:spacing w:after="0" w:line="274" w:lineRule="auto"/>
        <w:tabs>
          <w:tab w:leader="none" w:pos="16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assets and interests of Seller under any Employee Program (as defined in Section 2.24 below) and under each related trust, fund, insurance arrangement or funding arrangement;</w:t>
      </w:r>
    </w:p>
    <w:p>
      <w:pPr>
        <w:spacing w:after="0" w:line="81" w:lineRule="exact"/>
        <w:rPr>
          <w:rFonts w:ascii="Courier New" w:cs="Courier New" w:eastAsia="Courier New" w:hAnsi="Courier New"/>
          <w:sz w:val="18"/>
          <w:szCs w:val="18"/>
          <w:color w:val="auto"/>
        </w:rPr>
      </w:pPr>
    </w:p>
    <w:p>
      <w:pPr>
        <w:ind w:left="80" w:right="2839" w:firstLine="730"/>
        <w:spacing w:after="0" w:line="260" w:lineRule="auto"/>
        <w:tabs>
          <w:tab w:leader="none" w:pos="16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inventory or merchandise which is the subject of any controversy, claim, dispute, suit, cause of action or the like, including but not limited to the merchandise subject to the lawsuit involving Far Eastern Textiles, and rights under any of the purchase orders identified on Schedule 2.10 attached hereto;</w:t>
      </w:r>
    </w:p>
    <w:p>
      <w:pPr>
        <w:spacing w:after="0" w:line="92" w:lineRule="exact"/>
        <w:rPr>
          <w:rFonts w:ascii="Courier New" w:cs="Courier New" w:eastAsia="Courier New" w:hAnsi="Courier New"/>
          <w:sz w:val="18"/>
          <w:szCs w:val="18"/>
          <w:color w:val="auto"/>
        </w:rPr>
      </w:pPr>
    </w:p>
    <w:p>
      <w:pPr>
        <w:ind w:left="80" w:right="2619" w:firstLine="308"/>
        <w:spacing w:after="0" w:line="246" w:lineRule="auto"/>
        <w:tabs>
          <w:tab w:leader="none" w:pos="11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life insurance policies owned by Seller on the lives of the Stockholders, provided that Seller obtains and distributes to the unsecured creditors of Seller, in satisfaction of their claims, the cash surrender value (the "Cash Surrender Value") of, or the maximum amount (the "Maximum Insurance Amount') which may be borrowed under, such policies as soon as practicable after the Closing, except that if Seller chooses to borrow the Maximum Insurance Amount and such Maximum Insurance Amount is less than the Cash Surrender Value, the Stockholders shall, simultaneously with such borrowing, deliver to Seller an amount in cash equal to such difference, and Seller shall distribute such amount to the unsecured creditors of Seller in satisfaction of their claims as soon as practicable after the Closing;</w:t>
      </w:r>
    </w:p>
    <w:p>
      <w:pPr>
        <w:spacing w:after="0" w:line="106" w:lineRule="exact"/>
        <w:rPr>
          <w:rFonts w:ascii="Courier New" w:cs="Courier New" w:eastAsia="Courier New" w:hAnsi="Courier New"/>
          <w:sz w:val="18"/>
          <w:szCs w:val="18"/>
          <w:color w:val="auto"/>
        </w:rPr>
      </w:pPr>
    </w:p>
    <w:p>
      <w:pPr>
        <w:ind w:left="80" w:right="2619" w:firstLine="308"/>
        <w:spacing w:after="0" w:line="265" w:lineRule="auto"/>
        <w:tabs>
          <w:tab w:leader="none" w:pos="11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office equipment and furniture located in the Lynn Headquarters as of the date hereof, except for the office equipment, computers, software, vehicle, and approval samples more particularly described on Schedule 1.1(b) hereto;</w:t>
      </w:r>
    </w:p>
    <w:p>
      <w:pPr>
        <w:spacing w:after="0" w:line="89" w:lineRule="exact"/>
        <w:rPr>
          <w:rFonts w:ascii="Courier New" w:cs="Courier New" w:eastAsia="Courier New" w:hAnsi="Courier New"/>
          <w:sz w:val="18"/>
          <w:szCs w:val="18"/>
          <w:color w:val="auto"/>
        </w:rPr>
      </w:pPr>
    </w:p>
    <w:p>
      <w:pPr>
        <w:ind w:left="80" w:right="2739" w:firstLine="308"/>
        <w:spacing w:after="0" w:line="293" w:lineRule="auto"/>
        <w:tabs>
          <w:tab w:leader="none" w:pos="113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damages, costs and expenses recovered by Seller in its pending lawsuit against OshKosh with respect to certain licensing matters and (B) any excess Inventory Proceeds of the type referred to in Section 11.4 hereof; provided that Seller distributes all of such amounts to the unsecured creditors of Seller in satisfaction of their claims, as soon as practicable after the Closing; and</w:t>
      </w:r>
    </w:p>
    <w:p>
      <w:pPr>
        <w:spacing w:after="0" w:line="71" w:lineRule="exact"/>
        <w:rPr>
          <w:rFonts w:ascii="Courier New" w:cs="Courier New" w:eastAsia="Courier New" w:hAnsi="Courier New"/>
          <w:sz w:val="16"/>
          <w:szCs w:val="16"/>
          <w:color w:val="auto"/>
        </w:rPr>
      </w:pPr>
    </w:p>
    <w:p>
      <w:pPr>
        <w:ind w:left="80" w:right="2619" w:firstLine="308"/>
        <w:spacing w:after="0" w:line="285" w:lineRule="auto"/>
        <w:tabs>
          <w:tab w:leader="none" w:pos="113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corporate franchise, stock record books, corporate record books containing minutes of meetings of directors and stockholders and such other records as have to do exclusively with Seller's organization or stock capitalization, and Seller's financial and tax records which shall not be required by Buyer to operate its business following the Closing, except that Seller shall make all such records available to Buyer at reasonable times upon reasonable notice and Buyer shall be permitted to make extracts and copies of such records at its cost and expense.</w:t>
      </w:r>
    </w:p>
    <w:p>
      <w:pPr>
        <w:spacing w:after="0" w:line="76" w:lineRule="exact"/>
        <w:rPr>
          <w:sz w:val="20"/>
          <w:szCs w:val="20"/>
          <w:color w:val="auto"/>
        </w:rPr>
      </w:pPr>
    </w:p>
    <w:p>
      <w:pPr>
        <w:jc w:val="center"/>
        <w:ind w:right="2559"/>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1.2</w:t>
        <w:tab/>
        <w:t>Assumption of Liabilities.</w:t>
      </w:r>
      <w:r>
        <w:rPr>
          <w:sz w:val="20"/>
          <w:szCs w:val="20"/>
          <w:color w:val="auto"/>
        </w:rPr>
        <w:tab/>
      </w:r>
      <w:r>
        <w:rPr>
          <w:rFonts w:ascii="Courier New" w:cs="Courier New" w:eastAsia="Courier New" w:hAnsi="Courier New"/>
          <w:sz w:val="16"/>
          <w:szCs w:val="16"/>
          <w:color w:val="auto"/>
        </w:rPr>
        <w:t>Upon the sale and</w:t>
      </w:r>
    </w:p>
    <w:p>
      <w:pPr>
        <w:spacing w:after="0" w:line="31"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purchase of the Subject Assets, Buyer shall assume and agree</w:t>
      </w:r>
    </w:p>
    <w:p>
      <w:pPr>
        <w:sectPr>
          <w:pgSz w:w="11900" w:h="16838" w:orient="portrait"/>
          <w:cols w:equalWidth="0" w:num="1">
            <w:col w:w="9019"/>
          </w:cols>
          <w:pgMar w:left="1440" w:top="312" w:right="1440" w:bottom="0" w:gutter="0" w:footer="0" w:header="0"/>
        </w:sectPr>
      </w:pPr>
    </w:p>
    <w:bookmarkStart w:id="30" w:name="page31"/>
    <w:bookmarkEnd w:id="30"/>
    <w:p>
      <w:pPr>
        <w:spacing w:after="0" w:line="23" w:lineRule="exact"/>
        <w:rPr>
          <w:sz w:val="20"/>
          <w:szCs w:val="20"/>
          <w:color w:val="auto"/>
        </w:rPr>
      </w:pPr>
    </w:p>
    <w:p>
      <w:pPr>
        <w:ind w:left="80" w:right="2839"/>
        <w:spacing w:after="0" w:line="265" w:lineRule="auto"/>
        <w:rPr>
          <w:sz w:val="20"/>
          <w:szCs w:val="20"/>
          <w:color w:val="auto"/>
        </w:rPr>
      </w:pPr>
      <w:r>
        <w:rPr>
          <w:rFonts w:ascii="Courier New" w:cs="Courier New" w:eastAsia="Courier New" w:hAnsi="Courier New"/>
          <w:sz w:val="18"/>
          <w:szCs w:val="18"/>
          <w:color w:val="auto"/>
        </w:rPr>
        <w:t>to pay or discharge when due the following specified liabilities relating to the business of Seller incurred in the ordinary course of business and consistent with the terms of this Agreement (collectively, the "Assumed Liabilities"):</w:t>
      </w:r>
    </w:p>
    <w:p>
      <w:pPr>
        <w:spacing w:after="0" w:line="90" w:lineRule="exact"/>
        <w:rPr>
          <w:sz w:val="20"/>
          <w:szCs w:val="20"/>
          <w:color w:val="auto"/>
        </w:rPr>
      </w:pPr>
    </w:p>
    <w:p>
      <w:pPr>
        <w:ind w:left="80" w:right="2619" w:firstLine="519"/>
        <w:spacing w:after="0" w:line="298" w:lineRule="auto"/>
        <w:tabs>
          <w:tab w:leader="none" w:pos="113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liabilities arising after the Closing Date with respect to (i) the Leases, (ii) the Buyer Designated License Agreements, (iii) the License Termination Agreements (as defined in Section 1.11 below) and (iv) such other contracts and agreements as are specifically identified on Schedule 2.15 attached hereto as being assumed by Buyer;</w:t>
      </w:r>
    </w:p>
    <w:p>
      <w:pPr>
        <w:spacing w:after="0" w:line="67" w:lineRule="exact"/>
        <w:rPr>
          <w:rFonts w:ascii="Courier New" w:cs="Courier New" w:eastAsia="Courier New" w:hAnsi="Courier New"/>
          <w:sz w:val="16"/>
          <w:szCs w:val="16"/>
          <w:color w:val="auto"/>
        </w:rPr>
      </w:pPr>
    </w:p>
    <w:p>
      <w:pPr>
        <w:ind w:left="80" w:right="2739" w:firstLine="519"/>
        <w:spacing w:after="0" w:line="274" w:lineRule="auto"/>
        <w:tabs>
          <w:tab w:leader="none" w:pos="113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liabilities existing on the Closing Date for the payment of unpaid rent under the Leases subject to the terms and conditions of Section 1.4(c) below (the "Assumed Rent Amount"); and</w:t>
      </w:r>
    </w:p>
    <w:p>
      <w:pPr>
        <w:spacing w:after="0" w:line="81" w:lineRule="exact"/>
        <w:rPr>
          <w:rFonts w:ascii="Courier New" w:cs="Courier New" w:eastAsia="Courier New" w:hAnsi="Courier New"/>
          <w:sz w:val="18"/>
          <w:szCs w:val="18"/>
          <w:color w:val="auto"/>
        </w:rPr>
      </w:pPr>
    </w:p>
    <w:p>
      <w:pPr>
        <w:ind w:left="80" w:right="2619" w:firstLine="519"/>
        <w:spacing w:after="0" w:line="241" w:lineRule="auto"/>
        <w:tabs>
          <w:tab w:leader="none" w:pos="113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liabilities existing as of the Closing Date to purchase merchandise pursuant to purchase orders (collectively, the "Assumed Purchase Orders") identified on Schedule 2.10 attached hereto with respect to the merchandise of Seller classified on Seller's books prior to March 1, 1995 and consistently with past practice as "General Order Merchandise" (collectively, the "General Order Merchandise"), which liabilities in each case shall include the quota fees and commissions owed by Seller to third party agents with respect to such merchandise, and specifically identified with respect to each Assumed Purchase Order on Schedule 2.10. Notwithstanding the foregoing, (i) Seller shall be responsible for taking all actions necessary to clear the General Order Merchandise through U.S. Customs, provided, however, that Buyer will pay or reimburse Seller for any reasonable out-of-pocket expenses incurred by Seller with Buyer's prior approval necessary in order to obtain such clearance; and (ii) Buyer shall not be obligated to assume (A) any obligations or liabilities with respect to any Assumed Purchase Order which is the subject of any controversy, claim, dispute, suit, cause of action or the like as of the Closing, or (B) any obligations or liabilities with respect to clearing any General Order Merchandise though U.S. Customs including without limitation any liabilities for customs assists (other than for the payment of U.S. Customs duties with respect thereto incurred in the ordinary course of business which shall be assumed by Buyer). Notwithstanding the foregoing, Buyer's obligations with respect to the General Order Merchandise shall not include any liability or obligation with respect to certain purchase orders identified on Schedule 2.10, relating to certain ladies jeans and jean shorts ordered from ASCAM. The assumption of said liabilities by any party hereunder shall not enlarge any rights of third parties under contracts or arrangements with Buyer or Seller and nothing herein shall prevent any party from contesting in good faith with any third party any of said liabilities.</w:t>
      </w:r>
    </w:p>
    <w:p>
      <w:pPr>
        <w:spacing w:after="0" w:line="120" w:lineRule="exact"/>
        <w:rPr>
          <w:sz w:val="20"/>
          <w:szCs w:val="20"/>
          <w:color w:val="auto"/>
        </w:rPr>
      </w:pPr>
    </w:p>
    <w:p>
      <w:pPr>
        <w:ind w:left="80" w:right="2619" w:firstLine="527"/>
        <w:spacing w:after="0" w:line="278" w:lineRule="auto"/>
        <w:rPr>
          <w:sz w:val="20"/>
          <w:szCs w:val="20"/>
          <w:color w:val="auto"/>
        </w:rPr>
      </w:pPr>
      <w:r>
        <w:rPr>
          <w:rFonts w:ascii="Courier New" w:cs="Courier New" w:eastAsia="Courier New" w:hAnsi="Courier New"/>
          <w:sz w:val="16"/>
          <w:szCs w:val="16"/>
          <w:color w:val="auto"/>
        </w:rPr>
        <w:t>1.3 Excluded Liabilities. Buyer shall not assume or be bound by any duties, responsibilities, obligations or liabilities of Seller or the Stockholders or with respect to the Subject Assets, of any kind or nature, known, unknown, contingent or otherwise (collectively, the "Excluded Liabilities"), other than those Assumed Liabilities expressly assumed by Buyer pursuant to the provisions of Section 1.2. Without limiting the foregoing, and notwithstanding any other provision of this Agreement, it is understood that Buyer shall not assume, undertake or accept any duties, responsibilities, obligations or liabilities of Seller or the Stockholders or any of the officers, directors, employees, agents or representatives of any of Seller (including without limitation any that exist now or at the Closing or that may arise in the future with respect to matters occurring at or prior to the Closing).</w:t>
      </w:r>
    </w:p>
    <w:p>
      <w:pPr>
        <w:spacing w:after="0" w:line="295" w:lineRule="exact"/>
        <w:rPr>
          <w:sz w:val="20"/>
          <w:szCs w:val="20"/>
          <w:color w:val="auto"/>
        </w:rPr>
      </w:pPr>
    </w:p>
    <w:p>
      <w:pPr>
        <w:ind w:left="600"/>
        <w:spacing w:after="0"/>
        <w:tabs>
          <w:tab w:leader="none" w:pos="11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Purchase Price and Payment.</w:t>
      </w:r>
    </w:p>
    <w:p>
      <w:pPr>
        <w:spacing w:after="0" w:line="201" w:lineRule="exact"/>
        <w:rPr>
          <w:sz w:val="20"/>
          <w:szCs w:val="20"/>
          <w:color w:val="auto"/>
        </w:rPr>
      </w:pPr>
    </w:p>
    <w:p>
      <w:pPr>
        <w:ind w:left="80" w:right="2619" w:firstLine="519"/>
        <w:spacing w:after="0" w:line="306" w:lineRule="auto"/>
        <w:tabs>
          <w:tab w:leader="none" w:pos="113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consideration of the sale by Seller to Buyer of the Subject Assets, subject to the assumption by Buyer of the Assumed Liabilities and the satisfaction of all of the conditions contained herein, Buyer and Designs agree that the aggregate purchase price (the "Purchase Price") for the</w:t>
      </w:r>
    </w:p>
    <w:p>
      <w:pPr>
        <w:sectPr>
          <w:pgSz w:w="11900" w:h="16862" w:orient="portrait"/>
          <w:cols w:equalWidth="0" w:num="1">
            <w:col w:w="9019"/>
          </w:cols>
          <w:pgMar w:left="1440" w:top="110" w:right="1440" w:bottom="0" w:gutter="0" w:footer="0" w:header="0"/>
        </w:sectPr>
      </w:pPr>
    </w:p>
    <w:bookmarkStart w:id="31" w:name="page32"/>
    <w:bookmarkEnd w:id="31"/>
    <w:p>
      <w:pPr>
        <w:spacing w:after="0" w:line="16" w:lineRule="exact"/>
        <w:rPr>
          <w:sz w:val="20"/>
          <w:szCs w:val="20"/>
          <w:color w:val="auto"/>
        </w:rPr>
      </w:pPr>
    </w:p>
    <w:p>
      <w:pPr>
        <w:ind w:left="80" w:right="2619"/>
        <w:spacing w:after="0" w:line="271" w:lineRule="auto"/>
        <w:rPr>
          <w:sz w:val="20"/>
          <w:szCs w:val="20"/>
          <w:color w:val="auto"/>
        </w:rPr>
      </w:pPr>
      <w:r>
        <w:rPr>
          <w:rFonts w:ascii="Courier New" w:cs="Courier New" w:eastAsia="Courier New" w:hAnsi="Courier New"/>
          <w:sz w:val="16"/>
          <w:szCs w:val="16"/>
          <w:color w:val="auto"/>
        </w:rPr>
        <w:t>Subject Assets shall be Six Million Dollars ($6,000,000), subject to adjustment and to be paid as more particularly described in this Section 1.4. At the Closing, (i) Designs will cause Buyer to deliver, and Buyer will deliver, to Seller $4,500,000 (the "Cash Purchase Price") and deliver to Goldstein &amp; Manello, as escrow agent for Seller and Buyer (the "Escrow Agent") $500,000 (the "Inventory Holdback Amount") pursuant to an Escrow Agreement in the form of Exhibit 1.4(a) attached hereto, in each case by means of bank cashiers' checks in Boston Clearing House Funds or by wire transfer of immediately available funds to an account designated in writing by Seller or the Escrow Agent to Buyer, as the case may be; and (ii) Designs and Buyer will deliver to Seller a promissory note in the principal amount of $1,000,000 (the "Note"), substantially in the form attached hereto as Exhibit 1.4(b). The Note shall be subject to the provisions of this Agreement, and Designs and Buyer may set-off against any amount outstanding under the Note the amount of any Inventory Shortfall Amount (as defined below) or any claim or indemnification payable by Seller or the Stockholders to Designs or Buyer under the terms of this Agreement. The Purchase Price will be subject to reduction, on a dollar-for dollar basis, (A) if and by the amount that the value of the Inventory (as determined in accordance with Section 1.4(b)) is less than $6,000,000, and</w:t>
      </w:r>
    </w:p>
    <w:p>
      <w:pPr>
        <w:spacing w:after="0" w:line="185" w:lineRule="exact"/>
        <w:rPr>
          <w:sz w:val="20"/>
          <w:szCs w:val="20"/>
          <w:color w:val="auto"/>
        </w:rPr>
      </w:pPr>
    </w:p>
    <w:p>
      <w:pPr>
        <w:ind w:left="80" w:right="2619" w:hanging="8"/>
        <w:spacing w:after="0" w:line="272" w:lineRule="auto"/>
        <w:tabs>
          <w:tab w:leader="none" w:pos="5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Assumed Rent Amount (as determined in accordance with Section 1.4(c)); provided, however that Buyer will give Seller a credit for purposes of this reduction to Purchase Price in an amount equal to (x) 100% of all of Seller's deposits as of the Closing Date made with respect to the Assumed Purchase Orders and (y) 50% of all of Seller's other deposits and prepaid expenses as of the Closing Date made with respect to the Subject Assets, and such deposits and prepaid expenses as of the date hereof as are more particularly described on Schedule 1.4 attached hereto; provided, however, that no credit shall be given with respect to any such deposit or prepaid expense unless Seller can document the then current existence of such deposit or prepaid expense to Buyer's reasonable satisfaction (which in the case of the deposits made with respect to the Leased Real Property (as defined in Section 2.6) shall include information provided by the landlords and lessors in the estoppel certificates being delivered in connection with the assignment and transfer of the Leases (as defined in Section 2.6) pursuant to the transactions contemplated hereby) and Buyer receives the full benefit of such deposit or prepaid expense (subject to the payment by Buyer of any balance due which is an Assumed Liability). No credit against the Purchase Price shall be given pursuant to this Section 1.4 for any of the deposits and prepaid expenses described in Section 1.4(c)(i) hereof.</w:t>
      </w:r>
    </w:p>
    <w:p>
      <w:pPr>
        <w:spacing w:after="0" w:line="200" w:lineRule="exact"/>
        <w:rPr>
          <w:rFonts w:ascii="Courier New" w:cs="Courier New" w:eastAsia="Courier New" w:hAnsi="Courier New"/>
          <w:sz w:val="16"/>
          <w:szCs w:val="16"/>
          <w:color w:val="auto"/>
        </w:rPr>
      </w:pPr>
    </w:p>
    <w:p>
      <w:pPr>
        <w:spacing w:after="0" w:line="307" w:lineRule="exact"/>
        <w:rPr>
          <w:rFonts w:ascii="Courier New" w:cs="Courier New" w:eastAsia="Courier New" w:hAnsi="Courier New"/>
          <w:sz w:val="16"/>
          <w:szCs w:val="16"/>
          <w:color w:val="auto"/>
        </w:rPr>
      </w:pPr>
    </w:p>
    <w:p>
      <w:pPr>
        <w:ind w:left="1120" w:hanging="521"/>
        <w:spacing w:after="0"/>
        <w:tabs>
          <w:tab w:leader="none" w:pos="1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 Value.</w:t>
      </w:r>
    </w:p>
    <w:p>
      <w:pPr>
        <w:spacing w:after="0" w:line="201" w:lineRule="exact"/>
        <w:rPr>
          <w:sz w:val="20"/>
          <w:szCs w:val="20"/>
          <w:color w:val="auto"/>
        </w:rPr>
      </w:pPr>
    </w:p>
    <w:p>
      <w:pPr>
        <w:ind w:left="80" w:right="2619" w:firstLine="519"/>
        <w:spacing w:after="0" w:line="276" w:lineRule="auto"/>
        <w:tabs>
          <w:tab w:leader="none" w:pos="11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but in any event within 30 days after the Closing, Buyer shall complete a physical examination and count of the Inventory physically located on the Closing Date at (w) the Lynn Headquarters, (x) each of Seller's retail stores, (y) Seller's New York City showroom and (z) Seller's Manchester, Vermont warehouse (the "Vermont Warehouse"), and shall agree upon and prepare a list of each item of such Inventory which shall show the quantities and value thereof (the "Closing Inventory Report"). Inventory located at the Lynn Headquarters and in the Vermont Warehouse shall be transferred by Buyer on or about the Closing Date to another location or locations selected by Buyer, where such Inventory will be examined and counted. Inventory located in Seller's retail stores and in Seller's New York City showroom shall be examined and counted at those locations. Buyer may retain third party agents to assist in any aspects of the Inventory examination and count. Seller may designate two representatives to be present as observers at each location during the Inventory count and examination.</w:t>
      </w:r>
    </w:p>
    <w:p>
      <w:pPr>
        <w:spacing w:after="0" w:line="293" w:lineRule="exact"/>
        <w:rPr>
          <w:rFonts w:ascii="Courier New" w:cs="Courier New" w:eastAsia="Courier New" w:hAnsi="Courier New"/>
          <w:sz w:val="16"/>
          <w:szCs w:val="16"/>
          <w:color w:val="auto"/>
        </w:rPr>
      </w:pPr>
    </w:p>
    <w:p>
      <w:pPr>
        <w:ind w:left="80" w:right="2619" w:firstLine="519"/>
        <w:spacing w:after="0" w:line="298" w:lineRule="auto"/>
        <w:tabs>
          <w:tab w:leader="none" w:pos="11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preparation of the Closing Inventory Report by Buyer, Buyer and Buyer's representatives shall be provided with all of Seller's records pertaining to the Inventory. For purposes of the Closing Inventory Report, the value of each item of Inventory shall be the documented landed cost of such Inventory, inclusive of</w:t>
      </w:r>
    </w:p>
    <w:p>
      <w:pPr>
        <w:sectPr>
          <w:pgSz w:w="11900" w:h="16854" w:orient="portrait"/>
          <w:cols w:equalWidth="0" w:num="1">
            <w:col w:w="9019"/>
          </w:cols>
          <w:pgMar w:left="1440" w:top="110" w:right="1440" w:bottom="0" w:gutter="0" w:footer="0" w:header="0"/>
        </w:sectPr>
      </w:pPr>
    </w:p>
    <w:bookmarkStart w:id="32" w:name="page33"/>
    <w:bookmarkEnd w:id="32"/>
    <w:p>
      <w:pPr>
        <w:spacing w:after="0" w:line="8" w:lineRule="exact"/>
        <w:rPr>
          <w:sz w:val="20"/>
          <w:szCs w:val="20"/>
          <w:color w:val="auto"/>
        </w:rPr>
      </w:pPr>
    </w:p>
    <w:p>
      <w:pPr>
        <w:ind w:left="80" w:right="2619"/>
        <w:spacing w:after="0" w:line="277" w:lineRule="auto"/>
        <w:rPr>
          <w:sz w:val="20"/>
          <w:szCs w:val="20"/>
          <w:color w:val="auto"/>
        </w:rPr>
      </w:pPr>
      <w:r>
        <w:rPr>
          <w:rFonts w:ascii="Courier New" w:cs="Courier New" w:eastAsia="Courier New" w:hAnsi="Courier New"/>
          <w:sz w:val="16"/>
          <w:szCs w:val="16"/>
          <w:color w:val="auto"/>
        </w:rPr>
        <w:t>freight, insurance, customs duties, quota fees, brokerage commissions and buying commissions paid by Seller with respect to any Inventory shipment (but only to the extent that such buying commissions do not exceed in the aggregate 4% of the purchase price of such Inventory shipment) and as such costs duties, fees and commissions are allocated pro rata to such Inventory in those instances where such Inventory does not comprise the entire Inventory shipment, in each case as reflected in bona fide bills of lading, warehouse receipts, or other valid third party documentation provided by Seller to Buyer. In no case shall the landed cost of such Inventory include any amount with respect to customs assists, the liability for which shall be retained by Seller. No value shall be ascribed to any Inventory for which such documentation does not exist. The General Order Merchandise shall not be deemed to be part of the Inventory for purposes of determining the value of the Inventory pursuant to this Section 1.4(b).</w:t>
      </w:r>
    </w:p>
    <w:p>
      <w:pPr>
        <w:spacing w:after="0" w:line="293" w:lineRule="exact"/>
        <w:rPr>
          <w:sz w:val="20"/>
          <w:szCs w:val="20"/>
          <w:color w:val="auto"/>
        </w:rPr>
      </w:pPr>
    </w:p>
    <w:p>
      <w:pPr>
        <w:ind w:left="80" w:right="2619" w:firstLine="519"/>
        <w:spacing w:after="0" w:line="288" w:lineRule="auto"/>
        <w:tabs>
          <w:tab w:leader="none" w:pos="1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1.4(b)(iv)(A), the Closing Inventory Report delivered by Buyer to Seller shall be final, binding and conclusive on the parties hereto except to the extent that there are any manifest errors with respect to the Inventory, in which case the Closing Inventory Report shall be adjusted accordingly following the agreement of Buyer and Seller as to the amount of such errors and the effect that such errors will have on the calculations made pursuant to this Section 1.4(b).</w:t>
      </w:r>
    </w:p>
    <w:p>
      <w:pPr>
        <w:spacing w:after="0" w:line="285" w:lineRule="exact"/>
        <w:rPr>
          <w:rFonts w:ascii="Courier New" w:cs="Courier New" w:eastAsia="Courier New" w:hAnsi="Courier New"/>
          <w:sz w:val="16"/>
          <w:szCs w:val="16"/>
          <w:color w:val="auto"/>
        </w:rPr>
      </w:pPr>
    </w:p>
    <w:p>
      <w:pPr>
        <w:ind w:left="80" w:right="2619" w:firstLine="519"/>
        <w:spacing w:after="0" w:line="252" w:lineRule="auto"/>
        <w:tabs>
          <w:tab w:leader="none" w:pos="113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Seller may dispute any amount reflected on the Closing Inventory Report by written notice delivered to Buyer within 10 business days of Seller's receipt of the Closing Inventory Report, specifying each disputed item, the amount thereof and the basis on which such dispute is made, but only on the basis that such amount was not arrived at on a basis consistent with the methods, policies and procedures described in this Section 1.4(b), or resulted from mechanical errors of computation.</w:t>
      </w:r>
    </w:p>
    <w:p>
      <w:pPr>
        <w:spacing w:after="0" w:line="99" w:lineRule="exact"/>
        <w:rPr>
          <w:sz w:val="20"/>
          <w:szCs w:val="20"/>
          <w:color w:val="auto"/>
        </w:rPr>
      </w:pPr>
    </w:p>
    <w:p>
      <w:pPr>
        <w:ind w:left="80" w:right="2619" w:firstLine="519"/>
        <w:spacing w:after="0" w:line="253" w:lineRule="auto"/>
        <w:tabs>
          <w:tab w:leader="none" w:pos="11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such a dispute, Seller and Buyer shall attempt to reconcile their differences and any resolution by them as to any disputed amounts shall be final, binding and conclusive on the parties, and Buyer shall revise the Closing Inventory Report to reflect any such resolution and may adjust the Closing Inventory Report in light of any such dispute, in each case within 10 days of Seller's written notice of dispute to Buyer.</w:t>
      </w:r>
    </w:p>
    <w:p>
      <w:pPr>
        <w:spacing w:after="0" w:line="103" w:lineRule="exact"/>
        <w:rPr>
          <w:rFonts w:ascii="Courier New" w:cs="Courier New" w:eastAsia="Courier New" w:hAnsi="Courier New"/>
          <w:sz w:val="18"/>
          <w:szCs w:val="18"/>
          <w:color w:val="auto"/>
        </w:rPr>
      </w:pPr>
    </w:p>
    <w:p>
      <w:pPr>
        <w:ind w:left="80" w:right="2619" w:firstLine="519"/>
        <w:spacing w:after="0" w:line="275" w:lineRule="auto"/>
        <w:tabs>
          <w:tab w:leader="none" w:pos="113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Seller and Buyer are unable to reach a resolution within the later of (x) 10 days of Seller's written notice of dispute to Buyer and (y) five days after Buyer's delivery of an adjusted Closing Inventory Report pursuant to clause (2) above, Seller and Buyer shall submit the items remaining in dispute for resolution to the Boston office of any nationally recognized firm of independent public accountants (other than Coopers &amp; Lybrand) selected by Buyer (the "Third Accounting Firm"), which shall, within 20 days after submission, determine and report to the parties upon such remaining disputed items in accordance with the provisions hereof; and such report shall be final, binding and conclusive on the parties hereto. The fees and disbursements of the Third Accounting Firm shall be allocated between Seller and Buyer in the same proportion that the aggregate amount of such remaining disputed items so submitted to the Third Accounting Firm that is unsuccessfully disputed by each (as finally determined by the Third Accounting Firm) bears to the total amount of such remaining disputed items so submitted. The Third Accounting Firm shall make such determination in its sole discretion, and such determination shall be final, binding and conclusive on the parties hereto.</w:t>
      </w:r>
    </w:p>
    <w:p>
      <w:pPr>
        <w:spacing w:after="0" w:line="200" w:lineRule="exact"/>
        <w:rPr>
          <w:sz w:val="20"/>
          <w:szCs w:val="20"/>
          <w:color w:val="auto"/>
        </w:rPr>
      </w:pPr>
    </w:p>
    <w:p>
      <w:pPr>
        <w:spacing w:after="0" w:line="301" w:lineRule="exact"/>
        <w:rPr>
          <w:sz w:val="20"/>
          <w:szCs w:val="20"/>
          <w:color w:val="auto"/>
        </w:rPr>
      </w:pPr>
    </w:p>
    <w:p>
      <w:pPr>
        <w:ind w:left="80" w:right="2839" w:firstLine="519"/>
        <w:spacing w:after="0" w:line="287" w:lineRule="auto"/>
        <w:tabs>
          <w:tab w:leader="none" w:pos="113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value of the Inventory as determined pursuant to this Section 1.4(b) is equal to or greater than $6,000,000, all of the funds held in the Inventory Holdback Fund (including any interest) shall be paid by the Escrow Agent to Seller; in the event that the value of the Inventory as determined pursuant to this Section 1.4(b) is less than $6,000,000, the Escrow Agent shall deliver to Buyer by certified or bank check or wire transfer of funds to an account designated by Buyer within</w:t>
      </w:r>
    </w:p>
    <w:p>
      <w:pPr>
        <w:sectPr>
          <w:pgSz w:w="11900" w:h="16847" w:orient="portrait"/>
          <w:cols w:equalWidth="0" w:num="1">
            <w:col w:w="9019"/>
          </w:cols>
          <w:pgMar w:left="1440" w:top="110" w:right="1440" w:bottom="0" w:gutter="0" w:footer="0" w:header="0"/>
        </w:sectPr>
      </w:pPr>
    </w:p>
    <w:bookmarkStart w:id="33" w:name="page34"/>
    <w:bookmarkEnd w:id="33"/>
    <w:p>
      <w:pPr>
        <w:ind w:left="80" w:right="2619"/>
        <w:spacing w:after="0" w:line="280" w:lineRule="auto"/>
        <w:rPr>
          <w:sz w:val="20"/>
          <w:szCs w:val="20"/>
          <w:color w:val="auto"/>
        </w:rPr>
      </w:pPr>
      <w:r>
        <w:rPr>
          <w:rFonts w:ascii="Courier New" w:cs="Courier New" w:eastAsia="Courier New" w:hAnsi="Courier New"/>
          <w:sz w:val="16"/>
          <w:szCs w:val="16"/>
          <w:color w:val="auto"/>
        </w:rPr>
        <w:t>two business days of Buyer's written demand funds from the Inventory Holdback Fund in an amount equal to such shortfall, together with a pro rata share of the interest earned on the Inventory Holdback Fund to the date of payment pursuant to this clause (v). The remaining balance, if any (the "Inventory Shortfall Amount"), still owed to Buyer after such payment from the Inventory Holdback Fund shall be paid by Seller to Buyer by certified or bank check or wire transfer of funds to an account designated by Buyer within two (2) business days of Buyer's written demand. If any funds (including interest) remain in the Inventory Holdback Fund after the payment (if any) made to Buyer by the Escrow Agent pursuant to this clause (v), such remaining funds shall be paid by the Escrow Agent to Seller.</w:t>
      </w:r>
    </w:p>
    <w:p>
      <w:pPr>
        <w:spacing w:after="0" w:line="290" w:lineRule="exact"/>
        <w:rPr>
          <w:sz w:val="20"/>
          <w:szCs w:val="20"/>
          <w:color w:val="auto"/>
        </w:rPr>
      </w:pPr>
    </w:p>
    <w:p>
      <w:pPr>
        <w:ind w:left="1120" w:hanging="521"/>
        <w:spacing w:after="0"/>
        <w:tabs>
          <w:tab w:leader="none" w:pos="11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Assumed Rent Amount.</w:t>
      </w:r>
    </w:p>
    <w:p>
      <w:pPr>
        <w:spacing w:after="0" w:line="201" w:lineRule="exact"/>
        <w:rPr>
          <w:sz w:val="20"/>
          <w:szCs w:val="20"/>
          <w:color w:val="auto"/>
        </w:rPr>
      </w:pPr>
    </w:p>
    <w:p>
      <w:pPr>
        <w:ind w:left="80" w:right="2619" w:firstLine="519"/>
        <w:spacing w:after="0" w:line="247" w:lineRule="auto"/>
        <w:tabs>
          <w:tab w:leader="none" w:pos="113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later than five business days prior to the Closing Date, Buyer and Buyer's representatives shall be provided access to all books and records of Seller pertaining to the Leases and all information necessary to calculate the Assumed Rent Amount. Buyer shall prepare a report (the "Assumed Rent Report") of its determination of the Assumed Rent Amount, and it shall deliver such report to Seller no later than one business day prior to the Closing. For purposes of the preparation of the Assumed Rent Report, Buyer shall give Seller a credit for any portion of the Assumed Rent Amount which relates to rental or lease payments for periods after the Closing for which Buyer shall receive the benefit.</w:t>
      </w:r>
    </w:p>
    <w:p>
      <w:pPr>
        <w:spacing w:after="0" w:line="107" w:lineRule="exact"/>
        <w:rPr>
          <w:rFonts w:ascii="Courier New" w:cs="Courier New" w:eastAsia="Courier New" w:hAnsi="Courier New"/>
          <w:sz w:val="18"/>
          <w:szCs w:val="18"/>
          <w:color w:val="auto"/>
        </w:rPr>
      </w:pPr>
    </w:p>
    <w:p>
      <w:pPr>
        <w:jc w:val="both"/>
        <w:ind w:left="80" w:right="2619" w:firstLine="519"/>
        <w:spacing w:after="0" w:line="292" w:lineRule="auto"/>
        <w:tabs>
          <w:tab w:leader="none" w:pos="113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1.4(c)(iii), such Assumed Rent Report shall be final, binding and conclusive on the parties hereto.</w:t>
      </w:r>
    </w:p>
    <w:p>
      <w:pPr>
        <w:spacing w:after="0" w:line="66" w:lineRule="exact"/>
        <w:rPr>
          <w:rFonts w:ascii="Courier New" w:cs="Courier New" w:eastAsia="Courier New" w:hAnsi="Courier New"/>
          <w:sz w:val="18"/>
          <w:szCs w:val="18"/>
          <w:color w:val="auto"/>
        </w:rPr>
      </w:pPr>
    </w:p>
    <w:p>
      <w:pPr>
        <w:jc w:val="both"/>
        <w:ind w:left="80" w:right="2739" w:firstLine="519"/>
        <w:spacing w:after="0" w:line="318" w:lineRule="auto"/>
        <w:tabs>
          <w:tab w:leader="none" w:pos="16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Seller may dispute any amount reflected on the Assumed Rent Report by written notice to Buyer prior to the Closing, specifying each disputed item, the amount thereof, and the basis on which such dispute is made.</w:t>
      </w:r>
    </w:p>
    <w:p>
      <w:pPr>
        <w:spacing w:after="0" w:line="52" w:lineRule="exact"/>
        <w:rPr>
          <w:sz w:val="20"/>
          <w:szCs w:val="20"/>
          <w:color w:val="auto"/>
        </w:rPr>
      </w:pPr>
    </w:p>
    <w:p>
      <w:pPr>
        <w:ind w:left="80" w:right="2839" w:firstLine="519"/>
        <w:spacing w:after="0" w:line="291" w:lineRule="auto"/>
        <w:tabs>
          <w:tab w:leader="none" w:pos="113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such a dispute, Seller and Buyer shall attempt to reconcile their differences and any resolution by them as to any disputed amounts shall be final, binding and conclusive on the parties, and Buyer shall revise the Assumed Rent Report to reflect any such resolution, and may adjust the Assumed Rent Report in light of any such dispute, as soon as reasonably practicable after Seller's written notice to Buyer.</w:t>
      </w:r>
    </w:p>
    <w:p>
      <w:pPr>
        <w:spacing w:after="0" w:line="285" w:lineRule="exact"/>
        <w:rPr>
          <w:sz w:val="20"/>
          <w:szCs w:val="20"/>
          <w:color w:val="auto"/>
        </w:rPr>
      </w:pPr>
    </w:p>
    <w:p>
      <w:pPr>
        <w:ind w:left="80" w:right="2619" w:firstLine="519"/>
        <w:spacing w:after="0" w:line="277" w:lineRule="auto"/>
        <w:tabs>
          <w:tab w:leader="none" w:pos="113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shall be reduced on a dollar-for-dollar basis by the Assumed Rent Amount as finally determined. In the event that the parties do not reach agreement on the Assumed Rent Amount prior to the Closing, the Cash Purchase Price shall be reduced in an amount equal to, and Buyer shall deposit with the Escrow Agent pursuant to the terms of the Escrow Agreement funds in an amount equal to, the Assumed Rent Amount as initially calculated by Buyer. Following the resolution of any dispute between Buyer and Seller and the final determination of the Assumed Rent Amount pursuant to Section 1.4(c)(iii) above, Buyer shall send a written notice to the Escrow Agent describing the resolution of such dispute, stating which funds held in escrow by the Escrow Agent should be returned to Buyer by certified or bank check or wire transfer of funds to an account designated by Buyer within two business days of such written notice, and stating which funds, if any, should be delivered to Seller.</w:t>
      </w:r>
    </w:p>
    <w:p>
      <w:pPr>
        <w:spacing w:after="0" w:line="200" w:lineRule="exact"/>
        <w:rPr>
          <w:sz w:val="20"/>
          <w:szCs w:val="20"/>
          <w:color w:val="auto"/>
        </w:rPr>
      </w:pPr>
    </w:p>
    <w:p>
      <w:pPr>
        <w:spacing w:after="0" w:line="302" w:lineRule="exact"/>
        <w:rPr>
          <w:sz w:val="20"/>
          <w:szCs w:val="20"/>
          <w:color w:val="auto"/>
        </w:rPr>
      </w:pPr>
    </w:p>
    <w:p>
      <w:pPr>
        <w:ind w:left="1120" w:hanging="521"/>
        <w:spacing w:after="0"/>
        <w:tabs>
          <w:tab w:leader="none" w:pos="11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w:t>
      </w:r>
    </w:p>
    <w:p>
      <w:pPr>
        <w:spacing w:after="0" w:line="201" w:lineRule="exact"/>
        <w:rPr>
          <w:sz w:val="20"/>
          <w:szCs w:val="20"/>
          <w:color w:val="auto"/>
        </w:rPr>
      </w:pPr>
    </w:p>
    <w:p>
      <w:pPr>
        <w:ind w:left="80" w:right="2619" w:firstLine="519"/>
        <w:spacing w:after="0" w:line="283" w:lineRule="auto"/>
        <w:tabs>
          <w:tab w:leader="none" w:pos="113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shall use its reasonable efforts to collect for the account of Seller the BTL Retained Accounts Receivable pursuant to the terms of this subsection (d) during the period beginning on the Closing Date and ending on the second anniversary of such date (the "Collections Period"). Buyer shall not be required to make any material expenditures to collect the BTL Retained Accounts Receivable or to take any action to seek recourse against any account debtor, whether by the initiation of litigation or otherwise. At Seller's request, Buyer will assign all or any portion of the BTL Retained Accounts Receivable to</w:t>
      </w:r>
    </w:p>
    <w:p>
      <w:pPr>
        <w:sectPr>
          <w:pgSz w:w="11900" w:h="16838" w:orient="portrait"/>
          <w:cols w:equalWidth="0" w:num="1">
            <w:col w:w="9019"/>
          </w:cols>
          <w:pgMar w:left="1440" w:top="110" w:right="1440" w:bottom="0" w:gutter="0" w:footer="0" w:header="0"/>
        </w:sectPr>
      </w:pPr>
    </w:p>
    <w:bookmarkStart w:id="34" w:name="page35"/>
    <w:bookmarkEnd w:id="34"/>
    <w:p>
      <w:pPr>
        <w:ind w:left="80"/>
        <w:spacing w:after="0"/>
        <w:rPr>
          <w:sz w:val="20"/>
          <w:szCs w:val="20"/>
          <w:color w:val="auto"/>
        </w:rPr>
      </w:pPr>
      <w:r>
        <w:rPr>
          <w:rFonts w:ascii="Courier New" w:cs="Courier New" w:eastAsia="Courier New" w:hAnsi="Courier New"/>
          <w:sz w:val="18"/>
          <w:szCs w:val="18"/>
          <w:color w:val="auto"/>
        </w:rPr>
        <w:t>Seller for collection by Seller.</w:t>
      </w:r>
    </w:p>
    <w:p>
      <w:pPr>
        <w:spacing w:after="0" w:line="201" w:lineRule="exact"/>
        <w:rPr>
          <w:sz w:val="20"/>
          <w:szCs w:val="20"/>
          <w:color w:val="auto"/>
        </w:rPr>
      </w:pPr>
    </w:p>
    <w:p>
      <w:pPr>
        <w:ind w:left="80" w:right="2619" w:firstLine="519"/>
        <w:spacing w:after="0" w:line="253" w:lineRule="auto"/>
        <w:tabs>
          <w:tab w:leader="none" w:pos="113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on or before the fifteenth day of each month during the Collections Period remit to Seller all funds received by Buyer (which funds shall have cleared and be available to Buyer) in payment of any of the BTL Retained Accounts Receivable collected by Buyer after the Closing of the transaction. Buyer shall have no further obligation to Seller pursuant to this Section 1.4(d) after the second anniversary of the Closing Date.</w:t>
      </w:r>
    </w:p>
    <w:p>
      <w:pPr>
        <w:spacing w:after="0" w:line="103" w:lineRule="exact"/>
        <w:rPr>
          <w:rFonts w:ascii="Courier New" w:cs="Courier New" w:eastAsia="Courier New" w:hAnsi="Courier New"/>
          <w:sz w:val="18"/>
          <w:szCs w:val="18"/>
          <w:color w:val="auto"/>
        </w:rPr>
      </w:pPr>
    </w:p>
    <w:p>
      <w:pPr>
        <w:ind w:left="80" w:right="2619" w:firstLine="519"/>
        <w:spacing w:after="0" w:line="260" w:lineRule="auto"/>
        <w:tabs>
          <w:tab w:leader="none" w:pos="16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of any trade accounts receivable or royalty receivables collected by Buyer (A) in excess of the BTL Retained Accounts Receivable or (B) after the fifth anniversary of the Closing Date shall be deemed to be Purchased Accounts Receivable and shall be retained by Buyer.</w:t>
      </w:r>
    </w:p>
    <w:p>
      <w:pPr>
        <w:spacing w:after="0" w:line="92" w:lineRule="exact"/>
        <w:rPr>
          <w:rFonts w:ascii="Courier New" w:cs="Courier New" w:eastAsia="Courier New" w:hAnsi="Courier New"/>
          <w:sz w:val="18"/>
          <w:szCs w:val="18"/>
          <w:color w:val="auto"/>
        </w:rPr>
      </w:pPr>
    </w:p>
    <w:p>
      <w:pPr>
        <w:ind w:left="80" w:right="2619" w:firstLine="519"/>
        <w:spacing w:after="0" w:line="285" w:lineRule="auto"/>
        <w:tabs>
          <w:tab w:leader="none" w:pos="113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notify Buyer in writing on or before the fifteenth day of each month following the Closing Date of all funds collected by or paid to Seller in connection with the BTL Retained Accounts Receivable. Seller shall provide Buyer with information with respect to the name of each creditor, the invoice(s) being paid, and any other information as Buyer may reasonably request with respect to any and all BTL Retained Accounts Receivable collected by or paid to Seller since the date of the last report provided by Seller to Buyer pursuant to this Section 1.4(d)(iv).</w:t>
      </w:r>
    </w:p>
    <w:p>
      <w:pPr>
        <w:spacing w:after="0" w:line="76" w:lineRule="exact"/>
        <w:rPr>
          <w:rFonts w:ascii="Courier New" w:cs="Courier New" w:eastAsia="Courier New" w:hAnsi="Courier New"/>
          <w:sz w:val="16"/>
          <w:szCs w:val="16"/>
          <w:color w:val="auto"/>
        </w:rPr>
      </w:pPr>
    </w:p>
    <w:p>
      <w:pPr>
        <w:ind w:left="80" w:right="2619" w:firstLine="519"/>
        <w:spacing w:after="0" w:line="278" w:lineRule="auto"/>
        <w:tabs>
          <w:tab w:leader="none" w:pos="113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Seller collects any funds in connection with the payment of any Purchased Accounts Receivable on or after the Closing Date (including any funds (to the extent such funds have cleared and are available to Seller) received by Seller in connection with the payment of any Purchased Accounts Receivable after notification by Buyer that the total of all BTL Retained Accounts Receivable have been collected), Seller shall within one (1) business day thereafter (A) remit to Buyer any such Purchased Accounts Receivable by check or wire transfer of immediately available funds or by means of endorsing to Buyer's order without recourse any payment received in the form of a check, and (B) provide Buyer with information with respect to the name of the creditor, the invoice(s) being paid, and any other information relating to such Purchased Account Receivable reasonably requested by Buyer.</w:t>
      </w:r>
    </w:p>
    <w:p>
      <w:pPr>
        <w:spacing w:after="0" w:line="294" w:lineRule="exact"/>
        <w:rPr>
          <w:rFonts w:ascii="Courier New" w:cs="Courier New" w:eastAsia="Courier New" w:hAnsi="Courier New"/>
          <w:sz w:val="16"/>
          <w:szCs w:val="16"/>
          <w:color w:val="auto"/>
        </w:rPr>
      </w:pPr>
    </w:p>
    <w:p>
      <w:pPr>
        <w:ind w:left="80" w:right="2739" w:firstLine="519"/>
        <w:spacing w:after="0" w:line="260" w:lineRule="auto"/>
        <w:tabs>
          <w:tab w:leader="none" w:pos="113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provide Seller and Seller's creditors with access to Buyer's records concerning the BTL Retained Accounts Receivable at reasonable times and upon reasonable notice to Buyer, and Seller shall be permitted to make extracts and copies of such records at its sole cost and expense.</w:t>
      </w:r>
    </w:p>
    <w:p>
      <w:pPr>
        <w:spacing w:after="0" w:line="93" w:lineRule="exact"/>
        <w:rPr>
          <w:sz w:val="20"/>
          <w:szCs w:val="20"/>
          <w:color w:val="auto"/>
        </w:rPr>
      </w:pPr>
    </w:p>
    <w:p>
      <w:pPr>
        <w:ind w:left="80" w:right="2739" w:firstLine="527"/>
        <w:spacing w:after="0" w:line="282" w:lineRule="auto"/>
        <w:rPr>
          <w:sz w:val="20"/>
          <w:szCs w:val="20"/>
          <w:color w:val="auto"/>
        </w:rPr>
      </w:pPr>
      <w:r>
        <w:rPr>
          <w:rFonts w:ascii="Courier New" w:cs="Courier New" w:eastAsia="Courier New" w:hAnsi="Courier New"/>
          <w:sz w:val="16"/>
          <w:szCs w:val="16"/>
          <w:color w:val="auto"/>
        </w:rPr>
        <w:t>1.5 Time and Place of Closing. The closing of the purchase and sale provided for in this Agreement (the "Closing") shall be held at the offices of Goodwin, Procter</w:t>
      </w:r>
    </w:p>
    <w:p>
      <w:pPr>
        <w:spacing w:after="0" w:line="1" w:lineRule="exact"/>
        <w:rPr>
          <w:sz w:val="20"/>
          <w:szCs w:val="20"/>
          <w:color w:val="auto"/>
        </w:rPr>
      </w:pPr>
    </w:p>
    <w:p>
      <w:pPr>
        <w:ind w:left="80" w:right="2619" w:hanging="8"/>
        <w:spacing w:after="0" w:line="287" w:lineRule="auto"/>
        <w:tabs>
          <w:tab w:leader="none" w:pos="29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Hoar, Exchange Place, Boston, Massachusetts 02109 at 10:00 A.M. on a date selected by Buyer which is within five business days of satisfaction or waiver of all closing conditions or on such other date or at such other place or earlier or later date or time as may be determined by Buyer in its sole discretion (the "Closing Date"), which date in no event shall be later than June 30, 1995.</w:t>
      </w:r>
    </w:p>
    <w:p>
      <w:pPr>
        <w:spacing w:after="0" w:line="288" w:lineRule="exact"/>
        <w:rPr>
          <w:sz w:val="20"/>
          <w:szCs w:val="20"/>
          <w:color w:val="auto"/>
        </w:rPr>
      </w:pPr>
    </w:p>
    <w:p>
      <w:pPr>
        <w:ind w:left="80" w:right="2839" w:firstLine="527"/>
        <w:spacing w:after="0" w:line="318" w:lineRule="auto"/>
        <w:rPr>
          <w:sz w:val="20"/>
          <w:szCs w:val="20"/>
          <w:color w:val="auto"/>
        </w:rPr>
      </w:pPr>
      <w:r>
        <w:rPr>
          <w:rFonts w:ascii="Courier New" w:cs="Courier New" w:eastAsia="Courier New" w:hAnsi="Courier New"/>
          <w:sz w:val="16"/>
          <w:szCs w:val="16"/>
          <w:color w:val="auto"/>
        </w:rPr>
        <w:t>1.6 Delivery of Agreement of Assumption of Liabilities. At the Closing, Buyer shall deliver or cause to be delivered to Seller an Agreement for Assumption of Liabilities by Buyer in the form of Exhibit 1.6 hereto.</w:t>
      </w:r>
    </w:p>
    <w:p>
      <w:pPr>
        <w:spacing w:after="0" w:line="52" w:lineRule="exact"/>
        <w:rPr>
          <w:sz w:val="20"/>
          <w:szCs w:val="20"/>
          <w:color w:val="auto"/>
        </w:rPr>
      </w:pPr>
    </w:p>
    <w:p>
      <w:pPr>
        <w:ind w:left="80" w:right="2619" w:firstLine="527"/>
        <w:spacing w:after="0" w:line="282" w:lineRule="auto"/>
        <w:rPr>
          <w:sz w:val="20"/>
          <w:szCs w:val="20"/>
          <w:color w:val="auto"/>
        </w:rPr>
      </w:pPr>
      <w:r>
        <w:rPr>
          <w:rFonts w:ascii="Courier New" w:cs="Courier New" w:eastAsia="Courier New" w:hAnsi="Courier New"/>
          <w:sz w:val="16"/>
          <w:szCs w:val="16"/>
          <w:color w:val="auto"/>
        </w:rPr>
        <w:t>1.7 Transfer of Subject Assets. At the Closing, Seller shall deliver or cause to be delivered to Buyer good and sufficient instruments of transfer transferring to Buyer title to all the Subject Assets. Such instruments of transfer (a) shall be in the form and will contain the warranties, covenants and other provisions (not inconsistent with the provisions hereof) which are usual and customary for transferring the type of property involved under the laws of the jurisdictions applicable to such transfers, (b) shall be in form and substance satisfactory to Buyer and its counsel in their reasonable discretion, and (c) shall effectively vest in Buyer good and marketable title to all</w:t>
      </w:r>
    </w:p>
    <w:p>
      <w:pPr>
        <w:sectPr>
          <w:pgSz w:w="11900" w:h="16838" w:orient="portrait"/>
          <w:cols w:equalWidth="0" w:num="1">
            <w:col w:w="9019"/>
          </w:cols>
          <w:pgMar w:left="1440" w:top="110" w:right="1440" w:bottom="0" w:gutter="0" w:footer="0" w:header="0"/>
        </w:sectPr>
      </w:pPr>
    </w:p>
    <w:bookmarkStart w:id="35" w:name="page36"/>
    <w:bookmarkEnd w:id="35"/>
    <w:p>
      <w:pPr>
        <w:ind w:left="80" w:right="2619"/>
        <w:spacing w:after="0" w:line="347" w:lineRule="auto"/>
        <w:rPr>
          <w:sz w:val="20"/>
          <w:szCs w:val="20"/>
          <w:color w:val="auto"/>
        </w:rPr>
      </w:pPr>
      <w:r>
        <w:rPr>
          <w:rFonts w:ascii="Courier New" w:cs="Courier New" w:eastAsia="Courier New" w:hAnsi="Courier New"/>
          <w:sz w:val="18"/>
          <w:szCs w:val="18"/>
          <w:color w:val="auto"/>
        </w:rPr>
        <w:t>the Subject Assets free and clear of all liens, restrictions and encumbrances.</w:t>
      </w:r>
    </w:p>
    <w:p>
      <w:pPr>
        <w:spacing w:after="0" w:line="18" w:lineRule="exact"/>
        <w:rPr>
          <w:sz w:val="20"/>
          <w:szCs w:val="20"/>
          <w:color w:val="auto"/>
        </w:rPr>
      </w:pPr>
    </w:p>
    <w:p>
      <w:pPr>
        <w:ind w:left="80" w:right="2619" w:firstLine="527"/>
        <w:spacing w:after="0" w:line="275" w:lineRule="auto"/>
        <w:rPr>
          <w:sz w:val="20"/>
          <w:szCs w:val="20"/>
          <w:color w:val="auto"/>
        </w:rPr>
      </w:pPr>
      <w:r>
        <w:rPr>
          <w:rFonts w:ascii="Courier New" w:cs="Courier New" w:eastAsia="Courier New" w:hAnsi="Courier New"/>
          <w:sz w:val="16"/>
          <w:szCs w:val="16"/>
          <w:color w:val="auto"/>
        </w:rPr>
        <w:t>1.8 Delivery of Records and Contracts. On or before the Closing Date, Seller shall deliver or cause to be delivered to Buyer true and complete copies of the Contracts (as defined in Section 2.15 below) set forth on Schedule 2.15 attached hereto, with such assignments thereof and consents to assignments as are necessary to assure Buyer of the full benefit of the same. Seller shall also deliver to Buyer at the Closing all of Seller's business records, tax returns, books and other data relating to the Subject Assets and Seller's business and operations (except corporate records, financial records, tax records and other property of Seller excluded under Section 1.1(b) as to which only copies need be delivered in accordance with such Section), and Seller shall take all requisite steps to put Buyer in actual possession and operating control of the assets and business of Seller. After the Closing, Buyer shall afford to Seller and its accountants and attorneys, for the purpose of preparing such tax returns of Seller or Stockholders as may be required after the Closing and for other reasonable business purposes of Seller, reasonable access to the books and records of Seller delivered to Buyer under this Section and shall permit Seller, at Seller's expense, to make extracts and copies therefrom.</w:t>
      </w:r>
    </w:p>
    <w:p>
      <w:pPr>
        <w:spacing w:after="0" w:line="200" w:lineRule="exact"/>
        <w:rPr>
          <w:sz w:val="20"/>
          <w:szCs w:val="20"/>
          <w:color w:val="auto"/>
        </w:rPr>
      </w:pPr>
    </w:p>
    <w:p>
      <w:pPr>
        <w:spacing w:after="0" w:line="301" w:lineRule="exact"/>
        <w:rPr>
          <w:sz w:val="20"/>
          <w:szCs w:val="20"/>
          <w:color w:val="auto"/>
        </w:rPr>
      </w:pPr>
    </w:p>
    <w:p>
      <w:pPr>
        <w:ind w:left="80" w:right="2619" w:firstLine="527"/>
        <w:spacing w:after="0" w:line="256" w:lineRule="auto"/>
        <w:rPr>
          <w:sz w:val="20"/>
          <w:szCs w:val="20"/>
          <w:color w:val="auto"/>
        </w:rPr>
      </w:pPr>
      <w:r>
        <w:rPr>
          <w:rFonts w:ascii="Courier New" w:cs="Courier New" w:eastAsia="Courier New" w:hAnsi="Courier New"/>
          <w:sz w:val="18"/>
          <w:szCs w:val="18"/>
          <w:color w:val="auto"/>
        </w:rPr>
        <w:t>1.9 Assignment of Intellectual Property. On the Closing Date, Seller shall assign or shall cause the assignment to Buyer, and take all further actions necessary to vest in Buyer, all right, title and interest of Seller in and to each copyright, trademark, trade name, service mark, and other intellectual property described in Section 1.1(a)(viii) hereof.</w:t>
      </w:r>
    </w:p>
    <w:p>
      <w:pPr>
        <w:spacing w:after="0" w:line="98"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1.10 Nonassignable Contracts.</w:t>
      </w:r>
    </w:p>
    <w:p>
      <w:pPr>
        <w:spacing w:after="0" w:line="201" w:lineRule="exact"/>
        <w:rPr>
          <w:sz w:val="20"/>
          <w:szCs w:val="20"/>
          <w:color w:val="auto"/>
        </w:rPr>
      </w:pPr>
    </w:p>
    <w:p>
      <w:pPr>
        <w:ind w:left="80" w:right="2619" w:firstLine="519"/>
        <w:spacing w:after="0" w:line="281" w:lineRule="auto"/>
        <w:tabs>
          <w:tab w:leader="none" w:pos="113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Nothing in this Agreement will constitute a transfer or an attempted transfer of any contract or permit to be transferred pursuant to the terms of this Agreement which is not capable of being transferred without the consent, approval, waiver or novation of a third person or entity (including, without limitation, a governmental authority), or with respect to which such transfer or attempted transfer would constitute a breach therefor or a violation of any law, other than those for which such consents, approvals, waivers or novations have been obtained by Seller prior to the Closing Date (such nontransferable contracts and permits being collectively referred to herein as "Unassigned Contracts").</w:t>
      </w:r>
    </w:p>
    <w:p>
      <w:pPr>
        <w:spacing w:after="0" w:line="289" w:lineRule="exact"/>
        <w:rPr>
          <w:rFonts w:ascii="Courier New" w:cs="Courier New" w:eastAsia="Courier New" w:hAnsi="Courier New"/>
          <w:sz w:val="16"/>
          <w:szCs w:val="16"/>
          <w:color w:val="auto"/>
        </w:rPr>
      </w:pPr>
    </w:p>
    <w:p>
      <w:pPr>
        <w:ind w:left="80" w:right="2619" w:firstLine="519"/>
        <w:spacing w:after="0" w:line="288" w:lineRule="auto"/>
        <w:tabs>
          <w:tab w:leader="none" w:pos="113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Approvals, etc. Notwithstanding anything contained in this Agreement to the contrary, Seller will not be obligated to transfer to Buyer any of its rights and obligations in and to any of the Unassigned Contracts without first having obtained all consents, approvals, waivers and novations necessary for such transfers under the terms of such Unassigned Contracts or applicable law, at which time such Unassigned Contracts will, without further action, be deemed to be transferred to Buyer.</w:t>
      </w:r>
    </w:p>
    <w:p>
      <w:pPr>
        <w:spacing w:after="0" w:line="286" w:lineRule="exact"/>
        <w:rPr>
          <w:sz w:val="20"/>
          <w:szCs w:val="20"/>
          <w:color w:val="auto"/>
        </w:rPr>
      </w:pPr>
    </w:p>
    <w:p>
      <w:pPr>
        <w:ind w:left="80" w:right="2619" w:firstLine="527"/>
        <w:spacing w:after="0" w:line="276" w:lineRule="auto"/>
        <w:rPr>
          <w:sz w:val="20"/>
          <w:szCs w:val="20"/>
          <w:color w:val="auto"/>
        </w:rPr>
      </w:pPr>
      <w:r>
        <w:rPr>
          <w:rFonts w:ascii="Courier New" w:cs="Courier New" w:eastAsia="Courier New" w:hAnsi="Courier New"/>
          <w:sz w:val="16"/>
          <w:szCs w:val="16"/>
          <w:color w:val="auto"/>
        </w:rPr>
        <w:t>1.11 Termination of Trademark License Agreements. All of the outstanding domestic licenses (the "Domestic Trademark Licenses") and international licenses (the "International Trademark Licenses") of intellectual property to which Seller is a party are more particularly set forth on Schedule 2.15 attached hereto. Seller shall obtain the termination of all Domestic Trademark Licenses prior to the Closing subject to Section 6.1(k) hereof and shall use its best efforts to seek the termination of all International License Agreements prior to the Closing. In order to obtain the termination of any of the Domestic Trademark Licenses, Seller may grant to the licensee a right of first refusal to supply Seller (or, following the Closing, Buyer) with its requirements for the products covered by such Domestic Trademark License, provided that such licensee is able to match the best price, service, quality and availability obtainable by Seller (or, following the Closing, Buyer) from other suppliers, pursuant to the terms and conditions of a license termination agreement in the form of Exhibit 1.11 attached hereto (collectively, the "License Termination</w:t>
      </w:r>
    </w:p>
    <w:p>
      <w:pPr>
        <w:sectPr>
          <w:pgSz w:w="11900" w:h="16838" w:orient="portrait"/>
          <w:cols w:equalWidth="0" w:num="1">
            <w:col w:w="9019"/>
          </w:cols>
          <w:pgMar w:left="1440" w:top="110" w:right="1440" w:bottom="0" w:gutter="0" w:footer="0" w:header="0"/>
        </w:sectPr>
      </w:pPr>
    </w:p>
    <w:bookmarkStart w:id="36" w:name="page37"/>
    <w:bookmarkEnd w:id="36"/>
    <w:p>
      <w:pPr>
        <w:ind w:left="80" w:right="2739"/>
        <w:spacing w:after="0" w:line="260" w:lineRule="auto"/>
        <w:rPr>
          <w:sz w:val="20"/>
          <w:szCs w:val="20"/>
          <w:color w:val="auto"/>
        </w:rPr>
      </w:pPr>
      <w:r>
        <w:rPr>
          <w:rFonts w:ascii="Courier New" w:cs="Courier New" w:eastAsia="Courier New" w:hAnsi="Courier New"/>
          <w:sz w:val="18"/>
          <w:szCs w:val="18"/>
          <w:color w:val="auto"/>
        </w:rPr>
        <w:t>Agreements"). The right of first refusal shall remain in effect no longer than the remaining balance of the term of the Domestic Trademark License immediately prior to its termination. Buyer will assume the obligations of Seller under each such License Termination Agreement arising after the Closing.</w:t>
      </w:r>
    </w:p>
    <w:p>
      <w:pPr>
        <w:spacing w:after="0" w:line="93" w:lineRule="exact"/>
        <w:rPr>
          <w:sz w:val="20"/>
          <w:szCs w:val="20"/>
          <w:color w:val="auto"/>
        </w:rPr>
      </w:pPr>
    </w:p>
    <w:p>
      <w:pPr>
        <w:ind w:left="80" w:right="2619" w:firstLine="527"/>
        <w:spacing w:after="0" w:line="274" w:lineRule="auto"/>
        <w:rPr>
          <w:sz w:val="20"/>
          <w:szCs w:val="20"/>
          <w:color w:val="auto"/>
        </w:rPr>
      </w:pPr>
      <w:r>
        <w:rPr>
          <w:rFonts w:ascii="Courier New" w:cs="Courier New" w:eastAsia="Courier New" w:hAnsi="Courier New"/>
          <w:sz w:val="16"/>
          <w:szCs w:val="16"/>
          <w:color w:val="auto"/>
        </w:rPr>
        <w:t>1.12 Further Assurances. Seller from time to time after the Closing at the request of Buyer and without further consideration shall execute and deliver further instruments of transfer and assignment and take such other action as Buyer may reasonably require to more effectively transfer and assign to, and vest in, Buyer each of the Subject Assets, provided that in connection therewith Seller shall not be required to expend any funds in fulfillment of such obligations. At the request of Buyer, Seller shall cooperate with Buyer to permit Buyer to enjoy Seller's rating and benefits under the workman's compensation laws and unemployment compensation laws of applicable jurisdictions, to the extent permitted by such laws.</w:t>
      </w:r>
    </w:p>
    <w:p>
      <w:pPr>
        <w:spacing w:after="0" w:line="182" w:lineRule="exact"/>
        <w:rPr>
          <w:sz w:val="20"/>
          <w:szCs w:val="20"/>
          <w:color w:val="auto"/>
        </w:rPr>
      </w:pPr>
    </w:p>
    <w:p>
      <w:pPr>
        <w:ind w:left="80" w:right="2839"/>
        <w:spacing w:after="0" w:line="262" w:lineRule="auto"/>
        <w:rPr>
          <w:sz w:val="20"/>
          <w:szCs w:val="20"/>
          <w:color w:val="auto"/>
        </w:rPr>
      </w:pPr>
      <w:r>
        <w:rPr>
          <w:rFonts w:ascii="Courier New" w:cs="Courier New" w:eastAsia="Courier New" w:hAnsi="Courier New"/>
          <w:sz w:val="18"/>
          <w:szCs w:val="18"/>
          <w:color w:val="auto"/>
        </w:rPr>
        <w:t>Nothing herein shall be deemed a waiver by Buyer of its right to receive at the Closing an effective assignment of each of the leases, contracts, commitments or rights of Seller as otherwise set forth in this Agreement.</w:t>
      </w:r>
    </w:p>
    <w:p>
      <w:pPr>
        <w:spacing w:after="0" w:line="90" w:lineRule="exact"/>
        <w:rPr>
          <w:sz w:val="20"/>
          <w:szCs w:val="20"/>
          <w:color w:val="auto"/>
        </w:rPr>
      </w:pPr>
    </w:p>
    <w:p>
      <w:pPr>
        <w:ind w:left="80" w:right="2739" w:firstLine="527"/>
        <w:spacing w:after="0" w:line="283" w:lineRule="auto"/>
        <w:rPr>
          <w:sz w:val="20"/>
          <w:szCs w:val="20"/>
          <w:color w:val="auto"/>
        </w:rPr>
      </w:pPr>
      <w:r>
        <w:rPr>
          <w:rFonts w:ascii="Courier New" w:cs="Courier New" w:eastAsia="Courier New" w:hAnsi="Courier New"/>
          <w:sz w:val="16"/>
          <w:szCs w:val="16"/>
          <w:color w:val="auto"/>
        </w:rPr>
        <w:t>1.13 Allocation of Purchase Price. The purchase price (and all other capitalized costs) shall be allocated among the Subject Assets in the manner provided in Exhibit 1.13 attached hereto. Buyer, Seller and the Stockholders agree that such allocation has been made in accordance with the provisions of Section 1060 of the Internal Revenue Code of 1986, as amended (the "Code"), and that such allocation shall be binding upon Buyer, Seller and each of the Stockholders for all tax purposes. Buyer and Seller also each agree to file IRS form 8594 consistently with the foregoing and in accordance with Section 1060 of the Code.</w:t>
      </w:r>
    </w:p>
    <w:p>
      <w:pPr>
        <w:spacing w:after="0" w:line="80" w:lineRule="exact"/>
        <w:rPr>
          <w:sz w:val="20"/>
          <w:szCs w:val="20"/>
          <w:color w:val="auto"/>
        </w:rPr>
      </w:pPr>
    </w:p>
    <w:p>
      <w:pPr>
        <w:ind w:left="80" w:right="2619" w:firstLine="527"/>
        <w:spacing w:after="0" w:line="252" w:lineRule="auto"/>
        <w:rPr>
          <w:sz w:val="20"/>
          <w:szCs w:val="20"/>
          <w:color w:val="auto"/>
        </w:rPr>
      </w:pPr>
      <w:r>
        <w:rPr>
          <w:rFonts w:ascii="Courier New" w:cs="Courier New" w:eastAsia="Courier New" w:hAnsi="Courier New"/>
          <w:sz w:val="18"/>
          <w:szCs w:val="18"/>
          <w:color w:val="auto"/>
        </w:rPr>
        <w:t>1.14 Stockholders' Representative. In order to efficiently administer the waiver of any condition or right of the Stockholders and the settlement of any dispute arising under the Agreement, the Stockholders agree that, in the event of the death or permanent disability or legal incapacity of either Stockholder, the other Stockholder shall act as the Stockholders' representative of both Stockholders (the "Stockholders' Representative") pursuant to the terms described below:</w:t>
      </w:r>
    </w:p>
    <w:p>
      <w:pPr>
        <w:spacing w:after="0" w:line="99" w:lineRule="exact"/>
        <w:rPr>
          <w:sz w:val="20"/>
          <w:szCs w:val="20"/>
          <w:color w:val="auto"/>
        </w:rPr>
      </w:pPr>
    </w:p>
    <w:p>
      <w:pPr>
        <w:ind w:left="80" w:right="2619" w:firstLine="519"/>
        <w:spacing w:after="0" w:line="281" w:lineRule="auto"/>
        <w:tabs>
          <w:tab w:leader="none" w:pos="113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hereby authorize the Stockholders' Representative (i) to take all action necessary in connection with the waiver of any condition to the obligations of the Stockholders under this Agreement, the waiver of any right of the Stockholders hereunder, or the settlement of any dispute arising hereunder, (ii) to give and receive all notices required to be given under this Agreement and (iii) to take any and all additional action as is contemplated to be taken by or on behalf of the Stockholders by the terms of this Agreement; provided, however, that the Stockholders' Representative shall not have authority to commence legal proceedings on behalf of the Stockholders without their consent.</w:t>
      </w:r>
    </w:p>
    <w:p>
      <w:pPr>
        <w:spacing w:after="0" w:line="289" w:lineRule="exact"/>
        <w:rPr>
          <w:rFonts w:ascii="Courier New" w:cs="Courier New" w:eastAsia="Courier New" w:hAnsi="Courier New"/>
          <w:sz w:val="16"/>
          <w:szCs w:val="16"/>
          <w:color w:val="auto"/>
        </w:rPr>
      </w:pPr>
    </w:p>
    <w:p>
      <w:pPr>
        <w:ind w:left="80" w:right="2619" w:firstLine="519"/>
        <w:spacing w:after="0" w:line="265" w:lineRule="auto"/>
        <w:tabs>
          <w:tab w:leader="none" w:pos="113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decisions and actions by the Stockholders' Representative shall be binding upon all of the Stockholders and their executors and heirs, and no Stockholder shall have the right to object, dissent, protest or otherwise contest the same.</w:t>
      </w:r>
    </w:p>
    <w:p>
      <w:pPr>
        <w:spacing w:after="0" w:line="89" w:lineRule="exact"/>
        <w:rPr>
          <w:rFonts w:ascii="Courier New" w:cs="Courier New" w:eastAsia="Courier New" w:hAnsi="Courier New"/>
          <w:sz w:val="18"/>
          <w:szCs w:val="18"/>
          <w:color w:val="auto"/>
        </w:rPr>
      </w:pPr>
    </w:p>
    <w:p>
      <w:pPr>
        <w:ind w:left="80" w:right="3579" w:firstLine="519"/>
        <w:spacing w:after="0" w:line="347" w:lineRule="auto"/>
        <w:tabs>
          <w:tab w:leader="none" w:pos="113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their execution of this Agreement, the Stockholders agree that:</w:t>
      </w:r>
    </w:p>
    <w:p>
      <w:pPr>
        <w:spacing w:after="0" w:line="18" w:lineRule="exact"/>
        <w:rPr>
          <w:sz w:val="20"/>
          <w:szCs w:val="20"/>
          <w:color w:val="auto"/>
        </w:rPr>
      </w:pPr>
    </w:p>
    <w:p>
      <w:pPr>
        <w:ind w:left="80" w:right="3159" w:firstLine="519"/>
        <w:spacing w:after="0" w:line="252" w:lineRule="auto"/>
        <w:tabs>
          <w:tab w:leader="none" w:pos="113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and Designs shall be able to rely conclusively on the instructions and decisions of the Stockholders' Representative as to any actions required or permitted to be taken by the Stockholders or the Stockholders' Representative hereunder, and no party hereunder shall have any cause of action against Buyer or Designs for any action taken by Buyer or Designs in reliance upon the instructions or decisions of the Stockholders' Representative;</w:t>
      </w:r>
    </w:p>
    <w:p>
      <w:pPr>
        <w:spacing w:after="0" w:line="98" w:lineRule="exact"/>
        <w:rPr>
          <w:rFonts w:ascii="Courier New" w:cs="Courier New" w:eastAsia="Courier New" w:hAnsi="Courier New"/>
          <w:sz w:val="18"/>
          <w:szCs w:val="18"/>
          <w:color w:val="auto"/>
        </w:rPr>
      </w:pPr>
    </w:p>
    <w:p>
      <w:pPr>
        <w:ind w:left="1120" w:hanging="521"/>
        <w:spacing w:after="0"/>
        <w:tabs>
          <w:tab w:leader="none" w:pos="11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actions, decisions and instructions of the</w:t>
      </w:r>
    </w:p>
    <w:p>
      <w:pPr>
        <w:sectPr>
          <w:pgSz w:w="11900" w:h="16838" w:orient="portrait"/>
          <w:cols w:equalWidth="0" w:num="1">
            <w:col w:w="9019"/>
          </w:cols>
          <w:pgMar w:left="1440" w:top="110" w:right="1440" w:bottom="0" w:gutter="0" w:footer="0" w:header="0"/>
        </w:sectPr>
      </w:pPr>
    </w:p>
    <w:bookmarkStart w:id="37" w:name="page38"/>
    <w:bookmarkEnd w:id="37"/>
    <w:p>
      <w:pPr>
        <w:ind w:left="80" w:right="3039"/>
        <w:spacing w:after="0" w:line="253" w:lineRule="auto"/>
        <w:rPr>
          <w:sz w:val="20"/>
          <w:szCs w:val="20"/>
          <w:color w:val="auto"/>
        </w:rPr>
      </w:pPr>
      <w:r>
        <w:rPr>
          <w:rFonts w:ascii="Courier New" w:cs="Courier New" w:eastAsia="Courier New" w:hAnsi="Courier New"/>
          <w:sz w:val="18"/>
          <w:szCs w:val="18"/>
          <w:color w:val="auto"/>
        </w:rPr>
        <w:t>Stockholders' Representative shall be conclusive and binding upon all of the Stockholders and no Stockholder shall have any cause of action against the Stockholders' Representative for any action taken, decision made or instruction given by the Stockholders' Representative under this Agreement, except for fraud or willful breach of this Agreement by the Stockholders' Representative;</w:t>
      </w:r>
    </w:p>
    <w:p>
      <w:pPr>
        <w:spacing w:after="0" w:line="104" w:lineRule="exact"/>
        <w:rPr>
          <w:sz w:val="20"/>
          <w:szCs w:val="20"/>
          <w:color w:val="auto"/>
        </w:rPr>
      </w:pPr>
    </w:p>
    <w:p>
      <w:pPr>
        <w:ind w:left="80" w:right="2839" w:firstLine="519"/>
        <w:spacing w:after="0" w:line="250" w:lineRule="auto"/>
        <w:tabs>
          <w:tab w:leader="none" w:pos="16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available at law for any breach of the provisions of this Section 1.14 are inadequate; therefore, Buyer, Designs and Seller shall be entitled</w:t>
      </w:r>
    </w:p>
    <w:p>
      <w:pPr>
        <w:spacing w:after="0" w:line="2" w:lineRule="exact"/>
        <w:rPr>
          <w:rFonts w:ascii="Courier New" w:cs="Courier New" w:eastAsia="Courier New" w:hAnsi="Courier New"/>
          <w:sz w:val="18"/>
          <w:szCs w:val="18"/>
          <w:color w:val="auto"/>
        </w:rPr>
      </w:pPr>
    </w:p>
    <w:p>
      <w:pPr>
        <w:ind w:left="80" w:right="303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temporary and permanent injunctive relief without the necessity of proving damages if any of Buyer, Designs or Seller brings an action to enforce the provisions of this Section 1.14; and</w:t>
      </w:r>
    </w:p>
    <w:p>
      <w:pPr>
        <w:spacing w:after="0" w:line="90" w:lineRule="exact"/>
        <w:rPr>
          <w:rFonts w:ascii="Courier New" w:cs="Courier New" w:eastAsia="Courier New" w:hAnsi="Courier New"/>
          <w:sz w:val="18"/>
          <w:szCs w:val="18"/>
          <w:color w:val="auto"/>
        </w:rPr>
      </w:pPr>
    </w:p>
    <w:p>
      <w:pPr>
        <w:ind w:left="80" w:right="2739" w:firstLine="519"/>
        <w:spacing w:after="0" w:line="256" w:lineRule="auto"/>
        <w:tabs>
          <w:tab w:leader="none" w:pos="113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1.14 are independent and severable, shall constitute an irrevocable power of attorney, coupled with an interest and surviving death, granted by the Stockholders to the Stockholders' Representative and shall be binding upon the executors, heirs, legal representatives and successors of each Stockholder.</w:t>
      </w:r>
    </w:p>
    <w:p>
      <w:pPr>
        <w:spacing w:after="0" w:line="98" w:lineRule="exact"/>
        <w:rPr>
          <w:sz w:val="20"/>
          <w:szCs w:val="20"/>
          <w:color w:val="auto"/>
        </w:rPr>
      </w:pPr>
    </w:p>
    <w:p>
      <w:pPr>
        <w:ind w:left="80" w:right="3779" w:firstLine="519"/>
        <w:spacing w:after="0" w:line="292" w:lineRule="auto"/>
        <w:tabs>
          <w:tab w:leader="none" w:pos="113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fees and expenses incurred by the Stockholders' Representative shall be paid by the Stockholders.</w:t>
      </w:r>
    </w:p>
    <w:p>
      <w:pPr>
        <w:spacing w:after="0" w:line="66" w:lineRule="exact"/>
        <w:rPr>
          <w:sz w:val="20"/>
          <w:szCs w:val="20"/>
          <w:color w:val="auto"/>
        </w:rPr>
      </w:pPr>
    </w:p>
    <w:p>
      <w:pPr>
        <w:ind w:left="80" w:right="2619" w:firstLine="527"/>
        <w:spacing w:after="0" w:line="246" w:lineRule="auto"/>
        <w:rPr>
          <w:sz w:val="20"/>
          <w:szCs w:val="20"/>
          <w:color w:val="auto"/>
        </w:rPr>
      </w:pPr>
      <w:r>
        <w:rPr>
          <w:rFonts w:ascii="Courier New" w:cs="Courier New" w:eastAsia="Courier New" w:hAnsi="Courier New"/>
          <w:sz w:val="18"/>
          <w:szCs w:val="18"/>
          <w:color w:val="auto"/>
        </w:rPr>
        <w:t>1.15 Change of Name. On the Closing Date, (a) the Stockholders shall cause Seller to change its corporate name, and Seller shall change its corporate name, to delete any reference to "Boston," "Trader," "Trading" or any similar words , and (b) the Stockholders shall cause Traders Connection, Inc., a Massachusetts corporation ("TCI"), to change its corporate name, and TCI shall change its corporate name, to delete any reference to "Traders," "Trading" or any similar words. Seller or the Stockholders, as the case may be, shall deliver to Buyer for filing with the Secretary of State of the Commonwealth of Massachusetts the requisite amendments to the Articles of Organization of each of Seller and TCI to effect the name changes described in the foregoing sentence.</w:t>
      </w:r>
    </w:p>
    <w:p>
      <w:pPr>
        <w:spacing w:after="0" w:line="113" w:lineRule="exact"/>
        <w:rPr>
          <w:sz w:val="20"/>
          <w:szCs w:val="20"/>
          <w:color w:val="auto"/>
        </w:rPr>
      </w:pPr>
    </w:p>
    <w:p>
      <w:pPr>
        <w:ind w:left="80" w:right="2739" w:firstLine="527"/>
        <w:spacing w:after="0" w:line="306" w:lineRule="auto"/>
        <w:rPr>
          <w:sz w:val="20"/>
          <w:szCs w:val="20"/>
          <w:color w:val="auto"/>
        </w:rPr>
      </w:pPr>
      <w:r>
        <w:rPr>
          <w:rFonts w:ascii="Courier New" w:cs="Courier New" w:eastAsia="Courier New" w:hAnsi="Courier New"/>
          <w:sz w:val="16"/>
          <w:szCs w:val="16"/>
          <w:color w:val="auto"/>
        </w:rPr>
        <w:t>1.16 Sales and Transfer Taxes. All sales and transfer taxes, fees and duties under applicable law incurred in connection with this Agreement or the transactions contemplated thereby will be borne and paid by the party liable for such tax, duty or fee under applicable law.</w:t>
      </w:r>
    </w:p>
    <w:p>
      <w:pPr>
        <w:spacing w:after="0" w:line="60" w:lineRule="exact"/>
        <w:rPr>
          <w:sz w:val="20"/>
          <w:szCs w:val="20"/>
          <w:color w:val="auto"/>
        </w:rPr>
      </w:pPr>
    </w:p>
    <w:p>
      <w:pPr>
        <w:ind w:left="80" w:right="2619" w:firstLine="527"/>
        <w:spacing w:after="0" w:line="273" w:lineRule="auto"/>
        <w:rPr>
          <w:sz w:val="20"/>
          <w:szCs w:val="20"/>
          <w:color w:val="auto"/>
        </w:rPr>
      </w:pPr>
      <w:r>
        <w:rPr>
          <w:rFonts w:ascii="Courier New" w:cs="Courier New" w:eastAsia="Courier New" w:hAnsi="Courier New"/>
          <w:sz w:val="16"/>
          <w:szCs w:val="16"/>
          <w:color w:val="auto"/>
        </w:rPr>
        <w:t>1.17 Transfer of Stockholders' Interests in Other Businesses. Schedule 1.17 attached hereto sets forth the names of any and all Affiliated Entities (as defined below) and describes the interest which any Stockholder or any Seller Affiliated Party (as defined in Section 2.15(m) below) has therein and the estimated value of such interest. Except for the interest of any Stockholder in (a) the entity which owns the Lynn Headquarters and (b) the Taiwan company (the "Taiwan Company") known as Boston Trading Company, Ltd. (Taiwan), Buyer at its option may request that the Stockholders at or at any time subsequent to the Closing assign, transfer and convey to Buyer for no further consideration all right, title and interest which either or both of the Stockholders or any Seller Affiliated Party may have in (i) Glorious Investment Inc. or any of its subsidiaries or affiliates or (ii) any corporation, partnership, joint venture or other entity (individually, an "Affiliated Entity," and collectively, the "Affiliated Entities") which currently does business with Seller or has done business with Seller at any time since January 1, 1994. In the event any such Affiliated Entity has a name including "Boston Trader" or "Boston Trading," Seller and the Stockholders shall cause such Affiliated Entity to cease using such name (and, if part of its corporate name, to change such name) prior to the Closing. Notwithstanding the foregoing, but without limitation of the representations and warranties made in Section 2.15(m) hereof, Buyer acknowledges that Seller shall not have an obligation to seek to cause the Hong Kong company known as Boston Trading Company, Ltd. (Hong Kong) to change its corporate name or the Taiwan Company to change its corporate or trade name;</w:t>
      </w:r>
    </w:p>
    <w:p>
      <w:pPr>
        <w:sectPr>
          <w:pgSz w:w="11900" w:h="16838" w:orient="portrait"/>
          <w:cols w:equalWidth="0" w:num="1">
            <w:col w:w="9019"/>
          </w:cols>
          <w:pgMar w:left="1440" w:top="110" w:right="1440" w:bottom="56" w:gutter="0" w:footer="0" w:header="0"/>
        </w:sectPr>
      </w:pPr>
    </w:p>
    <w:bookmarkStart w:id="38" w:name="page39"/>
    <w:bookmarkEnd w:id="38"/>
    <w:p>
      <w:pPr>
        <w:ind w:left="80" w:right="2619"/>
        <w:spacing w:after="0" w:line="247" w:lineRule="auto"/>
        <w:rPr>
          <w:sz w:val="20"/>
          <w:szCs w:val="20"/>
          <w:color w:val="auto"/>
        </w:rPr>
      </w:pPr>
      <w:r>
        <w:rPr>
          <w:rFonts w:ascii="Courier New" w:cs="Courier New" w:eastAsia="Courier New" w:hAnsi="Courier New"/>
          <w:sz w:val="18"/>
          <w:szCs w:val="18"/>
          <w:color w:val="auto"/>
        </w:rPr>
        <w:t>provided, however, each of Seller and the Stockholders agrees to take no action to enable such companies to continue to use such names (or any other name including "Boston Traders" or "Boston Trading") subsequent to the Closing. In the event of the liquidation of the Taiwan Company, Seller and the Stockholders will use their best efforts to cause the Taiwan Company to distribute to the Stockholders, as part of their liquidating distribution, all right, title and interest which the Taiwan Company may have in and to the name "Boston Traders" or "Boston Trading," and the Stockholders shall then immediately assign and transfer all of their right, title and interest in and to such name to Buyer.</w:t>
      </w:r>
    </w:p>
    <w:p>
      <w:pPr>
        <w:spacing w:after="0" w:line="108" w:lineRule="exact"/>
        <w:rPr>
          <w:sz w:val="20"/>
          <w:szCs w:val="20"/>
          <w:color w:val="auto"/>
        </w:rPr>
      </w:pPr>
    </w:p>
    <w:p>
      <w:pPr>
        <w:ind w:left="80" w:right="2619" w:firstLine="105"/>
        <w:spacing w:after="0" w:line="347" w:lineRule="auto"/>
        <w:rPr>
          <w:sz w:val="20"/>
          <w:szCs w:val="20"/>
          <w:color w:val="auto"/>
        </w:rPr>
      </w:pPr>
      <w:r>
        <w:rPr>
          <w:rFonts w:ascii="Courier New" w:cs="Courier New" w:eastAsia="Courier New" w:hAnsi="Courier New"/>
          <w:sz w:val="18"/>
          <w:szCs w:val="18"/>
          <w:color w:val="auto"/>
        </w:rPr>
        <w:t>SECTION 2. REPRESENTATIONS AND WARRANTIES OF SELLER AND STOCKHOLDERS.</w:t>
      </w:r>
    </w:p>
    <w:p>
      <w:pPr>
        <w:spacing w:after="0" w:line="18" w:lineRule="exact"/>
        <w:rPr>
          <w:sz w:val="20"/>
          <w:szCs w:val="20"/>
          <w:color w:val="auto"/>
        </w:rPr>
      </w:pPr>
    </w:p>
    <w:p>
      <w:pPr>
        <w:ind w:left="80" w:right="2739" w:firstLine="527"/>
        <w:spacing w:after="0" w:line="298" w:lineRule="auto"/>
        <w:rPr>
          <w:sz w:val="20"/>
          <w:szCs w:val="20"/>
          <w:color w:val="auto"/>
        </w:rPr>
      </w:pPr>
      <w:r>
        <w:rPr>
          <w:rFonts w:ascii="Courier New" w:cs="Courier New" w:eastAsia="Courier New" w:hAnsi="Courier New"/>
          <w:sz w:val="16"/>
          <w:szCs w:val="16"/>
          <w:color w:val="auto"/>
        </w:rPr>
        <w:t>2.1 Making of Representations and Warranties. As a material inducement to Designs and Buyer to enter into this Agreement and consummate the transactions contemplated hereby, each of Seller and the Stockholders jointly and severally hereby makes to Designs and Buyer the representations and warranties contained in this Section 2.</w:t>
      </w:r>
    </w:p>
    <w:p>
      <w:pPr>
        <w:spacing w:after="0" w:line="68" w:lineRule="exact"/>
        <w:rPr>
          <w:sz w:val="20"/>
          <w:szCs w:val="20"/>
          <w:color w:val="auto"/>
        </w:rPr>
      </w:pPr>
    </w:p>
    <w:p>
      <w:pPr>
        <w:ind w:left="80" w:right="2619" w:firstLine="527"/>
        <w:spacing w:after="0" w:line="244" w:lineRule="auto"/>
        <w:rPr>
          <w:sz w:val="20"/>
          <w:szCs w:val="20"/>
          <w:color w:val="auto"/>
        </w:rPr>
      </w:pPr>
      <w:r>
        <w:rPr>
          <w:rFonts w:ascii="Courier New" w:cs="Courier New" w:eastAsia="Courier New" w:hAnsi="Courier New"/>
          <w:sz w:val="18"/>
          <w:szCs w:val="18"/>
          <w:color w:val="auto"/>
        </w:rPr>
        <w:t>2.2 Organization and Qualifications of Seller. Seller is a corporation duly organized, validly existing and in good standing under the laws of the Commonwealth of Massachusetts with full corporate power and authority to own or lease its properties and to conduct its business in the manner and in the places where such properties are owned or leased or such business is currently conducted or proposed to be conducted. The copies of Seller's Articles of Organization, as amended to date and certified by the Massachusetts Secretary of State, and of Seller's by-laws, as amended to date and certified by Seller's Clerk, and heretofore delivered to Buyer's counsel, are complete and correct, and no amendments thereto are pending. Seller is not in violation of any term of its Articles of Organization or by-laws. Seller is duly qualified to do business as a foreign corporation in the jurisdictions listed on Schedule 2.2 hereto, and it is not required to be licensed or qualified to conduct its business or own its property in any other jurisdiction.</w:t>
      </w:r>
    </w:p>
    <w:p>
      <w:pPr>
        <w:spacing w:after="0" w:line="113" w:lineRule="exact"/>
        <w:rPr>
          <w:sz w:val="20"/>
          <w:szCs w:val="20"/>
          <w:color w:val="auto"/>
        </w:rPr>
      </w:pPr>
    </w:p>
    <w:p>
      <w:pPr>
        <w:ind w:left="80" w:right="2619" w:firstLine="527"/>
        <w:spacing w:after="0" w:line="249" w:lineRule="auto"/>
        <w:rPr>
          <w:sz w:val="20"/>
          <w:szCs w:val="20"/>
          <w:color w:val="auto"/>
        </w:rPr>
      </w:pPr>
      <w:r>
        <w:rPr>
          <w:rFonts w:ascii="Courier New" w:cs="Courier New" w:eastAsia="Courier New" w:hAnsi="Courier New"/>
          <w:sz w:val="18"/>
          <w:szCs w:val="18"/>
          <w:color w:val="auto"/>
        </w:rPr>
        <w:t>2.3 Subsidiaries. Seller has no subsidiaries other than the subsidiaries set forth on Schedule 2.3 hereto and does not own any securities issued by any other business organization or governmental authority, except U.S. Government securities, bank certificates of deposit and money market accounts acquired as short-term investments in the ordinary course of its business. Except for the subsidiaries described on Schedule 2.3, Seller does not own or have any direct or indirect interest in or control over any corporation, partnership, joint venture or entity of any kind.</w:t>
      </w:r>
    </w:p>
    <w:p>
      <w:pPr>
        <w:spacing w:after="0" w:line="104" w:lineRule="exact"/>
        <w:rPr>
          <w:sz w:val="20"/>
          <w:szCs w:val="20"/>
          <w:color w:val="auto"/>
        </w:rPr>
      </w:pPr>
    </w:p>
    <w:p>
      <w:pPr>
        <w:ind w:left="600"/>
        <w:spacing w:after="0"/>
        <w:tabs>
          <w:tab w:leader="none" w:pos="110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Capital Stock of Seller; Beneficial Ownership.</w:t>
      </w:r>
    </w:p>
    <w:p>
      <w:pPr>
        <w:spacing w:after="0" w:line="201" w:lineRule="exact"/>
        <w:rPr>
          <w:sz w:val="20"/>
          <w:szCs w:val="20"/>
          <w:color w:val="auto"/>
        </w:rPr>
      </w:pPr>
    </w:p>
    <w:p>
      <w:pPr>
        <w:ind w:left="80" w:right="2619" w:firstLine="519"/>
        <w:spacing w:after="0" w:line="280" w:lineRule="auto"/>
        <w:tabs>
          <w:tab w:leader="none" w:pos="113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Seller consists of 1,000 shares of Common Stock, no par value per share, of which 200 shares are duly and validly issued, outstanding, fully paid and non-assessable and of which 800 shares are authorized but unissued. There are no outstanding options, warrants, rights, commitments, preemptive rights or agreements of any kind for the issuance or sale of, or outstanding securities convertible into, any additional shares of capital stock of any class of Seller. None of Seller's capital stock has been issued in violation of any federal or state law. There are no voting agreements, trusts, proxies or other agreements, instruments or undertakings with respect to the voting of Seller's capital stock to which Seller or any of the Stockholders is a party.</w:t>
      </w:r>
    </w:p>
    <w:p>
      <w:pPr>
        <w:spacing w:after="0" w:line="289" w:lineRule="exact"/>
        <w:rPr>
          <w:rFonts w:ascii="Courier New" w:cs="Courier New" w:eastAsia="Courier New" w:hAnsi="Courier New"/>
          <w:sz w:val="16"/>
          <w:szCs w:val="16"/>
          <w:color w:val="auto"/>
        </w:rPr>
      </w:pPr>
    </w:p>
    <w:p>
      <w:pPr>
        <w:ind w:left="80" w:right="2619" w:firstLine="519"/>
        <w:spacing w:after="0" w:line="253" w:lineRule="auto"/>
        <w:tabs>
          <w:tab w:leader="none" w:pos="113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Stockholders owns beneficially and of record the number of shares of Common Stock of Seller set forth opposite such Stockholder's name on Schedule 2,4(b) attached hereto which shares of Common Stock in the aggregate represent all of the issued and outstanding Common Stock of Seller. Except as disclosed on Schedule 1.17 hereto, neither of the Stockholders nor any Seller Affiliated Party has any ownership interest in any</w:t>
      </w:r>
    </w:p>
    <w:p>
      <w:pPr>
        <w:sectPr>
          <w:pgSz w:w="11900" w:h="16838" w:orient="portrait"/>
          <w:cols w:equalWidth="0" w:num="1">
            <w:col w:w="9019"/>
          </w:cols>
          <w:pgMar w:left="1440" w:top="110" w:right="1440" w:bottom="0" w:gutter="0" w:footer="0" w:header="0"/>
        </w:sectPr>
      </w:pPr>
    </w:p>
    <w:bookmarkStart w:id="39" w:name="page40"/>
    <w:bookmarkEnd w:id="39"/>
    <w:p>
      <w:pPr>
        <w:ind w:left="80"/>
        <w:spacing w:after="0"/>
        <w:rPr>
          <w:sz w:val="20"/>
          <w:szCs w:val="20"/>
          <w:color w:val="auto"/>
        </w:rPr>
      </w:pPr>
      <w:r>
        <w:rPr>
          <w:rFonts w:ascii="Courier New" w:cs="Courier New" w:eastAsia="Courier New" w:hAnsi="Courier New"/>
          <w:sz w:val="18"/>
          <w:szCs w:val="18"/>
          <w:color w:val="auto"/>
        </w:rPr>
        <w:t>Affiliated Entity.</w:t>
      </w:r>
    </w:p>
    <w:p>
      <w:pPr>
        <w:spacing w:after="0" w:line="201" w:lineRule="exact"/>
        <w:rPr>
          <w:sz w:val="20"/>
          <w:szCs w:val="20"/>
          <w:color w:val="auto"/>
        </w:rPr>
      </w:pPr>
    </w:p>
    <w:p>
      <w:pPr>
        <w:ind w:left="600"/>
        <w:spacing w:after="0"/>
        <w:tabs>
          <w:tab w:leader="none" w:pos="110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Authority of Seller and the Stockholders.</w:t>
      </w:r>
    </w:p>
    <w:p>
      <w:pPr>
        <w:spacing w:after="0" w:line="201" w:lineRule="exact"/>
        <w:rPr>
          <w:sz w:val="20"/>
          <w:szCs w:val="20"/>
          <w:color w:val="auto"/>
        </w:rPr>
      </w:pPr>
    </w:p>
    <w:p>
      <w:pPr>
        <w:ind w:left="80" w:right="2839" w:firstLine="519"/>
        <w:spacing w:after="0" w:line="285" w:lineRule="auto"/>
        <w:tabs>
          <w:tab w:leader="none" w:pos="113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full right, authority and power to enter into this Agreement and each agreement, document and instrument to be executed and delivered by Seller pursuant to this Agreement and to carry out the transactions contemplated hereby and thereby. The execution, delivery and performance by Seller of this Agreement and each such other agreement, document and instrument have been duly authorized by all necessary action of Seller and its stockholders and no other action on the part of Seller or its stockholders is required in connection therewith.</w:t>
      </w:r>
    </w:p>
    <w:p>
      <w:pPr>
        <w:spacing w:after="0" w:line="291" w:lineRule="exact"/>
        <w:rPr>
          <w:sz w:val="20"/>
          <w:szCs w:val="20"/>
          <w:color w:val="auto"/>
        </w:rPr>
      </w:pPr>
    </w:p>
    <w:p>
      <w:pPr>
        <w:ind w:left="80" w:right="2619" w:firstLine="527"/>
        <w:spacing w:after="0" w:line="253" w:lineRule="auto"/>
        <w:rPr>
          <w:sz w:val="20"/>
          <w:szCs w:val="20"/>
          <w:color w:val="auto"/>
        </w:rPr>
      </w:pPr>
      <w:r>
        <w:rPr>
          <w:rFonts w:ascii="Courier New" w:cs="Courier New" w:eastAsia="Courier New" w:hAnsi="Courier New"/>
          <w:sz w:val="18"/>
          <w:szCs w:val="18"/>
          <w:color w:val="auto"/>
        </w:rPr>
        <w:t>This Agreement and each agreement, document and instrument executed and delivered by Seller pursuant to this Agreement constitutes, or when executed and delivered will constitute, valid and binding obligations of Seller enforceable against Seller in accordance with their respective terms. The execution, delivery and performance by Seller of this Agreement and each such agreement, document and instrument:</w:t>
      </w:r>
    </w:p>
    <w:p>
      <w:pPr>
        <w:spacing w:after="0" w:line="104" w:lineRule="exact"/>
        <w:rPr>
          <w:sz w:val="20"/>
          <w:szCs w:val="20"/>
          <w:color w:val="auto"/>
        </w:rPr>
      </w:pPr>
    </w:p>
    <w:p>
      <w:pPr>
        <w:ind w:left="80" w:right="2619" w:firstLine="519"/>
        <w:spacing w:after="0" w:line="347" w:lineRule="auto"/>
        <w:tabs>
          <w:tab w:leader="none" w:pos="113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and will not violate any provision of the Articles of Organization or by-laws of Seller;</w:t>
      </w:r>
    </w:p>
    <w:p>
      <w:pPr>
        <w:spacing w:after="0" w:line="18" w:lineRule="exact"/>
        <w:rPr>
          <w:rFonts w:ascii="Courier New" w:cs="Courier New" w:eastAsia="Courier New" w:hAnsi="Courier New"/>
          <w:sz w:val="18"/>
          <w:szCs w:val="18"/>
          <w:color w:val="auto"/>
        </w:rPr>
      </w:pPr>
    </w:p>
    <w:p>
      <w:pPr>
        <w:ind w:left="80" w:right="3039" w:firstLine="519"/>
        <w:spacing w:after="0" w:line="298" w:lineRule="auto"/>
        <w:tabs>
          <w:tab w:leader="none" w:pos="113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and will not violate any laws of the United States, or any state or other foreign or domestic jurisdiction applicable to Seller or require Seller to obtain any approval, consent or waiver of, or make any filing with, any person or entity (governmental or otherwise) that has not been obtained or made; and</w:t>
      </w:r>
    </w:p>
    <w:p>
      <w:pPr>
        <w:spacing w:after="0" w:line="67" w:lineRule="exact"/>
        <w:rPr>
          <w:rFonts w:ascii="Courier New" w:cs="Courier New" w:eastAsia="Courier New" w:hAnsi="Courier New"/>
          <w:sz w:val="16"/>
          <w:szCs w:val="16"/>
          <w:color w:val="auto"/>
        </w:rPr>
      </w:pPr>
    </w:p>
    <w:p>
      <w:pPr>
        <w:ind w:left="80" w:right="2619" w:firstLine="519"/>
        <w:spacing w:after="0" w:line="248" w:lineRule="auto"/>
        <w:tabs>
          <w:tab w:leader="none" w:pos="16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and will not result in a breach of, constitute a default under, accelerate any obligation under, or give rise to a right of termination of any indenture or loan or credit agreement or any other agreement, contract, instrument, mortgage, lien, lease, permit, authorization, order, writ, judgment, injunction, decree, determination or arbitration award to which Seller is a party or by which the property of Seller is bound or affected, or result in the creation or imposition of any mortgage, pledge, lien, security interest or other charge or encumbrance on any of the Subject Assets, except as specifically identified on Schedule 2.5.</w:t>
      </w:r>
    </w:p>
    <w:p>
      <w:pPr>
        <w:spacing w:after="0" w:line="105" w:lineRule="exact"/>
        <w:rPr>
          <w:sz w:val="20"/>
          <w:szCs w:val="20"/>
          <w:color w:val="auto"/>
        </w:rPr>
      </w:pPr>
    </w:p>
    <w:p>
      <w:pPr>
        <w:ind w:left="80" w:right="2739" w:firstLine="519"/>
        <w:spacing w:after="0" w:line="260" w:lineRule="auto"/>
        <w:tabs>
          <w:tab w:leader="none" w:pos="113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Stockholder has full right, authority, power and capacity to enter into this Agreement and each agreement, document and instrument to be executed and delivered by or on behalf of him pursuant to this Agreement and to carry out the transactions contemplated hereby and thereby.</w:t>
      </w:r>
    </w:p>
    <w:p>
      <w:pPr>
        <w:spacing w:after="0" w:line="93" w:lineRule="exact"/>
        <w:rPr>
          <w:sz w:val="20"/>
          <w:szCs w:val="20"/>
          <w:color w:val="auto"/>
        </w:rPr>
      </w:pPr>
    </w:p>
    <w:p>
      <w:pPr>
        <w:ind w:left="80" w:right="2619" w:firstLine="527"/>
        <w:spacing w:after="0" w:line="289" w:lineRule="auto"/>
        <w:rPr>
          <w:sz w:val="20"/>
          <w:szCs w:val="20"/>
          <w:color w:val="auto"/>
        </w:rPr>
      </w:pPr>
      <w:r>
        <w:rPr>
          <w:rFonts w:ascii="Courier New" w:cs="Courier New" w:eastAsia="Courier New" w:hAnsi="Courier New"/>
          <w:sz w:val="16"/>
          <w:szCs w:val="16"/>
          <w:color w:val="auto"/>
        </w:rPr>
        <w:t>This Agreement and each agreement, document and instrument executed and delivered by each Stockholder pursuant to this Agreement constitutes, or when executed and delivered will constitute, valid and binding obligations of such Stockholder enforceable against such Stockholder in accordance with their respective terms. The execution, delivery and performance by each Stockholder of this Agreement and each such agreement, document and instrument:</w:t>
      </w:r>
    </w:p>
    <w:p>
      <w:pPr>
        <w:spacing w:after="0" w:line="77" w:lineRule="exact"/>
        <w:rPr>
          <w:sz w:val="20"/>
          <w:szCs w:val="20"/>
          <w:color w:val="auto"/>
        </w:rPr>
      </w:pPr>
    </w:p>
    <w:p>
      <w:pPr>
        <w:ind w:left="80" w:right="2619" w:firstLine="519"/>
        <w:spacing w:after="0" w:line="260" w:lineRule="auto"/>
        <w:tabs>
          <w:tab w:leader="none" w:pos="113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and will not violate any laws of the United States, or any state or other jurisdiction applicable to such Stockholder or require such Stockholder to obtain any approval, consent or waiver of, or make any filing with, any person or entity (governmental or otherwise) that has not been obtained or made; and</w:t>
      </w:r>
    </w:p>
    <w:p>
      <w:pPr>
        <w:spacing w:after="0" w:line="92" w:lineRule="exact"/>
        <w:rPr>
          <w:rFonts w:ascii="Courier New" w:cs="Courier New" w:eastAsia="Courier New" w:hAnsi="Courier New"/>
          <w:sz w:val="18"/>
          <w:szCs w:val="18"/>
          <w:color w:val="auto"/>
        </w:rPr>
      </w:pPr>
    </w:p>
    <w:p>
      <w:pPr>
        <w:ind w:left="80" w:right="2619" w:firstLine="519"/>
        <w:spacing w:after="0" w:line="283" w:lineRule="auto"/>
        <w:tabs>
          <w:tab w:leader="none" w:pos="113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and will not result in a breach of, constitute a default under, accelerate any obligation under, or give rise to a right of termination of, any indenture or loan or credit agreement or any other agreement, contract, instrument, mortgage, lien, lease, permit, authorization, order, writ, judgment, injunction, decree, determination or arbitration award to which such Stockholder is a party or by which the property of such Stockholder is bound or affected, or result in the creation or imposition of any mortgage, pledge, lien, security interest or other charge or encumbrance on any of the Subject Assets.</w:t>
      </w:r>
    </w:p>
    <w:p>
      <w:pPr>
        <w:sectPr>
          <w:pgSz w:w="11900" w:h="16838" w:orient="portrait"/>
          <w:cols w:equalWidth="0" w:num="1">
            <w:col w:w="9019"/>
          </w:cols>
          <w:pgMar w:left="1440" w:top="110" w:right="1440" w:bottom="0" w:gutter="0" w:footer="0" w:header="0"/>
        </w:sectPr>
      </w:pPr>
    </w:p>
    <w:bookmarkStart w:id="40" w:name="page41"/>
    <w:bookmarkEnd w:id="40"/>
    <w:p>
      <w:pPr>
        <w:ind w:left="600"/>
        <w:spacing w:after="0"/>
        <w:tabs>
          <w:tab w:leader="none" w:pos="110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Real and Personal Property.</w:t>
      </w:r>
    </w:p>
    <w:p>
      <w:pPr>
        <w:spacing w:after="0" w:line="201" w:lineRule="exact"/>
        <w:rPr>
          <w:sz w:val="20"/>
          <w:szCs w:val="20"/>
          <w:color w:val="auto"/>
        </w:rPr>
      </w:pPr>
    </w:p>
    <w:p>
      <w:pPr>
        <w:ind w:left="1120" w:hanging="521"/>
        <w:spacing w:after="0"/>
        <w:tabs>
          <w:tab w:leader="none" w:pos="11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Real Property.  Seller does not own any real</w:t>
      </w:r>
    </w:p>
    <w:p>
      <w:pPr>
        <w:spacing w:after="0" w:line="53"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property.</w:t>
      </w:r>
    </w:p>
    <w:p>
      <w:pPr>
        <w:spacing w:after="0" w:line="169" w:lineRule="exact"/>
        <w:rPr>
          <w:rFonts w:ascii="Courier New" w:cs="Courier New" w:eastAsia="Courier New" w:hAnsi="Courier New"/>
          <w:sz w:val="16"/>
          <w:szCs w:val="16"/>
          <w:color w:val="auto"/>
        </w:rPr>
      </w:pPr>
    </w:p>
    <w:p>
      <w:pPr>
        <w:ind w:left="80" w:right="2839" w:firstLine="519"/>
        <w:spacing w:after="0" w:line="298" w:lineRule="auto"/>
        <w:tabs>
          <w:tab w:leader="none" w:pos="113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Leased Real Property. All of the real property leased by Seller as tenant or lessee with the exception of the Lynn Headquarters is identified on Schedule 2.6(b) hereto (collectively, the "Leased Real Property"). Seller hereby makes the following representations and warranties with respect to the Leased Real Property:</w:t>
      </w:r>
    </w:p>
    <w:p>
      <w:pPr>
        <w:spacing w:after="0" w:line="68" w:lineRule="exact"/>
        <w:rPr>
          <w:sz w:val="20"/>
          <w:szCs w:val="20"/>
          <w:color w:val="auto"/>
        </w:rPr>
      </w:pPr>
    </w:p>
    <w:p>
      <w:pPr>
        <w:ind w:left="80" w:right="2739" w:firstLine="519"/>
        <w:spacing w:after="0" w:line="250" w:lineRule="auto"/>
        <w:tabs>
          <w:tab w:leader="none" w:pos="113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 The copies of the leases of the Leased Real Property (collectively, the "Leases") delivered by Seller to Buyer and the information with respect to each of the Leases set forth in Schedule 2.6(b) is complete, accurate, true and correct, which Schedule 2.6(b) shall include without limitation information with respect to the start date, termination date, base rent, percentage and/or additional rent, and options under each such Lease. With respect to each of the Leases, except as set forth on Schedule 2.6(b):</w:t>
      </w:r>
    </w:p>
    <w:p>
      <w:pPr>
        <w:spacing w:after="0" w:line="104" w:lineRule="exact"/>
        <w:rPr>
          <w:sz w:val="20"/>
          <w:szCs w:val="20"/>
          <w:color w:val="auto"/>
        </w:rPr>
      </w:pPr>
    </w:p>
    <w:p>
      <w:pPr>
        <w:ind w:left="80" w:right="2619" w:firstLine="519"/>
        <w:spacing w:after="0" w:line="244" w:lineRule="auto"/>
        <w:tabs>
          <w:tab w:leader="none" w:pos="113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Leases is in full force and effect and has not been modified, amended, or altered, in writing or otherwise, and Seller has not received any notice of default and to Seller's best knowledge no event has occurred which constitutes, or with the lapse of time, the giving of notice, or both, would constitute, a default</w:t>
      </w:r>
    </w:p>
    <w:p>
      <w:pPr>
        <w:spacing w:after="0" w:line="3" w:lineRule="exact"/>
        <w:rPr>
          <w:rFonts w:ascii="Courier New" w:cs="Courier New" w:eastAsia="Courier New" w:hAnsi="Courier New"/>
          <w:sz w:val="18"/>
          <w:szCs w:val="18"/>
          <w:color w:val="auto"/>
        </w:rPr>
      </w:pPr>
    </w:p>
    <w:p>
      <w:pPr>
        <w:ind w:left="80" w:right="37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any respect by Seller with respect to any such Lease;</w:t>
      </w:r>
    </w:p>
    <w:p>
      <w:pPr>
        <w:spacing w:after="0" w:line="50" w:lineRule="exact"/>
        <w:rPr>
          <w:rFonts w:ascii="Courier New" w:cs="Courier New" w:eastAsia="Courier New" w:hAnsi="Courier New"/>
          <w:sz w:val="18"/>
          <w:szCs w:val="18"/>
          <w:color w:val="auto"/>
        </w:rPr>
      </w:pPr>
    </w:p>
    <w:p>
      <w:pPr>
        <w:ind w:left="80" w:right="2939" w:firstLine="519"/>
        <w:spacing w:after="0" w:line="318" w:lineRule="auto"/>
        <w:tabs>
          <w:tab w:leader="none" w:pos="113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the landlord or lessor under the Leases which have accrued have been performed, and to the best of the knowledge of Seller, no landlord or lessor is in default under any Lease; and</w:t>
      </w:r>
    </w:p>
    <w:p>
      <w:pPr>
        <w:spacing w:after="0" w:line="52" w:lineRule="exact"/>
        <w:rPr>
          <w:rFonts w:ascii="Courier New" w:cs="Courier New" w:eastAsia="Courier New" w:hAnsi="Courier New"/>
          <w:sz w:val="16"/>
          <w:szCs w:val="16"/>
          <w:color w:val="auto"/>
        </w:rPr>
      </w:pPr>
    </w:p>
    <w:p>
      <w:pPr>
        <w:ind w:left="80" w:right="2619" w:firstLine="519"/>
        <w:spacing w:after="0" w:line="282" w:lineRule="auto"/>
        <w:tabs>
          <w:tab w:leader="none" w:pos="113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obtained or will obtain prior to the Closing the consent of each landlord or lessor whose consent is required under any Leases to effect the transfer of</w:t>
      </w:r>
    </w:p>
    <w:p>
      <w:pPr>
        <w:ind w:left="80" w:right="3039"/>
        <w:spacing w:after="0" w:line="26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Leased Real Property to Buyer, and such transfer will not give any landlord or lessor under any Lease any remedy, including, without limitation, any right to declare a default under any Lease.</w:t>
      </w:r>
    </w:p>
    <w:p>
      <w:pPr>
        <w:spacing w:after="0" w:line="90" w:lineRule="exact"/>
        <w:rPr>
          <w:sz w:val="20"/>
          <w:szCs w:val="20"/>
          <w:color w:val="auto"/>
        </w:rPr>
      </w:pPr>
    </w:p>
    <w:p>
      <w:pPr>
        <w:ind w:left="80" w:right="2619" w:firstLine="519"/>
        <w:spacing w:after="0" w:line="276" w:lineRule="auto"/>
        <w:tabs>
          <w:tab w:leader="none" w:pos="113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and Description. Seller holds a good, clear, marketable, valid and enforceable leasehold interest in the Leased Real Property pursuant to the Leases, subject only to the right of reversion of the landlord or lessor under the Leases, to Seller's best knowledge free and clear of all other prior or subordinate interests, including, without limitation, mortgages, deeds of trust, ground leases, leases, subleases, assessments, tenancies, claims, covenants, conditions, restrictions, easements, judgments or other encumbrances or matters affecting title, and free of encroachments onto or off of the Leased Real Property, except for (x) easements, covenants, restrictions and similar encumbrances that do not and could not interfere with the use of the Leased Real Property as currently used and improved, and (y) minor encroachments that do not and could not adversely affect the value or use of the Leased Real Property as currently used and improved and that could be removed without material cost, and except for matters set forth on Schedule 2.6(b).</w:t>
      </w:r>
    </w:p>
    <w:p>
      <w:pPr>
        <w:spacing w:after="0" w:line="200" w:lineRule="exact"/>
        <w:rPr>
          <w:rFonts w:ascii="Courier New" w:cs="Courier New" w:eastAsia="Courier New" w:hAnsi="Courier New"/>
          <w:sz w:val="16"/>
          <w:szCs w:val="16"/>
          <w:color w:val="auto"/>
        </w:rPr>
      </w:pPr>
    </w:p>
    <w:p>
      <w:pPr>
        <w:spacing w:after="0" w:line="308" w:lineRule="exact"/>
        <w:rPr>
          <w:rFonts w:ascii="Courier New" w:cs="Courier New" w:eastAsia="Courier New" w:hAnsi="Courier New"/>
          <w:sz w:val="16"/>
          <w:szCs w:val="16"/>
          <w:color w:val="auto"/>
        </w:rPr>
      </w:pPr>
    </w:p>
    <w:p>
      <w:pPr>
        <w:ind w:left="80" w:right="2619" w:firstLine="519"/>
        <w:spacing w:after="0" w:line="247" w:lineRule="auto"/>
        <w:tabs>
          <w:tab w:leader="none" w:pos="16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 Except as set forth on Schedule 2.6(b) and to Seller's best knowledge, there are no material defects in the physical condition of any improvements constituting a part of the Leased Real Property, including, without limitation, structural elements, mechanical systems, roofs or parking and loading areas, and all of such improvements are in good operating condition and repair. To Seller's best knowledge, all water, sewer, gas, electric, telephone, drainage and other utilities required by law or necessary for the current operation of the Leased Real Property have been installed and connected pursuant to valid permits, and are sufficient to service the Leased Real Property.</w:t>
      </w:r>
    </w:p>
    <w:p>
      <w:pPr>
        <w:spacing w:after="0" w:line="107" w:lineRule="exact"/>
        <w:rPr>
          <w:rFonts w:ascii="Courier New" w:cs="Courier New" w:eastAsia="Courier New" w:hAnsi="Courier New"/>
          <w:sz w:val="18"/>
          <w:szCs w:val="18"/>
          <w:color w:val="auto"/>
        </w:rPr>
      </w:pPr>
    </w:p>
    <w:p>
      <w:pPr>
        <w:ind w:left="1120" w:hanging="521"/>
        <w:spacing w:after="0"/>
        <w:tabs>
          <w:tab w:leader="none" w:pos="11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 Government Approvals.  Seller</w:t>
      </w:r>
    </w:p>
    <w:p>
      <w:pPr>
        <w:sectPr>
          <w:pgSz w:w="11900" w:h="16838" w:orient="portrait"/>
          <w:cols w:equalWidth="0" w:num="1">
            <w:col w:w="9019"/>
          </w:cols>
          <w:pgMar w:left="1440" w:top="312" w:right="1440" w:bottom="0" w:gutter="0" w:footer="0" w:header="0"/>
        </w:sectPr>
      </w:pPr>
    </w:p>
    <w:bookmarkStart w:id="41" w:name="page42"/>
    <w:bookmarkEnd w:id="41"/>
    <w:p>
      <w:pPr>
        <w:spacing w:after="0" w:line="8" w:lineRule="exact"/>
        <w:rPr>
          <w:sz w:val="20"/>
          <w:szCs w:val="20"/>
          <w:color w:val="auto"/>
        </w:rPr>
      </w:pPr>
    </w:p>
    <w:p>
      <w:pPr>
        <w:ind w:left="80" w:right="2619"/>
        <w:spacing w:after="0" w:line="402" w:lineRule="auto"/>
        <w:rPr>
          <w:sz w:val="20"/>
          <w:szCs w:val="20"/>
          <w:color w:val="auto"/>
        </w:rPr>
      </w:pPr>
      <w:r>
        <w:rPr>
          <w:rFonts w:ascii="Courier New" w:cs="Courier New" w:eastAsia="Courier New" w:hAnsi="Courier New"/>
          <w:sz w:val="16"/>
          <w:szCs w:val="16"/>
          <w:color w:val="auto"/>
        </w:rPr>
        <w:t>has received no written notice and to Seller's best knowledge no other notice from any governmental authority of</w:t>
      </w:r>
    </w:p>
    <w:p>
      <w:pPr>
        <w:spacing w:after="0" w:line="1" w:lineRule="exact"/>
        <w:rPr>
          <w:sz w:val="20"/>
          <w:szCs w:val="20"/>
          <w:color w:val="auto"/>
        </w:rPr>
      </w:pPr>
    </w:p>
    <w:p>
      <w:pPr>
        <w:ind w:left="80" w:right="2619"/>
        <w:spacing w:after="0" w:line="276" w:lineRule="auto"/>
        <w:rPr>
          <w:sz w:val="20"/>
          <w:szCs w:val="20"/>
          <w:color w:val="auto"/>
        </w:rPr>
      </w:pPr>
      <w:r>
        <w:rPr>
          <w:rFonts w:ascii="Courier New" w:cs="Courier New" w:eastAsia="Courier New" w:hAnsi="Courier New"/>
          <w:sz w:val="16"/>
          <w:szCs w:val="16"/>
          <w:color w:val="auto"/>
        </w:rPr>
        <w:t>any violation of any law, ordinance, regulation, license, permit or authorization issued with respect to any of the Leased Real Property that has not been corrected heretofore, and, to Seller's best knowledge, no such violation now exists which could have an adverse effect on the operation or value of any of the Leased Real Property. All improvements constituting a part of the Leased Real Property are in compliance in all respects with all applicable laws, ordinances, regulations, licenses, permits and authorizations, and there are presently in effect all licenses, permits and authorizations required by law, ordinance, or regulation. The transfer of the Leased Real Property to Buyer shall include all rights to the use of any off-site facilities necessary to ensure compliance with all such laws, ordinances, codes and regulations. There is at least the minimum access required by applicable subdivision or similar law to the Leased Real Property. Seller has received no notice of any pending or threatened real estate tax deficiency or reassessment or condemnation of all or any portion of any of the Leased Real Property.</w:t>
      </w:r>
    </w:p>
    <w:p>
      <w:pPr>
        <w:spacing w:after="0" w:line="294" w:lineRule="exact"/>
        <w:rPr>
          <w:sz w:val="20"/>
          <w:szCs w:val="20"/>
          <w:color w:val="auto"/>
        </w:rPr>
      </w:pPr>
    </w:p>
    <w:p>
      <w:pPr>
        <w:ind w:left="80" w:right="2619" w:firstLine="519"/>
        <w:spacing w:after="0" w:line="285" w:lineRule="auto"/>
        <w:tabs>
          <w:tab w:leader="none" w:pos="113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Property. Seller has provided Buyer with access to all of Seller's records with respect to all of Seller's machinery, equipment, furniture, fixtures, leasehold improvements and other tangible personal property. Except as specifically disclosed in Schedule 2.6(c), Seller has good and marketable title to all of its personal property. None of such personal property or assets is subject to any mortgage, pledge, lien, conditional sale agreement, security agreement, encumbrance or other charge except as specifically disclosed in said Schedule. The</w:t>
      </w:r>
    </w:p>
    <w:p>
      <w:pPr>
        <w:spacing w:after="0" w:line="76" w:lineRule="exact"/>
        <w:rPr>
          <w:sz w:val="20"/>
          <w:szCs w:val="20"/>
          <w:color w:val="auto"/>
        </w:rPr>
      </w:pPr>
    </w:p>
    <w:p>
      <w:pPr>
        <w:ind w:left="80" w:right="2619"/>
        <w:spacing w:after="0" w:line="283" w:lineRule="auto"/>
        <w:rPr>
          <w:sz w:val="20"/>
          <w:szCs w:val="20"/>
          <w:color w:val="auto"/>
        </w:rPr>
      </w:pPr>
      <w:r>
        <w:rPr>
          <w:rFonts w:ascii="Courier New" w:cs="Courier New" w:eastAsia="Courier New" w:hAnsi="Courier New"/>
          <w:sz w:val="16"/>
          <w:szCs w:val="16"/>
          <w:color w:val="auto"/>
        </w:rPr>
        <w:t>Subject Assets are sufficient for Buyer to continue the business of Seller as conducted by Seller. Except as otherwise specified in Schedule 2.6(c), to Seller's best knowledge all leasehold improvements, furnishings, machinery and equipment of Seller are in good repair, have been well maintained, and substantially comply with all applicable laws, ordinances and regulations, and such machinery and equipment is in good working order. Seller does not have actual knowledge of any pending or threatened change of any such laws, ordinances or regulations which could adversely affect Seller or its business.</w:t>
      </w:r>
    </w:p>
    <w:p>
      <w:pPr>
        <w:spacing w:after="0" w:line="294" w:lineRule="exact"/>
        <w:rPr>
          <w:sz w:val="20"/>
          <w:szCs w:val="20"/>
          <w:color w:val="auto"/>
        </w:rPr>
      </w:pPr>
    </w:p>
    <w:p>
      <w:pPr>
        <w:ind w:left="600"/>
        <w:spacing w:after="0"/>
        <w:tabs>
          <w:tab w:leader="none" w:pos="110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80" w:right="2619" w:firstLine="519"/>
        <w:spacing w:after="0" w:line="292" w:lineRule="auto"/>
        <w:tabs>
          <w:tab w:leader="none" w:pos="113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delivered to Buyer the following financial statements, copies of which are attached hereto as Schedule 2.7:</w:t>
      </w:r>
    </w:p>
    <w:p>
      <w:pPr>
        <w:spacing w:after="0" w:line="66" w:lineRule="exact"/>
        <w:rPr>
          <w:sz w:val="20"/>
          <w:szCs w:val="20"/>
          <w:color w:val="auto"/>
        </w:rPr>
      </w:pPr>
    </w:p>
    <w:p>
      <w:pPr>
        <w:ind w:left="80" w:right="2739" w:firstLine="519"/>
        <w:spacing w:after="0" w:line="306" w:lineRule="auto"/>
        <w:tabs>
          <w:tab w:leader="none" w:pos="113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sheets of Seller for its fiscal years ending on April 30, 1993 and 1994 and statements of income, retained earnings and cash flows for the two years then ended, with appropriate footnotes, certified by Paretsky, Flitt &amp; Company, independent public accountants.</w:t>
      </w:r>
    </w:p>
    <w:p>
      <w:pPr>
        <w:spacing w:after="0" w:line="60" w:lineRule="exact"/>
        <w:rPr>
          <w:rFonts w:ascii="Courier New" w:cs="Courier New" w:eastAsia="Courier New" w:hAnsi="Courier New"/>
          <w:sz w:val="16"/>
          <w:szCs w:val="16"/>
          <w:color w:val="auto"/>
        </w:rPr>
      </w:pPr>
    </w:p>
    <w:p>
      <w:pPr>
        <w:ind w:left="80" w:right="2839" w:firstLine="519"/>
        <w:spacing w:after="0" w:line="344" w:lineRule="auto"/>
        <w:tabs>
          <w:tab w:leader="none" w:pos="113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balance sheet of Seller as of January 31, 1995 (herein the "Interim Balance Sheet"), with appropriate footnotes, certified by Seller's chief financial officer.</w:t>
      </w:r>
    </w:p>
    <w:p>
      <w:pPr>
        <w:spacing w:after="0" w:line="31" w:lineRule="exact"/>
        <w:rPr>
          <w:sz w:val="20"/>
          <w:szCs w:val="20"/>
          <w:color w:val="auto"/>
        </w:rPr>
      </w:pPr>
    </w:p>
    <w:p>
      <w:pPr>
        <w:ind w:left="80" w:right="2839"/>
        <w:spacing w:after="0" w:line="253" w:lineRule="auto"/>
        <w:rPr>
          <w:sz w:val="20"/>
          <w:szCs w:val="20"/>
          <w:color w:val="auto"/>
        </w:rPr>
      </w:pPr>
      <w:r>
        <w:rPr>
          <w:rFonts w:ascii="Courier New" w:cs="Courier New" w:eastAsia="Courier New" w:hAnsi="Courier New"/>
          <w:sz w:val="18"/>
          <w:szCs w:val="18"/>
          <w:color w:val="auto"/>
        </w:rPr>
        <w:t>Said financial statements have been prepared in accordance with generally accepted accounting principles applied consistently during the periods covered thereby, are complete and correct in all material respects, and present fairly in all material respects the financial condition of Seller at the dates of said statements and the results of its operations and its cash flows for the periods covered thereby.</w:t>
      </w:r>
    </w:p>
    <w:p>
      <w:pPr>
        <w:spacing w:after="0" w:line="104" w:lineRule="exact"/>
        <w:rPr>
          <w:sz w:val="20"/>
          <w:szCs w:val="20"/>
          <w:color w:val="auto"/>
        </w:rPr>
      </w:pPr>
    </w:p>
    <w:p>
      <w:pPr>
        <w:ind w:left="80" w:right="2619" w:firstLine="519"/>
        <w:spacing w:after="0" w:line="287" w:lineRule="auto"/>
        <w:tabs>
          <w:tab w:leader="none" w:pos="113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the Interim Balance Sheet, Seller had no liabilities of any nature, whether accrued, absolute, contingent or otherwise, asserted or unasserted, known or unknown (including without limitation liabilities as guarantor or otherwise with respect to obligations of others, or liabilities for taxes due or then accrued or to become due or contingent or potential liabilities relating to activities of Seller or the conduct of its business prior to the date of the Interim Balance Sheet regardless of</w:t>
      </w:r>
    </w:p>
    <w:p>
      <w:pPr>
        <w:sectPr>
          <w:pgSz w:w="11900" w:h="16847" w:orient="portrait"/>
          <w:cols w:equalWidth="0" w:num="1">
            <w:col w:w="9019"/>
          </w:cols>
          <w:pgMar w:left="1440" w:top="110" w:right="1440" w:bottom="0" w:gutter="0" w:footer="0" w:header="0"/>
        </w:sectPr>
      </w:pPr>
    </w:p>
    <w:bookmarkStart w:id="42" w:name="page43"/>
    <w:bookmarkEnd w:id="42"/>
    <w:p>
      <w:pPr>
        <w:ind w:left="80" w:right="2619"/>
        <w:spacing w:after="0" w:line="265" w:lineRule="auto"/>
        <w:rPr>
          <w:sz w:val="20"/>
          <w:szCs w:val="20"/>
          <w:color w:val="auto"/>
        </w:rPr>
      </w:pPr>
      <w:r>
        <w:rPr>
          <w:rFonts w:ascii="Courier New" w:cs="Courier New" w:eastAsia="Courier New" w:hAnsi="Courier New"/>
          <w:sz w:val="18"/>
          <w:szCs w:val="18"/>
          <w:color w:val="auto"/>
        </w:rPr>
        <w:t>whether claims in respect thereof had been asserted as of such date), except liabilities stated or adequately reserved against on the Interim Balance Sheet, or reflected in Schedules furnished to Buyer hereunder as of the date hereof.</w:t>
      </w:r>
    </w:p>
    <w:p>
      <w:pPr>
        <w:spacing w:after="0" w:line="90" w:lineRule="exact"/>
        <w:rPr>
          <w:sz w:val="20"/>
          <w:szCs w:val="20"/>
          <w:color w:val="auto"/>
        </w:rPr>
      </w:pPr>
    </w:p>
    <w:p>
      <w:pPr>
        <w:ind w:left="80" w:right="2619" w:firstLine="519"/>
        <w:spacing w:after="0" w:line="277" w:lineRule="auto"/>
        <w:tabs>
          <w:tab w:leader="none" w:pos="113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and as of the Closing, Seller had and will have no liabilities of any nature, whether accrued, absolute, contingent or otherwise, asserted or unasserted, known or unknown (including without limitation liabilities as guarantor or otherwise with respect to obligations or others, or liabilities for taxes due or then accrued or to become due or contingent or potential liabilities relating to activities of Seller or the conduct of its business prior to the date hereof or the Closing, as the case may be, regardless of whether claims in respect thereof had been asserted as of such date), except liabilities (i) stated or adequately reserved against on the Interim Balance Sheet or the notes thereto, (ii) reflected in Schedules furnished to Buyer hereunder on the date hereof, or (iii) incurred after the date of the Interim Balance Sheet in the ordinary course of business of Seller consistent with the terms of this Agreement.</w:t>
      </w:r>
    </w:p>
    <w:p>
      <w:pPr>
        <w:spacing w:after="0" w:line="299" w:lineRule="exact"/>
        <w:rPr>
          <w:sz w:val="20"/>
          <w:szCs w:val="20"/>
          <w:color w:val="auto"/>
        </w:rPr>
      </w:pPr>
    </w:p>
    <w:p>
      <w:pPr>
        <w:ind w:left="600"/>
        <w:spacing w:after="0"/>
        <w:tabs>
          <w:tab w:leader="none" w:pos="110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Taxes.</w:t>
      </w:r>
    </w:p>
    <w:p>
      <w:pPr>
        <w:spacing w:after="0" w:line="201" w:lineRule="exact"/>
        <w:rPr>
          <w:sz w:val="20"/>
          <w:szCs w:val="20"/>
          <w:color w:val="auto"/>
        </w:rPr>
      </w:pPr>
    </w:p>
    <w:p>
      <w:pPr>
        <w:ind w:left="80" w:right="2619" w:firstLine="519"/>
        <w:spacing w:after="0" w:line="281" w:lineRule="auto"/>
        <w:tabs>
          <w:tab w:leader="none" w:pos="113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paid or caused to be paid all federal, state, local, foreign, and other taxes, including, without limitation, income taxes, estimated taxes, alternative minimum taxes, excise taxes, sales taxes, use taxes, value-added taxes, gross receipts taxes, franchise taxes, capital stock taxes, employment and payroll-related taxes, withholding taxes, stamp taxes, transfer taxes, windfall profit taxes, escheatment taxes, environmental taxes and property taxes, whether or not measured in whole or in part by net income, and all deficiencies, or other additions to tax, interest, fines and penalties owed by it (collectively, "Taxes"), required to be paid by it through the date hereof whether disputed or not.</w:t>
      </w:r>
    </w:p>
    <w:p>
      <w:pPr>
        <w:spacing w:after="0" w:line="289" w:lineRule="exact"/>
        <w:rPr>
          <w:rFonts w:ascii="Courier New" w:cs="Courier New" w:eastAsia="Courier New" w:hAnsi="Courier New"/>
          <w:sz w:val="16"/>
          <w:szCs w:val="16"/>
          <w:color w:val="auto"/>
        </w:rPr>
      </w:pPr>
    </w:p>
    <w:p>
      <w:pPr>
        <w:ind w:left="80" w:right="2619" w:firstLine="519"/>
        <w:spacing w:after="0" w:line="279" w:lineRule="auto"/>
        <w:tabs>
          <w:tab w:leader="none" w:pos="113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in accordance with applicable law filed all federal, state, local and foreign tax returns required to be filed by it through the date hereof, and all such returns correctly and accurately set forth the amount of any Taxes relating to the applicable period. A list of all federal, state, local and foreign income tax returns filed with respect to Seller for taxable periods ended on or after April 30, 1989 is set forth in Schedule 2.8 attached hereto, and said Schedule indicates those returns that have been audited or currently are the subject of an audit. Seller has delivered to Buyer correct and complete copies of all federal, state, local and foreign income tax returns listed on said Schedule, and of all examination reports and statements of deficiencies assessed against or agreed to by Seller with respect to said returns.</w:t>
      </w:r>
    </w:p>
    <w:p>
      <w:pPr>
        <w:spacing w:after="0" w:line="291" w:lineRule="exact"/>
        <w:rPr>
          <w:rFonts w:ascii="Courier New" w:cs="Courier New" w:eastAsia="Courier New" w:hAnsi="Courier New"/>
          <w:sz w:val="16"/>
          <w:szCs w:val="16"/>
          <w:color w:val="auto"/>
        </w:rPr>
      </w:pPr>
    </w:p>
    <w:p>
      <w:pPr>
        <w:ind w:left="80" w:right="2619" w:firstLine="519"/>
        <w:spacing w:after="0" w:line="287" w:lineRule="auto"/>
        <w:tabs>
          <w:tab w:leader="none" w:pos="113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Internal Revenue Service nor any other governmental authority is now asserting or, to the knowledge of Seller or any Stockholder, threatening to assert against Seller any deficiency or claim for additional Taxes. To Seller's best knowledge, there are no pending claims by an authority in a jurisdiction where Seller does not file reports and returns that Seller is or may be subject to taxation by that jurisdiction. There are no security interests on any of the assets of Seller that arose in</w:t>
      </w:r>
    </w:p>
    <w:p>
      <w:pPr>
        <w:sectPr>
          <w:pgSz w:w="11900" w:h="16838" w:orient="portrait"/>
          <w:cols w:equalWidth="0" w:num="1">
            <w:col w:w="9019"/>
          </w:cols>
          <w:pgMar w:left="1440" w:top="110" w:right="1440" w:bottom="1440" w:gutter="0" w:footer="0" w:header="0"/>
        </w:sectPr>
      </w:pPr>
    </w:p>
    <w:bookmarkStart w:id="43" w:name="page44"/>
    <w:bookmarkEnd w:id="43"/>
    <w:p>
      <w:pPr>
        <w:spacing w:after="0" w:line="61" w:lineRule="exact"/>
        <w:rPr>
          <w:sz w:val="20"/>
          <w:szCs w:val="20"/>
          <w:color w:val="auto"/>
        </w:rPr>
      </w:pPr>
    </w:p>
    <w:p>
      <w:pPr>
        <w:ind w:left="80" w:right="2739"/>
        <w:spacing w:after="0" w:line="292" w:lineRule="auto"/>
        <w:rPr>
          <w:sz w:val="20"/>
          <w:szCs w:val="20"/>
          <w:color w:val="auto"/>
        </w:rPr>
      </w:pPr>
      <w:r>
        <w:rPr>
          <w:rFonts w:ascii="Courier New" w:cs="Courier New" w:eastAsia="Courier New" w:hAnsi="Courier New"/>
          <w:sz w:val="18"/>
          <w:szCs w:val="18"/>
          <w:color w:val="auto"/>
        </w:rPr>
        <w:t>connection with any failure (or alleged failure) to pay any Taxes. Seller has never entered into a closing agreement pursuant to Section 7121 of the Code.</w:t>
      </w:r>
    </w:p>
    <w:p>
      <w:pPr>
        <w:spacing w:after="0" w:line="66" w:lineRule="exact"/>
        <w:rPr>
          <w:sz w:val="20"/>
          <w:szCs w:val="20"/>
          <w:color w:val="auto"/>
        </w:rPr>
      </w:pPr>
    </w:p>
    <w:p>
      <w:pPr>
        <w:ind w:left="80" w:right="2619" w:firstLine="519"/>
        <w:spacing w:after="0" w:line="244" w:lineRule="auto"/>
        <w:tabs>
          <w:tab w:leader="none" w:pos="113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2.8, there has not been any audit of any tax return filed by Seller with respect to the last three tax years, no audit of any tax return of Seller is in progress, and Seller has not been notified by any tax authority that any such audit is contemplated or pending. Except as set forth in Schedule</w:t>
      </w:r>
    </w:p>
    <w:p>
      <w:pPr>
        <w:spacing w:after="0" w:line="3" w:lineRule="exact"/>
        <w:rPr>
          <w:rFonts w:ascii="Courier New" w:cs="Courier New" w:eastAsia="Courier New" w:hAnsi="Courier New"/>
          <w:sz w:val="18"/>
          <w:szCs w:val="18"/>
          <w:color w:val="auto"/>
        </w:rPr>
      </w:pPr>
    </w:p>
    <w:p>
      <w:pPr>
        <w:ind w:left="80" w:right="273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 no extension of time with respect to any date on which a tax return was or is to be filed by Seller is in force, and no waiver or agreement by Seller is in force for the extension of time for the assessment or payment of any Taxes.</w:t>
      </w:r>
    </w:p>
    <w:p>
      <w:pPr>
        <w:spacing w:after="0" w:line="95" w:lineRule="exact"/>
        <w:rPr>
          <w:rFonts w:ascii="Courier New" w:cs="Courier New" w:eastAsia="Courier New" w:hAnsi="Courier New"/>
          <w:sz w:val="18"/>
          <w:szCs w:val="18"/>
          <w:color w:val="auto"/>
        </w:rPr>
      </w:pPr>
    </w:p>
    <w:p>
      <w:pPr>
        <w:ind w:left="80" w:right="2619" w:firstLine="519"/>
        <w:spacing w:after="0" w:line="282" w:lineRule="auto"/>
        <w:tabs>
          <w:tab w:leader="none" w:pos="113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never been (and has never had any liability for unpaid Taxes because it once was) a member of an "affiliated group" (as defined in Section 1504(a) of the Code). Seller has never filed, and has never been required to file, a consolidated, combined or unitary tax return with any other entity except for any other entity controlled by Seller. Seller does not own and has never owned a direct or indirect interest in any trust, partnership, corporation or other entity and therefore Buyer is not acquiring from Seller an interest in any entity, except as provided in Section 2.3. Except as set forth in Schedule 2.8, Seller is not a party to any tax sharing agreement.</w:t>
      </w:r>
    </w:p>
    <w:p>
      <w:pPr>
        <w:spacing w:after="0" w:line="290" w:lineRule="exact"/>
        <w:rPr>
          <w:rFonts w:ascii="Courier New" w:cs="Courier New" w:eastAsia="Courier New" w:hAnsi="Courier New"/>
          <w:sz w:val="16"/>
          <w:szCs w:val="16"/>
          <w:color w:val="auto"/>
        </w:rPr>
      </w:pPr>
    </w:p>
    <w:p>
      <w:pPr>
        <w:ind w:left="80" w:right="2619" w:firstLine="519"/>
        <w:spacing w:after="0" w:line="292" w:lineRule="auto"/>
        <w:tabs>
          <w:tab w:leader="none" w:pos="113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a "foreign person" within the meaning of Section 1445 of the Code and Treasury Regulations Section 1.1445-2.</w:t>
      </w:r>
    </w:p>
    <w:p>
      <w:pPr>
        <w:spacing w:after="0" w:line="66" w:lineRule="exact"/>
        <w:rPr>
          <w:rFonts w:ascii="Courier New" w:cs="Courier New" w:eastAsia="Courier New" w:hAnsi="Courier New"/>
          <w:sz w:val="18"/>
          <w:szCs w:val="18"/>
          <w:color w:val="auto"/>
        </w:rPr>
      </w:pPr>
    </w:p>
    <w:p>
      <w:pPr>
        <w:ind w:left="80" w:right="2739" w:firstLine="519"/>
        <w:spacing w:after="0" w:line="274" w:lineRule="auto"/>
        <w:tabs>
          <w:tab w:leader="none" w:pos="113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all references to Sections of the Code shall include any predecessor provisions to such Sections and any similar provisions of federal, state, local or foreign law.</w:t>
      </w:r>
    </w:p>
    <w:p>
      <w:pPr>
        <w:spacing w:after="0" w:line="82" w:lineRule="exact"/>
        <w:rPr>
          <w:sz w:val="20"/>
          <w:szCs w:val="20"/>
          <w:color w:val="auto"/>
        </w:rPr>
      </w:pPr>
    </w:p>
    <w:p>
      <w:pPr>
        <w:ind w:left="80" w:right="2619" w:firstLine="527"/>
        <w:spacing w:after="0" w:line="247" w:lineRule="auto"/>
        <w:rPr>
          <w:sz w:val="20"/>
          <w:szCs w:val="20"/>
          <w:color w:val="auto"/>
        </w:rPr>
      </w:pPr>
      <w:r>
        <w:rPr>
          <w:rFonts w:ascii="Courier New" w:cs="Courier New" w:eastAsia="Courier New" w:hAnsi="Courier New"/>
          <w:sz w:val="18"/>
          <w:szCs w:val="18"/>
          <w:color w:val="auto"/>
        </w:rPr>
        <w:t>2.9 Collectability of Accounts Receivable. To Seller's best knowledge, all of the accounts receivable of Seller are or will be at the Closing valid and enforceable claims, fully collectible and subject to no set off or counterclaim. Except as disclosed on Schedule 2.9, Seller has no accounts or loans receivable (a) from any person, firm or corporation which is affiliated with Seller or (b) from any director, officer or employee of Seller in excess of $1,000 in any individual case or in excess of $10,000 in the aggregate for all such accounts or loans receivable referenced in this subsection (b), and all such accounts and loans receivable from any such person, firm or corporation shall be paid in cash prior to the Closing.</w:t>
      </w:r>
    </w:p>
    <w:p>
      <w:pPr>
        <w:spacing w:after="0" w:line="108" w:lineRule="exact"/>
        <w:rPr>
          <w:sz w:val="20"/>
          <w:szCs w:val="20"/>
          <w:color w:val="auto"/>
        </w:rPr>
      </w:pPr>
    </w:p>
    <w:p>
      <w:pPr>
        <w:ind w:left="80" w:right="2619" w:firstLine="527"/>
        <w:spacing w:after="0" w:line="278" w:lineRule="auto"/>
        <w:rPr>
          <w:sz w:val="20"/>
          <w:szCs w:val="20"/>
          <w:color w:val="auto"/>
        </w:rPr>
      </w:pPr>
      <w:r>
        <w:rPr>
          <w:rFonts w:ascii="Courier New" w:cs="Courier New" w:eastAsia="Courier New" w:hAnsi="Courier New"/>
          <w:sz w:val="16"/>
          <w:szCs w:val="16"/>
          <w:color w:val="auto"/>
        </w:rPr>
        <w:t>2.10 Inventories. Schedule 2.10 sets forth a complete list of (a) all Inventory located at the Lynn Headquarter as of March 26, 1995 and an estimate of all Inventory located at Seller's retail store locations as of April 18, 1995 and</w:t>
      </w:r>
    </w:p>
    <w:p>
      <w:pPr>
        <w:spacing w:after="0" w:line="3" w:lineRule="exact"/>
        <w:rPr>
          <w:sz w:val="20"/>
          <w:szCs w:val="20"/>
          <w:color w:val="auto"/>
        </w:rPr>
      </w:pPr>
    </w:p>
    <w:p>
      <w:pPr>
        <w:ind w:left="80" w:right="2619" w:hanging="8"/>
        <w:spacing w:after="0" w:line="274" w:lineRule="auto"/>
        <w:tabs>
          <w:tab w:leader="none" w:pos="50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Assumed Purchase Orders (specifically identifying all General Order Merchandise), and all amounts due in respect of and liabilities in connection with such merchandise, any deposits or prepayments made by Seller with respect thereto and for which Seller is entitled to full credit upon payment of the remaining balance due (and not otherwise subject to offset), and any and all quota fees or commissions owed by Seller to third party agents. Except as disclosed in Schedule 2.10, all items in the inventories of Seller are of a quality and quantity saleable in the ordinary course of its business. Except as disclosed in Schedule 2.10, said inventories reflect write-downs to realizable values in the case of items which are below standard quality or have become obsolete or unsaleable (except at prices less than cost). All inventory items are located on the Leased Real Property and in the Lynn Headquarters, except for certain General Order Merchandise. Since the date of the Interim Balance Sheet, no inventory</w:t>
      </w:r>
    </w:p>
    <w:p>
      <w:pPr>
        <w:sectPr>
          <w:pgSz w:w="11900" w:h="16838" w:orient="portrait"/>
          <w:cols w:equalWidth="0" w:num="1">
            <w:col w:w="9019"/>
          </w:cols>
          <w:pgMar w:left="1440" w:top="1440" w:right="1440" w:bottom="0" w:gutter="0" w:footer="0" w:header="0"/>
        </w:sectPr>
      </w:pPr>
    </w:p>
    <w:bookmarkStart w:id="44" w:name="page45"/>
    <w:bookmarkEnd w:id="44"/>
    <w:p>
      <w:pPr>
        <w:ind w:left="80" w:right="2739"/>
        <w:spacing w:after="0" w:line="347" w:lineRule="auto"/>
        <w:rPr>
          <w:sz w:val="20"/>
          <w:szCs w:val="20"/>
          <w:color w:val="auto"/>
        </w:rPr>
      </w:pPr>
      <w:r>
        <w:rPr>
          <w:rFonts w:ascii="Courier New" w:cs="Courier New" w:eastAsia="Courier New" w:hAnsi="Courier New"/>
          <w:sz w:val="18"/>
          <w:szCs w:val="18"/>
          <w:color w:val="auto"/>
        </w:rPr>
        <w:t>items have been sold or disposed of except through sales in the ordinary course of business.</w:t>
      </w:r>
    </w:p>
    <w:p>
      <w:pPr>
        <w:spacing w:after="0" w:line="18" w:lineRule="exact"/>
        <w:rPr>
          <w:sz w:val="20"/>
          <w:szCs w:val="20"/>
          <w:color w:val="auto"/>
        </w:rPr>
      </w:pPr>
    </w:p>
    <w:p>
      <w:pPr>
        <w:ind w:left="80" w:right="2839" w:firstLine="527"/>
        <w:spacing w:after="0" w:line="292" w:lineRule="auto"/>
        <w:rPr>
          <w:sz w:val="20"/>
          <w:szCs w:val="20"/>
          <w:color w:val="auto"/>
        </w:rPr>
      </w:pPr>
      <w:r>
        <w:rPr>
          <w:rFonts w:ascii="Courier New" w:cs="Courier New" w:eastAsia="Courier New" w:hAnsi="Courier New"/>
          <w:sz w:val="18"/>
          <w:szCs w:val="18"/>
          <w:color w:val="auto"/>
        </w:rPr>
        <w:t>2.11 Absence of Certain Changes. Except as disclosed in Schedule 2.11, since the date of the Interim Balance Sheet there has not been:</w:t>
      </w:r>
    </w:p>
    <w:p>
      <w:pPr>
        <w:spacing w:after="0" w:line="66" w:lineRule="exact"/>
        <w:rPr>
          <w:sz w:val="20"/>
          <w:szCs w:val="20"/>
          <w:color w:val="auto"/>
        </w:rPr>
      </w:pPr>
    </w:p>
    <w:p>
      <w:pPr>
        <w:ind w:left="80" w:right="2619" w:firstLine="519"/>
        <w:spacing w:after="0" w:line="260" w:lineRule="auto"/>
        <w:tabs>
          <w:tab w:leader="none" w:pos="113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financial condition, properties, assets, liabilities, business or operations of Seller which change by itself or in conjunction with all other such changes, whether or not arising in the ordinary course of business, has been materially adverse with respect to Seller;</w:t>
      </w:r>
    </w:p>
    <w:p>
      <w:pPr>
        <w:spacing w:after="0" w:line="92" w:lineRule="exact"/>
        <w:rPr>
          <w:rFonts w:ascii="Courier New" w:cs="Courier New" w:eastAsia="Courier New" w:hAnsi="Courier New"/>
          <w:sz w:val="18"/>
          <w:szCs w:val="18"/>
          <w:color w:val="auto"/>
        </w:rPr>
      </w:pPr>
    </w:p>
    <w:p>
      <w:pPr>
        <w:ind w:left="80" w:right="2739" w:firstLine="519"/>
        <w:spacing w:after="0" w:line="265" w:lineRule="auto"/>
        <w:tabs>
          <w:tab w:leader="none" w:pos="113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contingent liability incurred by Seller as guarantor or to Seller's best knowledge otherwise with respect to the obligations of others or any cancellation of any material debt or claim owing to, or waiver of any material right of, Seller;</w:t>
      </w:r>
    </w:p>
    <w:p>
      <w:pPr>
        <w:spacing w:after="0" w:line="89" w:lineRule="exact"/>
        <w:rPr>
          <w:rFonts w:ascii="Courier New" w:cs="Courier New" w:eastAsia="Courier New" w:hAnsi="Courier New"/>
          <w:sz w:val="18"/>
          <w:szCs w:val="18"/>
          <w:color w:val="auto"/>
        </w:rPr>
      </w:pPr>
    </w:p>
    <w:p>
      <w:pPr>
        <w:ind w:left="80" w:right="2619" w:firstLine="519"/>
        <w:spacing w:after="0" w:line="292" w:lineRule="auto"/>
        <w:tabs>
          <w:tab w:leader="none" w:pos="113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mortgage, encumbrance or lien placed on any of the properties of Seller which remains in existence on the date hereof or will remain on the Closing Date;</w:t>
      </w:r>
    </w:p>
    <w:p>
      <w:pPr>
        <w:spacing w:after="0" w:line="66" w:lineRule="exact"/>
        <w:rPr>
          <w:rFonts w:ascii="Courier New" w:cs="Courier New" w:eastAsia="Courier New" w:hAnsi="Courier New"/>
          <w:sz w:val="18"/>
          <w:szCs w:val="18"/>
          <w:color w:val="auto"/>
        </w:rPr>
      </w:pPr>
    </w:p>
    <w:p>
      <w:pPr>
        <w:ind w:left="80" w:right="2619" w:firstLine="519"/>
        <w:spacing w:after="0" w:line="246" w:lineRule="auto"/>
        <w:tabs>
          <w:tab w:leader="none" w:pos="113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 or liability of any nature incurred by Seller, whether accrued, absolute, contingent or otherwise, asserted or to Seller's best knowledge unasserted (including without limitation liabilities for Taxes due or to become due or contingent or potential liabilities relating to products or services provided by Seller or the conduct of Seller's business since the date of the Interim Balance Sheet regardless of whether claims in respect thereof have been asserted), other than obligations and liabilities incurred in the ordinary course of business consistent with the terms of this Agreement (it being understood that product or service liability claims shall not be deemed to be incurred in the ordinary course of business);</w:t>
      </w:r>
    </w:p>
    <w:p>
      <w:pPr>
        <w:spacing w:after="0" w:line="112" w:lineRule="exact"/>
        <w:rPr>
          <w:rFonts w:ascii="Courier New" w:cs="Courier New" w:eastAsia="Courier New" w:hAnsi="Courier New"/>
          <w:sz w:val="18"/>
          <w:szCs w:val="18"/>
          <w:color w:val="auto"/>
        </w:rPr>
      </w:pPr>
    </w:p>
    <w:p>
      <w:pPr>
        <w:ind w:left="80" w:right="2939" w:firstLine="519"/>
        <w:spacing w:after="0" w:line="318" w:lineRule="auto"/>
        <w:tabs>
          <w:tab w:leader="none" w:pos="113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purchase, sale or other disposition, or any agreement or other arrangement for the purchase, sale or other disposition, of any of the properties or assets of Seller other than in the ordinary course of business;</w:t>
      </w:r>
    </w:p>
    <w:p>
      <w:pPr>
        <w:spacing w:after="0" w:line="52" w:lineRule="exact"/>
        <w:rPr>
          <w:rFonts w:ascii="Courier New" w:cs="Courier New" w:eastAsia="Courier New" w:hAnsi="Courier New"/>
          <w:sz w:val="16"/>
          <w:szCs w:val="16"/>
          <w:color w:val="auto"/>
        </w:rPr>
      </w:pPr>
    </w:p>
    <w:p>
      <w:pPr>
        <w:ind w:left="80" w:right="2619" w:firstLine="519"/>
        <w:spacing w:after="0" w:line="292" w:lineRule="auto"/>
        <w:tabs>
          <w:tab w:leader="none" w:pos="113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damage, destruction or loss, whether or not covered by insurance, materially and adversely affecting the properties, assets or business of Seller;</w:t>
      </w:r>
    </w:p>
    <w:p>
      <w:pPr>
        <w:spacing w:after="0" w:line="66" w:lineRule="exact"/>
        <w:rPr>
          <w:rFonts w:ascii="Courier New" w:cs="Courier New" w:eastAsia="Courier New" w:hAnsi="Courier New"/>
          <w:sz w:val="18"/>
          <w:szCs w:val="18"/>
          <w:color w:val="auto"/>
        </w:rPr>
      </w:pPr>
    </w:p>
    <w:p>
      <w:pPr>
        <w:ind w:left="80" w:right="2619" w:firstLine="519"/>
        <w:spacing w:after="0" w:line="265" w:lineRule="auto"/>
        <w:tabs>
          <w:tab w:leader="none" w:pos="113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by Seller, or the making of any other distribution in respect of the capital stock of Seller, or any direct or indirect redemption, purchase or other acquisition by Seller of its own capital stock;</w:t>
      </w:r>
    </w:p>
    <w:p>
      <w:pPr>
        <w:spacing w:after="0" w:line="89" w:lineRule="exact"/>
        <w:rPr>
          <w:rFonts w:ascii="Courier New" w:cs="Courier New" w:eastAsia="Courier New" w:hAnsi="Courier New"/>
          <w:sz w:val="18"/>
          <w:szCs w:val="18"/>
          <w:color w:val="auto"/>
        </w:rPr>
      </w:pPr>
    </w:p>
    <w:p>
      <w:pPr>
        <w:ind w:left="80" w:right="2839" w:firstLine="519"/>
        <w:spacing w:after="0" w:line="253" w:lineRule="auto"/>
        <w:tabs>
          <w:tab w:leader="none" w:pos="113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labor trouble or claim of unfair labor practices involving Seller; any change in the compensation payable or to become payable by Seller to any of its officers, employees, agents or independent contractors other than normal increases in accordance with its usual practices, or any bonus payment or arrangement made to or with any of such officers, employees, agents or independent contractors;</w:t>
      </w:r>
    </w:p>
    <w:p>
      <w:pPr>
        <w:spacing w:after="0" w:line="103" w:lineRule="exact"/>
        <w:rPr>
          <w:rFonts w:ascii="Courier New" w:cs="Courier New" w:eastAsia="Courier New" w:hAnsi="Courier New"/>
          <w:sz w:val="18"/>
          <w:szCs w:val="18"/>
          <w:color w:val="auto"/>
        </w:rPr>
      </w:pPr>
    </w:p>
    <w:p>
      <w:pPr>
        <w:ind w:left="80" w:right="3479" w:firstLine="519"/>
        <w:spacing w:after="0" w:line="347" w:lineRule="auto"/>
        <w:tabs>
          <w:tab w:leader="none" w:pos="113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with respect to the officers or management of Seller;</w:t>
      </w:r>
    </w:p>
    <w:p>
      <w:pPr>
        <w:spacing w:after="0" w:line="18" w:lineRule="exact"/>
        <w:rPr>
          <w:rFonts w:ascii="Courier New" w:cs="Courier New" w:eastAsia="Courier New" w:hAnsi="Courier New"/>
          <w:sz w:val="18"/>
          <w:szCs w:val="18"/>
          <w:color w:val="auto"/>
        </w:rPr>
      </w:pPr>
    </w:p>
    <w:p>
      <w:pPr>
        <w:ind w:left="80" w:right="2619" w:firstLine="519"/>
        <w:spacing w:after="0" w:line="274" w:lineRule="auto"/>
        <w:tabs>
          <w:tab w:leader="none" w:pos="113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or discharge of a material lien or liability of Seller which was not shown on the Interim Balance Sheet or incurred in the ordinary course of business thereafter;</w:t>
      </w:r>
    </w:p>
    <w:p>
      <w:pPr>
        <w:spacing w:after="0" w:line="81" w:lineRule="exact"/>
        <w:rPr>
          <w:rFonts w:ascii="Courier New" w:cs="Courier New" w:eastAsia="Courier New" w:hAnsi="Courier New"/>
          <w:sz w:val="18"/>
          <w:szCs w:val="18"/>
          <w:color w:val="auto"/>
        </w:rPr>
      </w:pPr>
    </w:p>
    <w:p>
      <w:pPr>
        <w:ind w:left="80" w:right="2739" w:firstLine="519"/>
        <w:spacing w:after="0" w:line="260" w:lineRule="auto"/>
        <w:tabs>
          <w:tab w:leader="none" w:pos="113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 or liability incurred by Seller to any of its officers, directors, stockholders or employees, or any loans or advances made by Seller to any of its officers, directors, stockholders or employees, except normal compensation and expense allowances payable to officers or employees;</w:t>
      </w:r>
    </w:p>
    <w:p>
      <w:pPr>
        <w:spacing w:after="0" w:line="92" w:lineRule="exact"/>
        <w:rPr>
          <w:rFonts w:ascii="Courier New" w:cs="Courier New" w:eastAsia="Courier New" w:hAnsi="Courier New"/>
          <w:sz w:val="18"/>
          <w:szCs w:val="18"/>
          <w:color w:val="auto"/>
        </w:rPr>
      </w:pPr>
    </w:p>
    <w:p>
      <w:pPr>
        <w:ind w:left="80" w:right="3039" w:firstLine="519"/>
        <w:spacing w:after="0" w:line="420" w:lineRule="auto"/>
        <w:tabs>
          <w:tab w:leader="none" w:pos="113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accounting methods or practices, credit practices or collection policies used by Seller;</w:t>
      </w:r>
    </w:p>
    <w:p>
      <w:pPr>
        <w:sectPr>
          <w:pgSz w:w="11900" w:h="16838" w:orient="portrait"/>
          <w:cols w:equalWidth="0" w:num="1">
            <w:col w:w="9019"/>
          </w:cols>
          <w:pgMar w:left="1440" w:top="110" w:right="1440" w:bottom="0" w:gutter="0" w:footer="0" w:header="0"/>
        </w:sectPr>
      </w:pPr>
    </w:p>
    <w:bookmarkStart w:id="45" w:name="page46"/>
    <w:bookmarkEnd w:id="45"/>
    <w:p>
      <w:pPr>
        <w:jc w:val="both"/>
        <w:ind w:left="80" w:right="3039" w:firstLine="519"/>
        <w:spacing w:after="0" w:line="292" w:lineRule="auto"/>
        <w:tabs>
          <w:tab w:leader="none" w:pos="113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transaction entered into by Seller other than transactions in the ordinary course of business; or</w:t>
      </w:r>
    </w:p>
    <w:p>
      <w:pPr>
        <w:spacing w:after="0" w:line="66" w:lineRule="exact"/>
        <w:rPr>
          <w:rFonts w:ascii="Courier New" w:cs="Courier New" w:eastAsia="Courier New" w:hAnsi="Courier New"/>
          <w:sz w:val="18"/>
          <w:szCs w:val="18"/>
          <w:color w:val="auto"/>
        </w:rPr>
      </w:pPr>
    </w:p>
    <w:p>
      <w:pPr>
        <w:ind w:left="80" w:right="2739" w:firstLine="519"/>
        <w:spacing w:after="0" w:line="292" w:lineRule="auto"/>
        <w:tabs>
          <w:tab w:leader="none" w:pos="113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or understanding whether in writing or otherwise, for Seller to take any of the actions specified in paragraphs (a) through (m) above.</w:t>
      </w:r>
    </w:p>
    <w:p>
      <w:pPr>
        <w:spacing w:after="0" w:line="66" w:lineRule="exact"/>
        <w:rPr>
          <w:sz w:val="20"/>
          <w:szCs w:val="20"/>
          <w:color w:val="auto"/>
        </w:rPr>
      </w:pPr>
    </w:p>
    <w:p>
      <w:pPr>
        <w:ind w:left="80" w:right="2619" w:firstLine="527"/>
        <w:spacing w:after="0" w:line="260" w:lineRule="auto"/>
        <w:rPr>
          <w:sz w:val="20"/>
          <w:szCs w:val="20"/>
          <w:color w:val="auto"/>
        </w:rPr>
      </w:pPr>
      <w:r>
        <w:rPr>
          <w:rFonts w:ascii="Courier New" w:cs="Courier New" w:eastAsia="Courier New" w:hAnsi="Courier New"/>
          <w:sz w:val="18"/>
          <w:szCs w:val="18"/>
          <w:color w:val="auto"/>
        </w:rPr>
        <w:t>2.12 Ordinary Course. Since the date of the Interim Balance Sheet, Seller has conducted its business only in the ordinary course and consistently with its prior practices, except that, as compared to prior periods, Seller has maintained lower inventory levels and has elected to curtail its trademark licensing activities.</w:t>
      </w:r>
    </w:p>
    <w:p>
      <w:pPr>
        <w:spacing w:after="0" w:line="93" w:lineRule="exact"/>
        <w:rPr>
          <w:sz w:val="20"/>
          <w:szCs w:val="20"/>
          <w:color w:val="auto"/>
        </w:rPr>
      </w:pPr>
    </w:p>
    <w:p>
      <w:pPr>
        <w:ind w:left="80" w:right="2739" w:firstLine="527"/>
        <w:spacing w:after="0" w:line="253" w:lineRule="auto"/>
        <w:rPr>
          <w:sz w:val="20"/>
          <w:szCs w:val="20"/>
          <w:color w:val="auto"/>
        </w:rPr>
      </w:pPr>
      <w:r>
        <w:rPr>
          <w:rFonts w:ascii="Courier New" w:cs="Courier New" w:eastAsia="Courier New" w:hAnsi="Courier New"/>
          <w:sz w:val="18"/>
          <w:szCs w:val="18"/>
          <w:color w:val="auto"/>
        </w:rPr>
        <w:t>2.13 Banking Relations. All of the arrangements which Seller has with any banking institution with respect to deposit relationships are completely and accurately described in Schedule 2.13, indicating with respect to each of such arrangements the type of arrangement maintained (such as checking account, borrowing arrangements, safe deposit box, etc.) and the person or persons authorized in respect thereof.</w:t>
      </w:r>
    </w:p>
    <w:p>
      <w:pPr>
        <w:spacing w:after="0" w:line="10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2.14 Intellectual Property.</w:t>
      </w:r>
    </w:p>
    <w:p>
      <w:pPr>
        <w:spacing w:after="0" w:line="201" w:lineRule="exact"/>
        <w:rPr>
          <w:sz w:val="20"/>
          <w:szCs w:val="20"/>
          <w:color w:val="auto"/>
        </w:rPr>
      </w:pPr>
    </w:p>
    <w:p>
      <w:pPr>
        <w:ind w:left="80" w:right="2619" w:firstLine="519"/>
        <w:spacing w:after="0" w:line="243" w:lineRule="auto"/>
        <w:tabs>
          <w:tab w:leader="none" w:pos="113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Schedule 2.14, Seller has exclusive ownership of, or exclusive license to use, all patent, copyright, trade secret, trademark, service mark or other proprietary rights (collectively, "Intellectual Property") used or to be used in the business of Seller as presently conducted or contemplated. Seller's rights in all of such Intellectual Property are freely transferable.</w:t>
      </w:r>
    </w:p>
    <w:p>
      <w:pPr>
        <w:spacing w:after="0" w:line="4" w:lineRule="exact"/>
        <w:rPr>
          <w:rFonts w:ascii="Courier New" w:cs="Courier New" w:eastAsia="Courier New" w:hAnsi="Courier New"/>
          <w:sz w:val="18"/>
          <w:szCs w:val="18"/>
          <w:color w:val="auto"/>
        </w:rPr>
      </w:pPr>
    </w:p>
    <w:p>
      <w:pPr>
        <w:ind w:left="80" w:right="2619"/>
        <w:spacing w:after="0" w:line="24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claims or demands of any other person pertaining to any of such Intellectual Property and no proceedings have been instituted, or are pending or to Seller's best knowledge threatened, which challenge the rights of Seller in respect thereof. Seller has the right to use, free and clear of claims or rights of other persons, all customer lists, designs, samples, patterns, manufacturing or other processes, computer software, systems, data compilations, research results and other information required for or incident to its products or its business as presently conducted or contemplated.</w:t>
      </w:r>
    </w:p>
    <w:p>
      <w:pPr>
        <w:spacing w:after="0" w:line="109" w:lineRule="exact"/>
        <w:rPr>
          <w:rFonts w:ascii="Courier New" w:cs="Courier New" w:eastAsia="Courier New" w:hAnsi="Courier New"/>
          <w:sz w:val="18"/>
          <w:szCs w:val="18"/>
          <w:color w:val="auto"/>
        </w:rPr>
      </w:pPr>
    </w:p>
    <w:p>
      <w:pPr>
        <w:ind w:left="80" w:right="2739" w:firstLine="519"/>
        <w:spacing w:after="0" w:line="277" w:lineRule="auto"/>
        <w:tabs>
          <w:tab w:leader="none" w:pos="113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patents, patent applications, trademarks, trademark applications and registrations, service marks, service mark applications and registrations, and registered copyrights which are owned by or licensed to Seller or used or to be used by Seller in its business as presently conducted or contemplated, and all other items of Intellectual Property which are material to the business or operations of Seller, are listed in Schedule 2.14. All of such patents, patent applications, trademark registrations, trademark applications, service mark applications, service mark registrations and registered copyrights have been duly registered in, filed in or issued by the United States Patent and Trademark Office, the United States Register of Copyrights, or the corresponding offices of other jurisdictions as identified on said Schedule, and have been properly maintained and renewed in accordance with all applicable provisions of law and administrative regulations of the United States and each such jurisdiction.</w:t>
      </w:r>
    </w:p>
    <w:p>
      <w:pPr>
        <w:spacing w:after="0" w:line="292" w:lineRule="exact"/>
        <w:rPr>
          <w:rFonts w:ascii="Courier New" w:cs="Courier New" w:eastAsia="Courier New" w:hAnsi="Courier New"/>
          <w:sz w:val="16"/>
          <w:szCs w:val="16"/>
          <w:color w:val="auto"/>
        </w:rPr>
      </w:pPr>
    </w:p>
    <w:p>
      <w:pPr>
        <w:ind w:left="80" w:right="2619" w:firstLine="519"/>
        <w:spacing w:after="0" w:line="248" w:lineRule="auto"/>
        <w:tabs>
          <w:tab w:leader="none" w:pos="113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licenses or other agreements under which Seller is granted rights in Intellectual Property are listed in Schedule 2.15. All said licenses or other agreements are in full force and effect, there is no material default by any party thereto, and, except as set forth on Schedule 2.15, all of Seller's rights thereunder are freely assignable. To Seller's best knowledge, the licensors under said licenses and other agreements have and had all requisite power and authority to grant the rights purported to be conferred thereby. True and complete copies of all such licenses or other agreements, and any amendments thereto, have been provided to Buyer.</w:t>
      </w:r>
    </w:p>
    <w:p>
      <w:pPr>
        <w:spacing w:after="0" w:line="105" w:lineRule="exact"/>
        <w:rPr>
          <w:rFonts w:ascii="Courier New" w:cs="Courier New" w:eastAsia="Courier New" w:hAnsi="Courier New"/>
          <w:sz w:val="18"/>
          <w:szCs w:val="18"/>
          <w:color w:val="auto"/>
        </w:rPr>
      </w:pPr>
    </w:p>
    <w:p>
      <w:pPr>
        <w:ind w:left="80" w:right="2619" w:firstLine="519"/>
        <w:spacing w:after="0" w:line="282" w:lineRule="auto"/>
        <w:tabs>
          <w:tab w:leader="none" w:pos="113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licenses or other agreements under which Seller has granted rights to others in Intellectual Property owned or licensed by Seller are listed in Schedule 2.15.</w:t>
      </w:r>
    </w:p>
    <w:p>
      <w:pPr>
        <w:ind w:left="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All of said licenses or other agreements are in full force</w:t>
      </w:r>
    </w:p>
    <w:p>
      <w:pPr>
        <w:sectPr>
          <w:pgSz w:w="11900" w:h="16838" w:orient="portrait"/>
          <w:cols w:equalWidth="0" w:num="1">
            <w:col w:w="9019"/>
          </w:cols>
          <w:pgMar w:left="1440" w:top="110" w:right="1440" w:bottom="0" w:gutter="0" w:footer="0" w:header="0"/>
        </w:sectPr>
      </w:pPr>
    </w:p>
    <w:bookmarkStart w:id="46" w:name="page47"/>
    <w:bookmarkEnd w:id="46"/>
    <w:p>
      <w:pPr>
        <w:spacing w:after="0" w:line="52" w:lineRule="exact"/>
        <w:rPr>
          <w:sz w:val="20"/>
          <w:szCs w:val="20"/>
          <w:color w:val="auto"/>
        </w:rPr>
      </w:pPr>
    </w:p>
    <w:p>
      <w:pPr>
        <w:ind w:left="80" w:right="2739"/>
        <w:spacing w:after="0" w:line="306" w:lineRule="auto"/>
        <w:rPr>
          <w:sz w:val="20"/>
          <w:szCs w:val="20"/>
          <w:color w:val="auto"/>
        </w:rPr>
      </w:pPr>
      <w:r>
        <w:rPr>
          <w:rFonts w:ascii="Courier New" w:cs="Courier New" w:eastAsia="Courier New" w:hAnsi="Courier New"/>
          <w:sz w:val="16"/>
          <w:szCs w:val="16"/>
          <w:color w:val="auto"/>
        </w:rPr>
        <w:t>and effect, there is no material default by any party thereto, and, except as set forth on Schedule 2.15, all of Seller's rights thereunder are freely assignable. True and complete copies of all such licenses or other agreements, and any amendments thereto, have been provided to Buyer.</w:t>
      </w:r>
    </w:p>
    <w:p>
      <w:pPr>
        <w:spacing w:after="0" w:line="60" w:lineRule="exact"/>
        <w:rPr>
          <w:sz w:val="20"/>
          <w:szCs w:val="20"/>
          <w:color w:val="auto"/>
        </w:rPr>
      </w:pPr>
    </w:p>
    <w:p>
      <w:pPr>
        <w:ind w:left="80" w:right="2619" w:firstLine="519"/>
        <w:spacing w:after="0" w:line="260" w:lineRule="auto"/>
        <w:tabs>
          <w:tab w:leader="none" w:pos="113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taken all steps required in accordance with sound business practice to establish and preserve its ownership of all Intellectual Property rights with respect to its designs, products, services and technology. Seller has no knowledge of any infringement by others of any of its Intellectual Property rights.</w:t>
      </w:r>
    </w:p>
    <w:p>
      <w:pPr>
        <w:spacing w:after="0" w:line="92" w:lineRule="exact"/>
        <w:rPr>
          <w:rFonts w:ascii="Courier New" w:cs="Courier New" w:eastAsia="Courier New" w:hAnsi="Courier New"/>
          <w:sz w:val="18"/>
          <w:szCs w:val="18"/>
          <w:color w:val="auto"/>
        </w:rPr>
      </w:pPr>
    </w:p>
    <w:p>
      <w:pPr>
        <w:ind w:left="80" w:right="2619" w:firstLine="519"/>
        <w:spacing w:after="0" w:line="244" w:lineRule="auto"/>
        <w:tabs>
          <w:tab w:leader="none" w:pos="113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Seller's best knowledge, the present and contemplated business, activities and products of Seller do not infringe any Intellectual Property of any other person. No proceeding charging Seller with infringement of any adversely held Intellectual Property has been filed or to Seller's best knowledge is threatened to be filed. To Seller's knowledge, there exists no unexpired patent or patent application which includes claims that would be infringed by or otherwise adversely affect the products, activities or business of Seller. To Seller's best knowledge, Seller is not making unauthorized use of any confidential information or trade secrets of any person, including without limitation any former employer of any past or present employee of Seller. Except as set forth in Schedule 2.14, neither Seller nor, to Seller's best knowledge, any of its employees have any agreements or arrangements with any persons other than Seller related to confidential information or trade secrets of such persons or restricting any such employee's ability to engage in business activities of any nature.</w:t>
      </w:r>
    </w:p>
    <w:p>
      <w:pPr>
        <w:spacing w:after="0" w:line="108" w:lineRule="exact"/>
        <w:rPr>
          <w:sz w:val="20"/>
          <w:szCs w:val="20"/>
          <w:color w:val="auto"/>
        </w:rPr>
      </w:pPr>
    </w:p>
    <w:p>
      <w:pPr>
        <w:ind w:left="80" w:right="2619" w:firstLine="527"/>
        <w:spacing w:after="0" w:line="256" w:lineRule="auto"/>
        <w:rPr>
          <w:sz w:val="20"/>
          <w:szCs w:val="20"/>
          <w:color w:val="auto"/>
        </w:rPr>
      </w:pPr>
      <w:r>
        <w:rPr>
          <w:rFonts w:ascii="Courier New" w:cs="Courier New" w:eastAsia="Courier New" w:hAnsi="Courier New"/>
          <w:sz w:val="18"/>
          <w:szCs w:val="18"/>
          <w:color w:val="auto"/>
        </w:rPr>
        <w:t>2.15 Contracts. Except for contracts, leases, commitments, plans, agreements and licenses (collectively, the "Contracts") described in Schedule 2.6(b), Schedule 2.15 or Schedule 2.24 hereto (true and complete copies of which (or in the case of any oral agreements, true and complete descriptions of which) have been delivered to Buyer), Seller is not a party to or subject to:</w:t>
      </w:r>
    </w:p>
    <w:p>
      <w:pPr>
        <w:spacing w:after="0" w:line="98" w:lineRule="exact"/>
        <w:rPr>
          <w:sz w:val="20"/>
          <w:szCs w:val="20"/>
          <w:color w:val="auto"/>
        </w:rPr>
      </w:pPr>
    </w:p>
    <w:p>
      <w:pPr>
        <w:ind w:left="80" w:right="2839" w:firstLine="519"/>
        <w:spacing w:after="0" w:line="265" w:lineRule="auto"/>
        <w:tabs>
          <w:tab w:leader="none" w:pos="113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plan or contract providing for bonuses, pensions, options, stock purchases, deferred compensation, retirement payments, profit sharing, collective bargaining or the like, or any contract or agreement with any labor union;</w:t>
      </w:r>
    </w:p>
    <w:p>
      <w:pPr>
        <w:spacing w:after="0" w:line="89" w:lineRule="exact"/>
        <w:rPr>
          <w:rFonts w:ascii="Courier New" w:cs="Courier New" w:eastAsia="Courier New" w:hAnsi="Courier New"/>
          <w:sz w:val="18"/>
          <w:szCs w:val="18"/>
          <w:color w:val="auto"/>
        </w:rPr>
      </w:pPr>
    </w:p>
    <w:p>
      <w:pPr>
        <w:ind w:left="80" w:right="2739" w:firstLine="519"/>
        <w:spacing w:after="0" w:line="318" w:lineRule="auto"/>
        <w:tabs>
          <w:tab w:leader="none" w:pos="113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employment contract or contract for services which requires the payment of more than $25,000 annually or which is not terminable within 30 days by Seller without liability for any penalty or severance payment;</w:t>
      </w:r>
    </w:p>
    <w:p>
      <w:pPr>
        <w:spacing w:after="0" w:line="52" w:lineRule="exact"/>
        <w:rPr>
          <w:rFonts w:ascii="Courier New" w:cs="Courier New" w:eastAsia="Courier New" w:hAnsi="Courier New"/>
          <w:sz w:val="16"/>
          <w:szCs w:val="16"/>
          <w:color w:val="auto"/>
        </w:rPr>
      </w:pPr>
    </w:p>
    <w:p>
      <w:pPr>
        <w:ind w:left="80" w:right="2739" w:firstLine="519"/>
        <w:spacing w:after="0" w:line="274" w:lineRule="auto"/>
        <w:tabs>
          <w:tab w:leader="none" w:pos="113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for the purchase of any commodity, material or equipment except purchase orders in the ordinary course for less than $10,000 each, such orders not exceeding $50,000 in the aggregate;</w:t>
      </w:r>
    </w:p>
    <w:p>
      <w:pPr>
        <w:spacing w:after="0" w:line="81" w:lineRule="exact"/>
        <w:rPr>
          <w:rFonts w:ascii="Courier New" w:cs="Courier New" w:eastAsia="Courier New" w:hAnsi="Courier New"/>
          <w:sz w:val="18"/>
          <w:szCs w:val="18"/>
          <w:color w:val="auto"/>
        </w:rPr>
      </w:pPr>
    </w:p>
    <w:p>
      <w:pPr>
        <w:ind w:left="80" w:right="2619" w:firstLine="519"/>
        <w:spacing w:after="0" w:line="274" w:lineRule="auto"/>
        <w:tabs>
          <w:tab w:leader="none" w:pos="113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contracts or agreements creating any obligations of Seller of $10,000 or more with respect to any such contract or agreement not specifically disclosed elsewhere under this Agreement;</w:t>
      </w:r>
    </w:p>
    <w:p>
      <w:pPr>
        <w:spacing w:after="0" w:line="81" w:lineRule="exact"/>
        <w:rPr>
          <w:rFonts w:ascii="Courier New" w:cs="Courier New" w:eastAsia="Courier New" w:hAnsi="Courier New"/>
          <w:sz w:val="18"/>
          <w:szCs w:val="18"/>
          <w:color w:val="auto"/>
        </w:rPr>
      </w:pPr>
    </w:p>
    <w:p>
      <w:pPr>
        <w:ind w:left="80" w:right="2739" w:firstLine="519"/>
        <w:spacing w:after="0" w:line="292" w:lineRule="auto"/>
        <w:tabs>
          <w:tab w:leader="none" w:pos="113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providing for the purchase of all or substantially all of its requirements of a particular product from a supplier;</w:t>
      </w:r>
    </w:p>
    <w:p>
      <w:pPr>
        <w:spacing w:after="0" w:line="66" w:lineRule="exact"/>
        <w:rPr>
          <w:rFonts w:ascii="Courier New" w:cs="Courier New" w:eastAsia="Courier New" w:hAnsi="Courier New"/>
          <w:sz w:val="18"/>
          <w:szCs w:val="18"/>
          <w:color w:val="auto"/>
        </w:rPr>
      </w:pPr>
    </w:p>
    <w:p>
      <w:pPr>
        <w:ind w:left="80" w:right="2619" w:firstLine="519"/>
        <w:spacing w:after="0" w:line="274" w:lineRule="auto"/>
        <w:tabs>
          <w:tab w:leader="none" w:pos="113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which by its terms does not terminate or is not terminable without penalty by Seller or any successor or assign within one year after the date hereof;</w:t>
      </w:r>
    </w:p>
    <w:p>
      <w:pPr>
        <w:spacing w:after="0" w:line="81" w:lineRule="exact"/>
        <w:rPr>
          <w:rFonts w:ascii="Courier New" w:cs="Courier New" w:eastAsia="Courier New" w:hAnsi="Courier New"/>
          <w:sz w:val="18"/>
          <w:szCs w:val="18"/>
          <w:color w:val="auto"/>
        </w:rPr>
      </w:pPr>
    </w:p>
    <w:p>
      <w:pPr>
        <w:ind w:left="80" w:right="2619" w:firstLine="519"/>
        <w:spacing w:after="0" w:line="402" w:lineRule="auto"/>
        <w:tabs>
          <w:tab w:leader="none" w:pos="113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for the sale or lease of its products not made in the ordinary course of business;</w:t>
      </w:r>
    </w:p>
    <w:p>
      <w:pPr>
        <w:ind w:left="80" w:right="2839" w:firstLine="519"/>
        <w:spacing w:after="0" w:line="347" w:lineRule="auto"/>
        <w:tabs>
          <w:tab w:leader="none" w:pos="113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with any sales agent or distributor of products or merchandise of Seller;</w:t>
      </w:r>
    </w:p>
    <w:p>
      <w:pPr>
        <w:spacing w:after="0" w:line="18" w:lineRule="exact"/>
        <w:rPr>
          <w:rFonts w:ascii="Courier New" w:cs="Courier New" w:eastAsia="Courier New" w:hAnsi="Courier New"/>
          <w:sz w:val="18"/>
          <w:szCs w:val="18"/>
          <w:color w:val="auto"/>
        </w:rPr>
      </w:pPr>
    </w:p>
    <w:p>
      <w:pPr>
        <w:ind w:left="80" w:right="2619" w:firstLine="519"/>
        <w:spacing w:after="0" w:line="344" w:lineRule="auto"/>
        <w:tabs>
          <w:tab w:leader="none" w:pos="113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containing covenants limiting the freedom of Seller to compete in any line of business or with any person or entity except as contemplated by Section 3.7</w:t>
      </w:r>
    </w:p>
    <w:p>
      <w:pPr>
        <w:sectPr>
          <w:pgSz w:w="11900" w:h="16891" w:orient="portrait"/>
          <w:cols w:equalWidth="0" w:num="1">
            <w:col w:w="9019"/>
          </w:cols>
          <w:pgMar w:left="1440" w:top="110" w:right="1440" w:bottom="0" w:gutter="0" w:footer="0" w:header="0"/>
        </w:sectPr>
      </w:pPr>
    </w:p>
    <w:bookmarkStart w:id="47" w:name="page48"/>
    <w:bookmarkEnd w:id="47"/>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hereof;</w:t>
      </w:r>
    </w:p>
    <w:p>
      <w:pPr>
        <w:spacing w:after="0" w:line="201" w:lineRule="exact"/>
        <w:rPr>
          <w:sz w:val="20"/>
          <w:szCs w:val="20"/>
          <w:color w:val="auto"/>
        </w:rPr>
      </w:pPr>
    </w:p>
    <w:p>
      <w:pPr>
        <w:jc w:val="both"/>
        <w:ind w:left="80" w:right="2739" w:firstLine="519"/>
        <w:spacing w:after="0" w:line="344" w:lineRule="auto"/>
        <w:tabs>
          <w:tab w:leader="none" w:pos="113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for the purchase of any fixed asset for a price in excess of $10,000 whether or not such purchase is in the ordinary course of business;</w:t>
      </w:r>
    </w:p>
    <w:p>
      <w:pPr>
        <w:spacing w:after="0" w:line="30" w:lineRule="exact"/>
        <w:rPr>
          <w:rFonts w:ascii="Courier New" w:cs="Courier New" w:eastAsia="Courier New" w:hAnsi="Courier New"/>
          <w:sz w:val="16"/>
          <w:szCs w:val="16"/>
          <w:color w:val="auto"/>
        </w:rPr>
      </w:pPr>
    </w:p>
    <w:p>
      <w:pPr>
        <w:ind w:left="1120" w:hanging="521"/>
        <w:spacing w:after="0"/>
        <w:tabs>
          <w:tab w:leader="none" w:pos="11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license agreement (as licensor or licensee);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0" w:right="2619" w:firstLine="519"/>
        <w:spacing w:after="0" w:line="292" w:lineRule="auto"/>
        <w:tabs>
          <w:tab w:leader="none" w:pos="113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indenture, mortgage, promissory note, loan agreement, guaranty or other agreement or commitment for the borrowing of money; or</w:t>
      </w:r>
    </w:p>
    <w:p>
      <w:pPr>
        <w:spacing w:after="0" w:line="66" w:lineRule="exact"/>
        <w:rPr>
          <w:rFonts w:ascii="Courier New" w:cs="Courier New" w:eastAsia="Courier New" w:hAnsi="Courier New"/>
          <w:sz w:val="18"/>
          <w:szCs w:val="18"/>
          <w:color w:val="auto"/>
        </w:rPr>
      </w:pPr>
    </w:p>
    <w:p>
      <w:pPr>
        <w:ind w:left="80" w:right="2619" w:firstLine="519"/>
        <w:spacing w:after="0" w:line="293" w:lineRule="auto"/>
        <w:tabs>
          <w:tab w:leader="none" w:pos="113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with any officer, employee, director or stockholder of Seller or with any corporation, partnership, joint venture, trust, organization or other entity or person (including but not limited to spouses or family members) controlled by or affiliated with any of them (individually, a "Seller Affiliated Party," and collectively, the "Seller Affiliated Parties").</w:t>
      </w:r>
    </w:p>
    <w:p>
      <w:pPr>
        <w:spacing w:after="0" w:line="72" w:lineRule="exact"/>
        <w:rPr>
          <w:sz w:val="20"/>
          <w:szCs w:val="20"/>
          <w:color w:val="auto"/>
        </w:rPr>
      </w:pPr>
    </w:p>
    <w:p>
      <w:pPr>
        <w:ind w:left="80" w:right="2619" w:firstLine="527"/>
        <w:spacing w:after="0" w:line="245" w:lineRule="auto"/>
        <w:rPr>
          <w:sz w:val="20"/>
          <w:szCs w:val="20"/>
          <w:color w:val="auto"/>
        </w:rPr>
      </w:pPr>
      <w:r>
        <w:rPr>
          <w:rFonts w:ascii="Courier New" w:cs="Courier New" w:eastAsia="Courier New" w:hAnsi="Courier New"/>
          <w:sz w:val="18"/>
          <w:szCs w:val="18"/>
          <w:color w:val="auto"/>
        </w:rPr>
        <w:t>The Contracts reflected on Schedule 2.6(b), Schedule 2.15 and Schedule 2.24 contain all written contracts, commitments, plans, leases, agreements and licenses that are material to the operation of Seller's business and/or by which the Subject Assets are bound. Except as described on Schedule 2.6(b), Schedule 2.15 or Schedule 2.24, there are no oral contracts, commitments, or plans, agreements or licenses by which the Subject Assets are bound or which are reasonably likely to have a material adverse affect on Buyer's ability to continue to conduct Seller's retail business after the Closing. Schedule 2.15 (i) specifically identifies all purchase orders being assumed by Buyer under the terms of this Agreement and (ii) sets forth the backlog of Seller's firm orders for the sale of products or services, for which revenues have not been recognized by Seller.</w:t>
      </w:r>
    </w:p>
    <w:p>
      <w:pPr>
        <w:spacing w:after="0" w:line="113" w:lineRule="exact"/>
        <w:rPr>
          <w:sz w:val="20"/>
          <w:szCs w:val="20"/>
          <w:color w:val="auto"/>
        </w:rPr>
      </w:pPr>
    </w:p>
    <w:p>
      <w:pPr>
        <w:ind w:left="80" w:right="2619" w:firstLine="527"/>
        <w:spacing w:after="0" w:line="274" w:lineRule="auto"/>
        <w:rPr>
          <w:sz w:val="20"/>
          <w:szCs w:val="20"/>
          <w:color w:val="auto"/>
        </w:rPr>
      </w:pPr>
      <w:r>
        <w:rPr>
          <w:rFonts w:ascii="Courier New" w:cs="Courier New" w:eastAsia="Courier New" w:hAnsi="Courier New"/>
          <w:sz w:val="18"/>
          <w:szCs w:val="18"/>
          <w:color w:val="auto"/>
        </w:rPr>
        <w:t>Seller is not in default under any such Contracts described in said Schedule and has no knowledge of conditions or facts which with notice or passage of time, or both, would constitute a default.</w:t>
      </w:r>
    </w:p>
    <w:p>
      <w:pPr>
        <w:spacing w:after="0" w:line="82" w:lineRule="exact"/>
        <w:rPr>
          <w:sz w:val="20"/>
          <w:szCs w:val="20"/>
          <w:color w:val="auto"/>
        </w:rPr>
      </w:pPr>
    </w:p>
    <w:p>
      <w:pPr>
        <w:ind w:left="80" w:right="2619" w:firstLine="527"/>
        <w:spacing w:after="0" w:line="246" w:lineRule="auto"/>
        <w:rPr>
          <w:sz w:val="20"/>
          <w:szCs w:val="20"/>
          <w:color w:val="auto"/>
        </w:rPr>
      </w:pPr>
      <w:r>
        <w:rPr>
          <w:rFonts w:ascii="Courier New" w:cs="Courier New" w:eastAsia="Courier New" w:hAnsi="Courier New"/>
          <w:sz w:val="18"/>
          <w:szCs w:val="18"/>
          <w:color w:val="auto"/>
        </w:rPr>
        <w:t>2.16 Litigation. Schedule 2.16 hereto lists all currently pending litigation and governmental or administrative proceedings or investigations to which Seller is a party. Except for matters described in Schedule 2.16, there is no litigation or governmental or administrative proceeding or investigation pending or, to Seller's best knowledge, threatened against Seller or any affiliate of Seller which may have any adverse effect on Seller's properties, assets, prospects, financial condition or business or which would prevent or hinder the consummation of the transactions contemplated by this Agreement. With respect to each matter set forth therein, Schedule 2.16 sets forth a description of the matter, the forum (if any) in which it is being conducted, the parties thereto, and the type and amount of relief sought.</w:t>
      </w:r>
    </w:p>
    <w:p>
      <w:pPr>
        <w:spacing w:after="0" w:line="106" w:lineRule="exact"/>
        <w:rPr>
          <w:sz w:val="20"/>
          <w:szCs w:val="20"/>
          <w:color w:val="auto"/>
        </w:rPr>
      </w:pPr>
    </w:p>
    <w:p>
      <w:pPr>
        <w:ind w:left="80" w:right="2619" w:firstLine="527"/>
        <w:spacing w:after="0" w:line="283" w:lineRule="auto"/>
        <w:rPr>
          <w:sz w:val="20"/>
          <w:szCs w:val="20"/>
          <w:color w:val="auto"/>
        </w:rPr>
      </w:pPr>
      <w:r>
        <w:rPr>
          <w:rFonts w:ascii="Courier New" w:cs="Courier New" w:eastAsia="Courier New" w:hAnsi="Courier New"/>
          <w:sz w:val="16"/>
          <w:szCs w:val="16"/>
          <w:color w:val="auto"/>
        </w:rPr>
        <w:t>2.17 Compliance with Laws. Except as set forth in Schedule 2.17, Seller is in material compliance with all applicable statutes, ordinances, orders, judgments, decrees and rules and regulations promulgated by any foreign, federal, state, municipal or other governmental authority which apply to the Seller or to the conduct of its business except where the failure to comply would not have a material adverse effect on Seller or its business, and Seller has not received written notice or to its best knowledge any other notice of a violation or alleged violation of any such statute, ordinance, order, rule or regulation.</w:t>
      </w:r>
    </w:p>
    <w:p>
      <w:pPr>
        <w:spacing w:after="0" w:line="80" w:lineRule="exact"/>
        <w:rPr>
          <w:sz w:val="20"/>
          <w:szCs w:val="20"/>
          <w:color w:val="auto"/>
        </w:rPr>
      </w:pPr>
    </w:p>
    <w:p>
      <w:pPr>
        <w:ind w:left="80" w:right="2619" w:firstLine="527"/>
        <w:spacing w:after="0" w:line="285" w:lineRule="auto"/>
        <w:rPr>
          <w:sz w:val="20"/>
          <w:szCs w:val="20"/>
          <w:color w:val="auto"/>
        </w:rPr>
      </w:pPr>
      <w:r>
        <w:rPr>
          <w:rFonts w:ascii="Courier New" w:cs="Courier New" w:eastAsia="Courier New" w:hAnsi="Courier New"/>
          <w:sz w:val="16"/>
          <w:szCs w:val="16"/>
          <w:color w:val="auto"/>
        </w:rPr>
        <w:t>2.18 Insurance. The physical properties and assets of Seller are insured to the extent disclosed in Schedule 2.18, and all insurance policies and arrangements of Seller are disclosed in said Schedule. Said insurance policies and arrangements are in full force and effect, all premiums with respect thereto are currently paid, and Seller is in compliance in all material respects with the terms thereof. Said insurance is adequate and customary for the business engaged in by Seller and is sufficient for compliance by Seller with all requirements of law and all agreements and</w:t>
      </w:r>
    </w:p>
    <w:p>
      <w:pPr>
        <w:sectPr>
          <w:pgSz w:w="11900" w:h="16846" w:orient="portrait"/>
          <w:cols w:equalWidth="0" w:num="1">
            <w:col w:w="9019"/>
          </w:cols>
          <w:pgMar w:left="1440" w:top="110" w:right="1440" w:bottom="0" w:gutter="0" w:footer="0" w:header="0"/>
        </w:sectPr>
      </w:pPr>
    </w:p>
    <w:bookmarkStart w:id="48" w:name="page49"/>
    <w:bookmarkEnd w:id="48"/>
    <w:p>
      <w:pPr>
        <w:ind w:left="80"/>
        <w:spacing w:after="0"/>
        <w:rPr>
          <w:sz w:val="20"/>
          <w:szCs w:val="20"/>
          <w:color w:val="auto"/>
        </w:rPr>
      </w:pPr>
      <w:r>
        <w:rPr>
          <w:rFonts w:ascii="Courier New" w:cs="Courier New" w:eastAsia="Courier New" w:hAnsi="Courier New"/>
          <w:sz w:val="18"/>
          <w:szCs w:val="18"/>
          <w:color w:val="auto"/>
        </w:rPr>
        <w:t>leases to which Seller is a party.</w:t>
      </w:r>
    </w:p>
    <w:p>
      <w:pPr>
        <w:spacing w:after="0" w:line="201" w:lineRule="exact"/>
        <w:rPr>
          <w:sz w:val="20"/>
          <w:szCs w:val="20"/>
          <w:color w:val="auto"/>
        </w:rPr>
      </w:pPr>
    </w:p>
    <w:p>
      <w:pPr>
        <w:ind w:left="80" w:right="2619" w:firstLine="527"/>
        <w:spacing w:after="0" w:line="285" w:lineRule="auto"/>
        <w:rPr>
          <w:sz w:val="20"/>
          <w:szCs w:val="20"/>
          <w:color w:val="auto"/>
        </w:rPr>
      </w:pPr>
      <w:r>
        <w:rPr>
          <w:rFonts w:ascii="Courier New" w:cs="Courier New" w:eastAsia="Courier New" w:hAnsi="Courier New"/>
          <w:sz w:val="16"/>
          <w:szCs w:val="16"/>
          <w:color w:val="auto"/>
        </w:rPr>
        <w:t>2.19 Warranty or Other Claims. There are no existing or to Seller's best knowledge threatened product liability or material warranty or other similar claims, or any to Seller's best knowledge facts upon which a material claim of such nature could be based, against Seller for products or services which are defective or fail to meet any product or service warranties except as disclosed in Schedule 2.19. No claim has been asserted against Seller for renegotiation or price redetermination of any business transaction, and there are no facts upon which any such claim could be based.</w:t>
      </w:r>
    </w:p>
    <w:p>
      <w:pPr>
        <w:spacing w:after="0" w:line="76" w:lineRule="exact"/>
        <w:rPr>
          <w:sz w:val="20"/>
          <w:szCs w:val="20"/>
          <w:color w:val="auto"/>
        </w:rPr>
      </w:pPr>
    </w:p>
    <w:p>
      <w:pPr>
        <w:ind w:left="80" w:right="2939" w:firstLine="527"/>
        <w:spacing w:after="0" w:line="265" w:lineRule="auto"/>
        <w:rPr>
          <w:sz w:val="20"/>
          <w:szCs w:val="20"/>
          <w:color w:val="auto"/>
        </w:rPr>
      </w:pPr>
      <w:r>
        <w:rPr>
          <w:rFonts w:ascii="Courier New" w:cs="Courier New" w:eastAsia="Courier New" w:hAnsi="Courier New"/>
          <w:sz w:val="18"/>
          <w:szCs w:val="18"/>
          <w:color w:val="auto"/>
        </w:rPr>
        <w:t>2.20 Finder's Fee. Except as disclosed on Schedule 2.20, neither Seller nor any Stockholder has incurred or become liable for any broker's commission or finder's fee relating to or in connection with the transactions contemplated by this Agreement.</w:t>
      </w:r>
    </w:p>
    <w:p>
      <w:pPr>
        <w:spacing w:after="0" w:line="90" w:lineRule="exact"/>
        <w:rPr>
          <w:sz w:val="20"/>
          <w:szCs w:val="20"/>
          <w:color w:val="auto"/>
        </w:rPr>
      </w:pPr>
    </w:p>
    <w:p>
      <w:pPr>
        <w:ind w:left="80" w:right="2619" w:firstLine="527"/>
        <w:spacing w:after="0" w:line="244" w:lineRule="auto"/>
        <w:rPr>
          <w:sz w:val="20"/>
          <w:szCs w:val="20"/>
          <w:color w:val="auto"/>
        </w:rPr>
      </w:pPr>
      <w:r>
        <w:rPr>
          <w:rFonts w:ascii="Courier New" w:cs="Courier New" w:eastAsia="Courier New" w:hAnsi="Courier New"/>
          <w:sz w:val="18"/>
          <w:szCs w:val="18"/>
          <w:color w:val="auto"/>
        </w:rPr>
        <w:t>2.21 Permits; Burdensome Agreements. Schedule 2.21 lists all permits, registrations, licenses, franchises, certifications and other approvals (collectively, the "Approvals") required from foreign, federal, state or local authorities in order for Seller to conduct its business. Seller has obtained all such Approvals, which to Seller's best knowledge are valid and in full force and effect, and is operating in compliance therewith. To Seller's best knowledge, such Approvals include, but are not limited to, those required under foreign, federal, state or local statutes, ordinances, orders, requirements, rules, regulations, or laws pertaining to environmental protection, public health and safety, worker health and safety, buildings, highways or zoning. Except as disclosed in Schedule 2.21 or in any other Schedule hereto, Seller is not subject to or bound any judgment, decree or order or, to Seller's best knowledge, any agreement or arrangement which may materially and adversely affect the business, its condition, financial or otherwise, or any of the Subject Assets.</w:t>
      </w:r>
    </w:p>
    <w:p>
      <w:pPr>
        <w:spacing w:after="0" w:line="108" w:lineRule="exact"/>
        <w:rPr>
          <w:sz w:val="20"/>
          <w:szCs w:val="20"/>
          <w:color w:val="auto"/>
        </w:rPr>
      </w:pPr>
    </w:p>
    <w:p>
      <w:pPr>
        <w:ind w:left="80" w:right="2619" w:firstLine="527"/>
        <w:spacing w:after="0" w:line="289" w:lineRule="auto"/>
        <w:rPr>
          <w:sz w:val="20"/>
          <w:szCs w:val="20"/>
          <w:color w:val="auto"/>
        </w:rPr>
      </w:pPr>
      <w:r>
        <w:rPr>
          <w:rFonts w:ascii="Courier New" w:cs="Courier New" w:eastAsia="Courier New" w:hAnsi="Courier New"/>
          <w:sz w:val="16"/>
          <w:szCs w:val="16"/>
          <w:color w:val="auto"/>
        </w:rPr>
        <w:t>2.22 Corporate Records. The corporate record books of Seller accurately record all material corporate action taken by its stockholders and board of directors and committees thereof with respect to the Subject Assets and the Assumed Liabilities. Seller has made available for inspection and copying by Buyer and its counsel complete and correct copies of all documents referred to in this Section or in the Schedules delivered to Buyer pursuant to this Agreement.</w:t>
      </w:r>
    </w:p>
    <w:p>
      <w:pPr>
        <w:spacing w:after="0" w:line="77" w:lineRule="exact"/>
        <w:rPr>
          <w:sz w:val="20"/>
          <w:szCs w:val="20"/>
          <w:color w:val="auto"/>
        </w:rPr>
      </w:pPr>
    </w:p>
    <w:p>
      <w:pPr>
        <w:ind w:left="80" w:right="2839" w:firstLine="527"/>
        <w:spacing w:after="0" w:line="250" w:lineRule="auto"/>
        <w:rPr>
          <w:sz w:val="20"/>
          <w:szCs w:val="20"/>
          <w:color w:val="auto"/>
        </w:rPr>
      </w:pPr>
      <w:r>
        <w:rPr>
          <w:rFonts w:ascii="Courier New" w:cs="Courier New" w:eastAsia="Courier New" w:hAnsi="Courier New"/>
          <w:sz w:val="18"/>
          <w:szCs w:val="18"/>
          <w:color w:val="auto"/>
        </w:rPr>
        <w:t>2.23 Transactions with Interested Persons. Except as set forth in Schedule 2.23 hereto, neither Seller, nor any stockholder, officer, supervisory employee or director of Seller or, to the knowledge of Seller, any of their respective spouses or family members owns directly or indirectly on an individual or joint basis any material interest in, or serves as an officer or director or in another similar capacity of, any competitor or supplier of Seller, or any organization which has a contract or arrangement with Seller.</w:t>
      </w:r>
    </w:p>
    <w:p>
      <w:pPr>
        <w:spacing w:after="0" w:line="10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2.24 Employee Benefit Programs.</w:t>
      </w:r>
    </w:p>
    <w:p>
      <w:pPr>
        <w:spacing w:after="0" w:line="201" w:lineRule="exact"/>
        <w:rPr>
          <w:sz w:val="20"/>
          <w:szCs w:val="20"/>
          <w:color w:val="auto"/>
        </w:rPr>
      </w:pPr>
    </w:p>
    <w:p>
      <w:pPr>
        <w:ind w:left="80" w:right="2839" w:firstLine="519"/>
        <w:spacing w:after="0" w:line="292" w:lineRule="auto"/>
        <w:tabs>
          <w:tab w:leader="none" w:pos="113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2.24 lists every Employee Program (as defined below) that has been maintained (as defined below) by Seller at any time.</w:t>
      </w:r>
    </w:p>
    <w:p>
      <w:pPr>
        <w:spacing w:after="0" w:line="66" w:lineRule="exact"/>
        <w:rPr>
          <w:rFonts w:ascii="Courier New" w:cs="Courier New" w:eastAsia="Courier New" w:hAnsi="Courier New"/>
          <w:sz w:val="18"/>
          <w:szCs w:val="18"/>
          <w:color w:val="auto"/>
        </w:rPr>
      </w:pPr>
    </w:p>
    <w:p>
      <w:pPr>
        <w:ind w:left="80" w:right="2619" w:firstLine="519"/>
        <w:spacing w:after="0" w:line="281" w:lineRule="auto"/>
        <w:tabs>
          <w:tab w:leader="none" w:pos="113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Program which has ever been maintained by Seller and which has at any time been intended to qualify under Section 401(a) or 501(c)(9) of the Code has received a favorable determination or approval letter from the Internal Revenue Service ("IRS") regarding its qualification under such section and has, in fact, been continuously qualified under the applicable section of the Code since the effective date of such Employee Program through and including the Closing Date (or, if earlier, the date that all of such Employee Program's assets were distributed). No event or omission has occurred which would cause any such Employee Program to lose its qualification under the applicable Code section.</w:t>
      </w:r>
    </w:p>
    <w:p>
      <w:pPr>
        <w:spacing w:after="0" w:line="289" w:lineRule="exact"/>
        <w:rPr>
          <w:rFonts w:ascii="Courier New" w:cs="Courier New" w:eastAsia="Courier New" w:hAnsi="Courier New"/>
          <w:sz w:val="16"/>
          <w:szCs w:val="16"/>
          <w:color w:val="auto"/>
        </w:rPr>
      </w:pPr>
    </w:p>
    <w:p>
      <w:pPr>
        <w:ind w:left="1120" w:hanging="521"/>
        <w:spacing w:after="0"/>
        <w:tabs>
          <w:tab w:leader="none" w:pos="11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does not know, and has no reason to know,</w:t>
      </w:r>
    </w:p>
    <w:p>
      <w:pPr>
        <w:sectPr>
          <w:pgSz w:w="11900" w:h="16838" w:orient="portrait"/>
          <w:cols w:equalWidth="0" w:num="1">
            <w:col w:w="9019"/>
          </w:cols>
          <w:pgMar w:left="1440" w:top="110" w:right="1440" w:bottom="0" w:gutter="0" w:footer="0" w:header="0"/>
        </w:sectPr>
      </w:pPr>
    </w:p>
    <w:bookmarkStart w:id="49" w:name="page50"/>
    <w:bookmarkEnd w:id="49"/>
    <w:p>
      <w:pPr>
        <w:ind w:left="80" w:right="2619"/>
        <w:spacing w:after="0" w:line="276" w:lineRule="auto"/>
        <w:rPr>
          <w:sz w:val="20"/>
          <w:szCs w:val="20"/>
          <w:color w:val="auto"/>
        </w:rPr>
      </w:pPr>
      <w:r>
        <w:rPr>
          <w:rFonts w:ascii="Courier New" w:cs="Courier New" w:eastAsia="Courier New" w:hAnsi="Courier New"/>
          <w:sz w:val="16"/>
          <w:szCs w:val="16"/>
          <w:color w:val="auto"/>
        </w:rPr>
        <w:t>of any failure of any party to comply with any laws applicable to the Employee Programs that have been maintained by Seller. With respect to any Employee Program ever maintained by Seller, there has occurred no "prohibited transaction," as defined in Section 406 of the Employee Retirement Income Security Act of 1974, as amended ("ERISA"), or Section 4975 of the Code, or breach of any duty under ERISA or other applicable law (including, without limitation, any health care continuation requirements or any other tax law requirements, or conditions to favorable tax treatment, applicable to such Employee Program), which could result, directly or indirectly, in any taxes, penalties or other liability to Buyer (including without limitation through any obligation of indemnification or contribution). No litigation, arbitration, or governmental administrative proceeding (or investigation) or other proceeding (other than those relating to routine claims for benefits) is pending or threatened with respect to any such Employee Program.</w:t>
      </w:r>
    </w:p>
    <w:p>
      <w:pPr>
        <w:spacing w:after="0" w:line="200" w:lineRule="exact"/>
        <w:rPr>
          <w:sz w:val="20"/>
          <w:szCs w:val="20"/>
          <w:color w:val="auto"/>
        </w:rPr>
      </w:pPr>
    </w:p>
    <w:p>
      <w:pPr>
        <w:spacing w:after="0" w:line="308" w:lineRule="exact"/>
        <w:rPr>
          <w:sz w:val="20"/>
          <w:szCs w:val="20"/>
          <w:color w:val="auto"/>
        </w:rPr>
      </w:pPr>
    </w:p>
    <w:p>
      <w:pPr>
        <w:ind w:left="80" w:right="2619" w:firstLine="519"/>
        <w:spacing w:after="0" w:line="275" w:lineRule="auto"/>
        <w:tabs>
          <w:tab w:leader="none" w:pos="1133"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Seller nor any Affiliate has incurred any liability under title IV of ERISA which has not been paid in full prior to the Closing. There has been no "accumulated funding deficiency" (whether or not waived) with respect to any Employee Program ever maintained by Seller or any Affiliate and subject to Code Section 412 or ERISA Section</w:t>
      </w:r>
    </w:p>
    <w:p>
      <w:pPr>
        <w:spacing w:after="0" w:line="1" w:lineRule="exact"/>
        <w:rPr>
          <w:rFonts w:ascii="Courier New" w:cs="Courier New" w:eastAsia="Courier New" w:hAnsi="Courier New"/>
          <w:sz w:val="16"/>
          <w:szCs w:val="16"/>
          <w:color w:val="auto"/>
        </w:rPr>
      </w:pPr>
    </w:p>
    <w:p>
      <w:pPr>
        <w:ind w:left="80" w:right="2619" w:hanging="8"/>
        <w:spacing w:after="0" w:line="272" w:lineRule="auto"/>
        <w:tabs>
          <w:tab w:leader="none" w:pos="71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Employee Program maintained by Seller or an Affiliate and subject to title IV of ERISA, there has been no (nor will be any as a result of the transaction contemplated by this Agreement) (i) "reportable event," within the meaning of ERISA Section 4043, or the regulations thereunder (for which notice the notice requirement is not waived under 29 C.F.R. Part 2615) and (ii) no event or condition which presents a material risk of plan termination or any other event that may cause Seller or any Affiliate to incur liability or have a lien imposed on its assets under title IV of ERISA. All payments and/or contributions required to have been made (under the provisions of any agreements or other governing documents or applicable law) with respect to all Employee Programs ever maintained by Seller or any Affiliate, for all periods prior to the Closing, either have been made or have been accrued (and all such unpaid but accrued amounts are described in Schedule 2.24). Except as described in Schedule 2.24, no Employee Program maintained by the Seller or an Affiliate and subject to title IV of ERISA (other than a Multiemployer Plan) has any "unfunded benefit liabilities" within the meaning of ERISA Section 4001(a) (18), as of the Closing Date. Neither Seller nor any Affiliate has ever maintained a Multiemployer Plan. None of the Employee Programs ever maintained by Seller or any Affiliate has ever provided health care or any other non-pension benefits to any employees after their employment is terminated (other than as required by part 6 of subtitle B of title I of ERISA) or has ever promised to provide such post-termination benefits.</w:t>
      </w:r>
    </w:p>
    <w:p>
      <w:pPr>
        <w:spacing w:after="0" w:line="200" w:lineRule="exact"/>
        <w:rPr>
          <w:rFonts w:ascii="Courier New" w:cs="Courier New" w:eastAsia="Courier New" w:hAnsi="Courier New"/>
          <w:sz w:val="16"/>
          <w:szCs w:val="16"/>
          <w:color w:val="auto"/>
        </w:rPr>
      </w:pPr>
    </w:p>
    <w:p>
      <w:pPr>
        <w:spacing w:after="0" w:line="299" w:lineRule="exact"/>
        <w:rPr>
          <w:rFonts w:ascii="Courier New" w:cs="Courier New" w:eastAsia="Courier New" w:hAnsi="Courier New"/>
          <w:sz w:val="16"/>
          <w:szCs w:val="16"/>
          <w:color w:val="auto"/>
        </w:rPr>
      </w:pPr>
    </w:p>
    <w:p>
      <w:pPr>
        <w:ind w:left="80" w:right="2619" w:firstLine="519"/>
        <w:spacing w:after="0" w:line="243" w:lineRule="auto"/>
        <w:tabs>
          <w:tab w:leader="none" w:pos="1133"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Employee Program maintained by Seller within the three years preceding the Closing, complete and correct copies of the following documents (if applicable to such Employee Program) have previously been delivered to Buyer: (i) all documents embodying or governing such Employee Program, and any funding medium for the Employee Program (including, without limitation, trust agreements) as they may have been amended; (ii) the most recent IRS determination or approval letter with respect to such Employee Program under Code Section 401 or 501(c)(9), and any applications for determination or approval subsequently filed with the IRS; (iii) the three most recently filed IRS Forms 5500, with all applicable schedules and accountants' opinions attached thereto; (iv) the summary plan description for such Employee Program (or other descriptions of such Employee Program provided to employees) and all modifications thereto; (v) any insurance policy (including any fiduciary liability insurance policy) related to such Employee Program; and (vi) any documents evidencing any loan to an Employee Program that is a leveraged employee stock ownership plan.</w:t>
      </w:r>
    </w:p>
    <w:p>
      <w:pPr>
        <w:spacing w:after="0" w:line="121" w:lineRule="exact"/>
        <w:rPr>
          <w:rFonts w:ascii="Courier New" w:cs="Courier New" w:eastAsia="Courier New" w:hAnsi="Courier New"/>
          <w:sz w:val="18"/>
          <w:szCs w:val="18"/>
          <w:color w:val="auto"/>
        </w:rPr>
      </w:pPr>
    </w:p>
    <w:p>
      <w:pPr>
        <w:ind w:left="1120" w:hanging="521"/>
        <w:spacing w:after="0"/>
        <w:tabs>
          <w:tab w:leader="none" w:pos="112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w:t>
      </w:r>
    </w:p>
    <w:p>
      <w:pPr>
        <w:spacing w:after="0" w:line="201" w:lineRule="exact"/>
        <w:rPr>
          <w:sz w:val="20"/>
          <w:szCs w:val="20"/>
          <w:color w:val="auto"/>
        </w:rPr>
      </w:pPr>
    </w:p>
    <w:p>
      <w:pPr>
        <w:ind w:left="600"/>
        <w:spacing w:after="0"/>
        <w:tabs>
          <w:tab w:leader="none" w:pos="1100" w:val="left"/>
        </w:tabs>
        <w:rPr>
          <w:sz w:val="20"/>
          <w:szCs w:val="20"/>
          <w:color w:val="auto"/>
        </w:rPr>
      </w:pPr>
      <w:r>
        <w:rPr>
          <w:rFonts w:ascii="Courier New" w:cs="Courier New" w:eastAsia="Courier New" w:hAnsi="Courier New"/>
          <w:sz w:val="16"/>
          <w:szCs w:val="16"/>
          <w:color w:val="auto"/>
        </w:rPr>
        <w:t>(i)</w:t>
        <w:tab/>
        <w:t>"Employee Program" means (A) all employee benefit</w:t>
      </w:r>
    </w:p>
    <w:p>
      <w:pPr>
        <w:sectPr>
          <w:pgSz w:w="11900" w:h="16838" w:orient="portrait"/>
          <w:cols w:equalWidth="0" w:num="1">
            <w:col w:w="9019"/>
          </w:cols>
          <w:pgMar w:left="1440" w:top="110" w:right="1440" w:bottom="0" w:gutter="0" w:footer="0" w:header="0"/>
        </w:sectPr>
      </w:pPr>
    </w:p>
    <w:bookmarkStart w:id="50" w:name="page51"/>
    <w:bookmarkEnd w:id="50"/>
    <w:p>
      <w:pPr>
        <w:ind w:left="80" w:right="2619"/>
        <w:spacing w:after="0" w:line="246" w:lineRule="auto"/>
        <w:rPr>
          <w:sz w:val="20"/>
          <w:szCs w:val="20"/>
          <w:color w:val="auto"/>
        </w:rPr>
      </w:pPr>
      <w:r>
        <w:rPr>
          <w:rFonts w:ascii="Courier New" w:cs="Courier New" w:eastAsia="Courier New" w:hAnsi="Courier New"/>
          <w:sz w:val="18"/>
          <w:szCs w:val="18"/>
          <w:color w:val="auto"/>
        </w:rPr>
        <w:t>plans within the meaning of ERISA Section 3(3), including, but not limited to, multiple employer welfare arrangements (within the meaning of ERISA Section 3(4)), plans to which more than one unaffiliated employer contributes and employee benefit plans (such as foreign or excess benefit plans) which are not subject to ERISA; and (B) all stock or cash option plans, restricted stock plans, bonus or incentive award plans, severance pay policies or agreements, deferred compensation agreements, supplemental income arrangements, vacation plans, and all other employee benefit plans, agreements, and arrangements not described in (A) above. In the case of an Employee Program funded through an organization described in Code Section 501(c)(9), each reference to such Employee Program shall include a reference to such organization.</w:t>
      </w:r>
    </w:p>
    <w:p>
      <w:pPr>
        <w:spacing w:after="0" w:line="106" w:lineRule="exact"/>
        <w:rPr>
          <w:sz w:val="20"/>
          <w:szCs w:val="20"/>
          <w:color w:val="auto"/>
        </w:rPr>
      </w:pPr>
    </w:p>
    <w:p>
      <w:pPr>
        <w:ind w:left="80" w:right="2619" w:firstLine="519"/>
        <w:spacing w:after="0" w:line="253" w:lineRule="auto"/>
        <w:tabs>
          <w:tab w:leader="none" w:pos="113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entity "maintains" an Employee Program if such entity sponsors, contributes to, or provides (or has promised to provide) benefits under such Employee Program, or has any obligation (by agreement or under applicable law) to contribute to or provide benefits under such Employee Program, or if such Employee Program provides benefits to or otherwise covers employees of such entity, or their spouses, dependents, or beneficiaries.</w:t>
      </w:r>
    </w:p>
    <w:p>
      <w:pPr>
        <w:spacing w:after="0" w:line="103" w:lineRule="exact"/>
        <w:rPr>
          <w:rFonts w:ascii="Courier New" w:cs="Courier New" w:eastAsia="Courier New" w:hAnsi="Courier New"/>
          <w:sz w:val="18"/>
          <w:szCs w:val="18"/>
          <w:color w:val="auto"/>
        </w:rPr>
      </w:pPr>
    </w:p>
    <w:p>
      <w:pPr>
        <w:ind w:left="80" w:right="2839" w:firstLine="519"/>
        <w:spacing w:after="0" w:line="265" w:lineRule="auto"/>
        <w:tabs>
          <w:tab w:leader="none" w:pos="16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entity is an "Affiliate" of Seller if it would have ever been considered a single employer with Seller under ERISA Section 4001(b) or part of the same "controlled group" as Seller for purposes of ERISA Section 302(d)(8)(C).</w:t>
      </w:r>
    </w:p>
    <w:p>
      <w:pPr>
        <w:spacing w:after="0" w:line="89" w:lineRule="exact"/>
        <w:rPr>
          <w:rFonts w:ascii="Courier New" w:cs="Courier New" w:eastAsia="Courier New" w:hAnsi="Courier New"/>
          <w:sz w:val="18"/>
          <w:szCs w:val="18"/>
          <w:color w:val="auto"/>
        </w:rPr>
      </w:pPr>
    </w:p>
    <w:p>
      <w:pPr>
        <w:ind w:left="80" w:right="2619" w:firstLine="519"/>
        <w:spacing w:after="0" w:line="274" w:lineRule="auto"/>
        <w:tabs>
          <w:tab w:leader="none" w:pos="113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"Multiemployer Plan" means a (pension or non-pension) employee benefit plan to which more than one employer contributes and which is maintained pursuant to one or more collective bargaining agreements.</w:t>
      </w:r>
    </w:p>
    <w:p>
      <w:pPr>
        <w:spacing w:after="0" w:line="8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2.25 Environmental Matters.</w:t>
      </w:r>
    </w:p>
    <w:p>
      <w:pPr>
        <w:spacing w:after="0" w:line="201" w:lineRule="exact"/>
        <w:rPr>
          <w:sz w:val="20"/>
          <w:szCs w:val="20"/>
          <w:color w:val="auto"/>
        </w:rPr>
      </w:pPr>
    </w:p>
    <w:p>
      <w:pPr>
        <w:ind w:left="80" w:right="2619" w:firstLine="519"/>
        <w:spacing w:after="0" w:line="273" w:lineRule="auto"/>
        <w:tabs>
          <w:tab w:leader="none" w:pos="113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2.25 (and except for the use of minor amounts of materials (such as cleaning or pest control materials) for general housekeeping purposes and not in violation of any applicable Environmental Laws), with respect to the Leased Real Property only, (i) Seller has never generated, transported, used, stored, treated, disposed of, or managed any Hazardous Waste (as defined below); (ii) no Hazardous Material (as defined below) has ever been or is threatened to be spilled, released, or disposed of at any such site presently, operated, leased, or used by Seller, or has ever been located in the soil or groundwater at any such site; (iii) no Hazardous Material has ever been transported from any such site presently, operated, leased, or used by Seller for treatment, storage, or disposal at any other place. Notwithstanding the foregoing, each of the foregoing representations in this paragraph (a) shall be deemed to be solely to Seller's best knowledge with respect to matters arising prior to Seller's use of the site or as a result of the actions of persons other than Seller, its employees or agents, or persons under its control or supervision. Nothing has come to Seller's attention to cause Seller to believe that it presently owns, operates, leases, or uses any site on which underground storage tanks are or were located except for the Lynn Headquarters. There is no lien currently imposed by any governmental agency as a result of Seller's action on any property, facility, machinery, or equipment owned, operated, leased, or used by Seller in connection with the presence of any Hazardous Material.</w:t>
      </w:r>
    </w:p>
    <w:p>
      <w:pPr>
        <w:spacing w:after="0" w:line="200" w:lineRule="exact"/>
        <w:rPr>
          <w:rFonts w:ascii="Courier New" w:cs="Courier New" w:eastAsia="Courier New" w:hAnsi="Courier New"/>
          <w:sz w:val="16"/>
          <w:szCs w:val="16"/>
          <w:color w:val="auto"/>
        </w:rPr>
      </w:pPr>
    </w:p>
    <w:p>
      <w:pPr>
        <w:spacing w:after="0" w:line="310" w:lineRule="exact"/>
        <w:rPr>
          <w:rFonts w:ascii="Courier New" w:cs="Courier New" w:eastAsia="Courier New" w:hAnsi="Courier New"/>
          <w:sz w:val="16"/>
          <w:szCs w:val="16"/>
          <w:color w:val="auto"/>
        </w:rPr>
      </w:pPr>
    </w:p>
    <w:p>
      <w:pPr>
        <w:ind w:left="80" w:right="2619" w:firstLine="519"/>
        <w:spacing w:after="0" w:line="281" w:lineRule="auto"/>
        <w:tabs>
          <w:tab w:leader="none" w:pos="113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2.25, with respect to the Leased Real Property only, (i) to Seller's best knowledge, Seller has no liability under, nor has it ever violated, any Environmental Law (as defined below); (ii) Seller, any property, operated, leased, or used by Seller, and any facilities and operations thereon are presently in compliance with all applicable Environmental Laws; (iii) Seller has never entered into or been subject to any judgment, consent decree, compliance order, or administrative order with respect to any environmental or health and safety matter or received any request for information, notice, demand letter, administrative inquiry, or formal or informal complaint or claim with respect to any</w:t>
      </w:r>
    </w:p>
    <w:p>
      <w:pPr>
        <w:sectPr>
          <w:pgSz w:w="11900" w:h="16838" w:orient="portrait"/>
          <w:cols w:equalWidth="0" w:num="1">
            <w:col w:w="9019"/>
          </w:cols>
          <w:pgMar w:left="1440" w:top="110" w:right="1440" w:bottom="0" w:gutter="0" w:footer="0" w:header="0"/>
        </w:sectPr>
      </w:pPr>
    </w:p>
    <w:bookmarkStart w:id="51" w:name="page52"/>
    <w:bookmarkEnd w:id="51"/>
    <w:p>
      <w:pPr>
        <w:ind w:left="80" w:right="2619"/>
        <w:spacing w:after="0" w:line="282" w:lineRule="auto"/>
        <w:rPr>
          <w:sz w:val="20"/>
          <w:szCs w:val="20"/>
          <w:color w:val="auto"/>
        </w:rPr>
      </w:pPr>
      <w:r>
        <w:rPr>
          <w:rFonts w:ascii="Courier New" w:cs="Courier New" w:eastAsia="Courier New" w:hAnsi="Courier New"/>
          <w:sz w:val="16"/>
          <w:szCs w:val="16"/>
          <w:color w:val="auto"/>
        </w:rPr>
        <w:t>environmental or health and safety matter or the enforcement of any Environmental Law; and (iv) Seller has no knowledge or reason to know that any of the items enumerated in clause</w:t>
      </w:r>
    </w:p>
    <w:p>
      <w:pPr>
        <w:spacing w:after="0" w:line="1" w:lineRule="exact"/>
        <w:rPr>
          <w:sz w:val="20"/>
          <w:szCs w:val="20"/>
          <w:color w:val="auto"/>
        </w:rPr>
      </w:pPr>
    </w:p>
    <w:p>
      <w:pPr>
        <w:ind w:left="700" w:hanging="628"/>
        <w:spacing w:after="0"/>
        <w:tabs>
          <w:tab w:leader="none" w:pos="70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subsection will be forthcoming.</w:t>
      </w:r>
    </w:p>
    <w:p>
      <w:pPr>
        <w:spacing w:after="0" w:line="169" w:lineRule="exact"/>
        <w:rPr>
          <w:rFonts w:ascii="Courier New" w:cs="Courier New" w:eastAsia="Courier New" w:hAnsi="Courier New"/>
          <w:sz w:val="18"/>
          <w:szCs w:val="18"/>
          <w:color w:val="auto"/>
        </w:rPr>
      </w:pPr>
    </w:p>
    <w:p>
      <w:pPr>
        <w:ind w:left="80" w:right="2619" w:firstLine="519"/>
        <w:spacing w:after="0" w:line="298" w:lineRule="auto"/>
        <w:tabs>
          <w:tab w:leader="none" w:pos="1133"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Seller's best knowledge, except as set forth in Schedule 2.25 hereto with respect to the Leased Real Property only, no site, operated, leased, or used by Seller contains any asbestos or asbestos-containing material, any polychlorinated biphenyls (PCBs) or equipment containing PCBs, or any urea formaldehyde foam insulation.</w:t>
      </w:r>
    </w:p>
    <w:p>
      <w:pPr>
        <w:spacing w:after="0" w:line="67" w:lineRule="exact"/>
        <w:rPr>
          <w:rFonts w:ascii="Courier New" w:cs="Courier New" w:eastAsia="Courier New" w:hAnsi="Courier New"/>
          <w:sz w:val="16"/>
          <w:szCs w:val="16"/>
          <w:color w:val="auto"/>
        </w:rPr>
      </w:pPr>
    </w:p>
    <w:p>
      <w:pPr>
        <w:ind w:left="80" w:right="2619" w:firstLine="519"/>
        <w:spacing w:after="0" w:line="281" w:lineRule="auto"/>
        <w:tabs>
          <w:tab w:leader="none" w:pos="1133"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provided to Buyer copies of all documents, records, and information in Seller's possession or in the possession of any agent or representative of Seller or any information otherwise known to Seller concerning any environmental or health and safety matter relevant to Seller, whether generated by Seller or others, including, without limitation, environmental audits, environmental risk assessments, site assessments, documentation regarding off-site disposal of Hazardous Materials, spill control plans, and reports, correspondence, permits, licenses, approvals, consents, and other authorizations related to environmental or health and safety matters issued by any governmental agency.</w:t>
      </w:r>
    </w:p>
    <w:p>
      <w:pPr>
        <w:spacing w:after="0" w:line="289" w:lineRule="exact"/>
        <w:rPr>
          <w:rFonts w:ascii="Courier New" w:cs="Courier New" w:eastAsia="Courier New" w:hAnsi="Courier New"/>
          <w:sz w:val="16"/>
          <w:szCs w:val="16"/>
          <w:color w:val="auto"/>
        </w:rPr>
      </w:pPr>
    </w:p>
    <w:p>
      <w:pPr>
        <w:ind w:left="80" w:right="2619" w:firstLine="519"/>
        <w:spacing w:after="0" w:line="245" w:lineRule="auto"/>
        <w:tabs>
          <w:tab w:leader="none" w:pos="1133"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2.25, (i) "Hazardous Material" shall mean and include any hazardous waste, hazardous material, hazardous substance, petroleum product, oil, toxic substance, pollutant, contaminant, or other substance which may pose a threat to the environment or to human health or safety, as defined or regulated under any Environmental Law; (ii) "Hazardous Waste" shall mean and include any hazardous waste as defined or regulated under any Environmental Law; (iii) "Environmental Law" shall mean any environmental or health and safety-related law, regulation, rule, ordinance, or by-law at the federal, state, or local level, whether existing as of the date hereof or previously enforced; and (iv) "Seller" shall mean and include Seller and all other entities for whose conduct Seller is or may be held responsible under any Environmental Law.</w:t>
      </w:r>
    </w:p>
    <w:p>
      <w:pPr>
        <w:spacing w:after="0" w:line="113" w:lineRule="exact"/>
        <w:rPr>
          <w:sz w:val="20"/>
          <w:szCs w:val="20"/>
          <w:color w:val="auto"/>
        </w:rPr>
      </w:pPr>
    </w:p>
    <w:p>
      <w:pPr>
        <w:ind w:left="80" w:right="2619" w:firstLine="527"/>
        <w:spacing w:after="0" w:line="256" w:lineRule="auto"/>
        <w:rPr>
          <w:sz w:val="20"/>
          <w:szCs w:val="20"/>
          <w:color w:val="auto"/>
        </w:rPr>
      </w:pPr>
      <w:r>
        <w:rPr>
          <w:rFonts w:ascii="Courier New" w:cs="Courier New" w:eastAsia="Courier New" w:hAnsi="Courier New"/>
          <w:sz w:val="18"/>
          <w:szCs w:val="18"/>
          <w:color w:val="auto"/>
        </w:rPr>
        <w:t>2.26 Directors and Officers. Schedule 2.26 contains a true and complete list of all current directors and officers of Seller. In addition, Schedule 2.26 contains a list of all managers, employees and consultants of Seller who are employed by Seller as of the date hereof. In each case such Schedule includes the current job title and aggregate annual compensation of each such individual.</w:t>
      </w:r>
    </w:p>
    <w:p>
      <w:pPr>
        <w:spacing w:after="0" w:line="98" w:lineRule="exact"/>
        <w:rPr>
          <w:sz w:val="20"/>
          <w:szCs w:val="20"/>
          <w:color w:val="auto"/>
        </w:rPr>
      </w:pPr>
    </w:p>
    <w:p>
      <w:pPr>
        <w:ind w:left="80" w:right="2739" w:firstLine="527"/>
        <w:spacing w:after="0" w:line="252" w:lineRule="auto"/>
        <w:rPr>
          <w:sz w:val="20"/>
          <w:szCs w:val="20"/>
          <w:color w:val="auto"/>
        </w:rPr>
      </w:pPr>
      <w:r>
        <w:rPr>
          <w:rFonts w:ascii="Courier New" w:cs="Courier New" w:eastAsia="Courier New" w:hAnsi="Courier New"/>
          <w:sz w:val="18"/>
          <w:szCs w:val="18"/>
          <w:color w:val="auto"/>
        </w:rPr>
        <w:t>2.27 Disclosure. The representations, warranties and statements contained in the certificates, exhibits and schedules delivered by Seller pursuant to this Agreement to Designs and Buyer do not contain any untrue statement of a material fact, and, when taken together, do not omit to state a material fact required to be stated therein or necessary in order to make such representations, warranties or statements not misleading in light of the circumstances under which they were made.</w:t>
      </w:r>
    </w:p>
    <w:p>
      <w:pPr>
        <w:spacing w:after="0" w:line="99" w:lineRule="exact"/>
        <w:rPr>
          <w:sz w:val="20"/>
          <w:szCs w:val="20"/>
          <w:color w:val="auto"/>
        </w:rPr>
      </w:pPr>
    </w:p>
    <w:p>
      <w:pPr>
        <w:ind w:left="80" w:right="2619" w:firstLine="527"/>
        <w:spacing w:after="0" w:line="276" w:lineRule="auto"/>
        <w:rPr>
          <w:sz w:val="20"/>
          <w:szCs w:val="20"/>
          <w:color w:val="auto"/>
        </w:rPr>
      </w:pPr>
      <w:r>
        <w:rPr>
          <w:rFonts w:ascii="Courier New" w:cs="Courier New" w:eastAsia="Courier New" w:hAnsi="Courier New"/>
          <w:sz w:val="16"/>
          <w:szCs w:val="16"/>
          <w:color w:val="auto"/>
        </w:rPr>
        <w:t>2.28 Employees; Labor Matters. Seller employs approximately 80 salaried employees and 180 hourly employees and generally enjoys a good employer-employee relationships. Seller is not delinquent in payments to any of its employees for any wages, salaries, commissions, bonuses or other direct compensation for any services performed for it to the date hereof or amounts required to be reimbursed to such employees. Upon termination of the employment of any of said employees, neither Seller nor Buyer will by reason of the acquisition transaction or anything done prior to the Closing be liable to any of said employees for so-called "severance pay" or any other payments, except as set forth in Schedule 2.28. Seller does not have any policy, practice, plan or program of paying severance pay or any form of severance compensation in connection with the termination of employment, except as set forth in said Schedule. To Seller's best knowledge, Seller is in compliance with all applicable laws and regulations respecting labor, employment, fair employment practices, work place safety and health, terms and conditions of</w:t>
      </w:r>
    </w:p>
    <w:p>
      <w:pPr>
        <w:sectPr>
          <w:pgSz w:w="11900" w:h="16838" w:orient="portrait"/>
          <w:cols w:equalWidth="0" w:num="1">
            <w:col w:w="9019"/>
          </w:cols>
          <w:pgMar w:left="1440" w:top="110" w:right="1440" w:bottom="54" w:gutter="0" w:footer="0" w:header="0"/>
        </w:sectPr>
      </w:pPr>
    </w:p>
    <w:bookmarkStart w:id="52" w:name="page53"/>
    <w:bookmarkEnd w:id="52"/>
    <w:p>
      <w:pPr>
        <w:spacing w:after="0" w:line="31" w:lineRule="exact"/>
        <w:rPr>
          <w:sz w:val="20"/>
          <w:szCs w:val="20"/>
          <w:color w:val="auto"/>
        </w:rPr>
      </w:pPr>
    </w:p>
    <w:p>
      <w:pPr>
        <w:ind w:left="80" w:right="2619"/>
        <w:spacing w:after="0" w:line="273" w:lineRule="auto"/>
        <w:rPr>
          <w:sz w:val="20"/>
          <w:szCs w:val="20"/>
          <w:color w:val="auto"/>
        </w:rPr>
      </w:pPr>
      <w:r>
        <w:rPr>
          <w:rFonts w:ascii="Courier New" w:cs="Courier New" w:eastAsia="Courier New" w:hAnsi="Courier New"/>
          <w:sz w:val="16"/>
          <w:szCs w:val="16"/>
          <w:color w:val="auto"/>
        </w:rPr>
        <w:t>employment, and wages and hours. Except as disclosed on Schedule 2.28, there are no written charges and to Seller's best knowledge other charges of employment discrimination or unfair labor practices, nor are there any strikes, slowdowns, stoppages of work, or any other concerted interference with normal operations existing, pending or to Seller's best knowledge threatened against or involving Seller. No question concerning representation (i.e., union organizing efforts or petitions to unionize) exists respecting any group of employees of Seller. There are no written grievances, complaints or charges that have been filed against Seller, or to Seller's best knowledge other grievances, complaints or charges, under any dispute resolution procedure (including, but not limited to, any proceedings under any dispute resolution procedure under any collective bargaining agreement) that might have an adverse effect on Seller or the conduct of its business and no arbitration or similar proceeding is pending and to Seller's best knowledge no claim therefor has been asserted. No collective bargaining agreement is in effect or is currently being or is about to be negotiated by Seller. Seller has received no written notice nor to Seller's best knowledge any other notice or information to indicate that any of its employment policies or practices is currently being audited or investigated by any federal, state or local government agency. Seller is, and at all times since November 6, 1986 has been, in material compliance with the requirements of the Immigration Reform Control Act of 1986.</w:t>
      </w:r>
    </w:p>
    <w:p>
      <w:pPr>
        <w:spacing w:after="0" w:line="200" w:lineRule="exact"/>
        <w:rPr>
          <w:sz w:val="20"/>
          <w:szCs w:val="20"/>
          <w:color w:val="auto"/>
        </w:rPr>
      </w:pPr>
    </w:p>
    <w:p>
      <w:pPr>
        <w:spacing w:after="0" w:line="314" w:lineRule="exact"/>
        <w:rPr>
          <w:sz w:val="20"/>
          <w:szCs w:val="20"/>
          <w:color w:val="auto"/>
        </w:rPr>
      </w:pPr>
    </w:p>
    <w:p>
      <w:pPr>
        <w:ind w:left="600"/>
        <w:spacing w:after="0"/>
        <w:tabs>
          <w:tab w:leader="none" w:pos="5320" w:val="left"/>
        </w:tabs>
        <w:rPr>
          <w:sz w:val="20"/>
          <w:szCs w:val="20"/>
          <w:color w:val="auto"/>
        </w:rPr>
      </w:pPr>
      <w:r>
        <w:rPr>
          <w:rFonts w:ascii="Courier New" w:cs="Courier New" w:eastAsia="Courier New" w:hAnsi="Courier New"/>
          <w:sz w:val="18"/>
          <w:szCs w:val="18"/>
          <w:color w:val="auto"/>
        </w:rPr>
        <w:t>2.29 Customers, Distributors and Suppliers.</w:t>
      </w:r>
      <w:r>
        <w:rPr>
          <w:sz w:val="20"/>
          <w:szCs w:val="20"/>
          <w:color w:val="auto"/>
        </w:rPr>
        <w:tab/>
      </w:r>
      <w:r>
        <w:rPr>
          <w:rFonts w:ascii="Courier New" w:cs="Courier New" w:eastAsia="Courier New" w:hAnsi="Courier New"/>
          <w:sz w:val="16"/>
          <w:szCs w:val="16"/>
          <w:color w:val="auto"/>
        </w:rPr>
        <w:t>Schedule</w:t>
      </w:r>
    </w:p>
    <w:p>
      <w:pPr>
        <w:spacing w:after="0" w:line="31" w:lineRule="exact"/>
        <w:rPr>
          <w:sz w:val="20"/>
          <w:szCs w:val="20"/>
          <w:color w:val="auto"/>
        </w:rPr>
      </w:pPr>
    </w:p>
    <w:p>
      <w:pPr>
        <w:ind w:left="80" w:right="2619"/>
        <w:spacing w:after="0" w:line="272" w:lineRule="auto"/>
        <w:rPr>
          <w:sz w:val="20"/>
          <w:szCs w:val="20"/>
          <w:color w:val="auto"/>
        </w:rPr>
      </w:pPr>
      <w:r>
        <w:rPr>
          <w:rFonts w:ascii="Courier New" w:cs="Courier New" w:eastAsia="Courier New" w:hAnsi="Courier New"/>
          <w:sz w:val="16"/>
          <w:szCs w:val="16"/>
          <w:color w:val="auto"/>
        </w:rPr>
        <w:t>2.29 sets forth any customer, representative or distributor (whether pursuant to a commission, royalty or other arrangement) who accounts for more than one percent (1%) of the sales of Seller for the twelve months ended February 28, 1995 (collectively, the "Customers and Distributors"). Seller has made available for inspection by Buyer prior to the date hereof the cash disbursement journal of Seller for the twelve month period ended February 28, 1995, and such cash disbursement journal reflects a true and complete list of the suppliers to Seller of goods or procurement/sourcing related services to whom during such period Seller made payments aggregating $10,000 or more (the "Suppliers"). Except as disclosed on Schedule 2.29 and to Seller's best knowledge, the relationships of Seller with its Customers, Distributors and Suppliers are good commercial working relationships. No Customer, Distributor or Supplier of Seller has canceled, materially modified, or otherwise terminated its relationship with Seller, or has during said period decreased materially its usage or purchase of the services or products of Seller or its services, supplies or materials furnished to Seller other than as a result of normal seasonal variations, nor does any Customer, Distributor or Supplier have, to Seller's best knowledge, any plan or intention to do any of the foregoing. Seller has consulted with Buyer during the period between March 9, 1995 and the date hereof with respect to any orders Seller has made for General Order Merchandise.</w:t>
      </w:r>
    </w:p>
    <w:p>
      <w:pPr>
        <w:spacing w:after="0" w:line="200" w:lineRule="exact"/>
        <w:rPr>
          <w:sz w:val="20"/>
          <w:szCs w:val="20"/>
          <w:color w:val="auto"/>
        </w:rPr>
      </w:pPr>
    </w:p>
    <w:p>
      <w:pPr>
        <w:spacing w:after="0" w:line="305" w:lineRule="exact"/>
        <w:rPr>
          <w:sz w:val="20"/>
          <w:szCs w:val="20"/>
          <w:color w:val="auto"/>
        </w:rPr>
      </w:pPr>
    </w:p>
    <w:p>
      <w:pPr>
        <w:ind w:left="80" w:right="2619" w:firstLine="527"/>
        <w:spacing w:after="0" w:line="244" w:lineRule="auto"/>
        <w:rPr>
          <w:sz w:val="20"/>
          <w:szCs w:val="20"/>
          <w:color w:val="auto"/>
        </w:rPr>
      </w:pPr>
      <w:r>
        <w:rPr>
          <w:rFonts w:ascii="Courier New" w:cs="Courier New" w:eastAsia="Courier New" w:hAnsi="Courier New"/>
          <w:sz w:val="18"/>
          <w:szCs w:val="18"/>
          <w:color w:val="auto"/>
        </w:rPr>
        <w:t>2.30 Customs Liability. Except as set forth on Schedule 2.30 hereto, Seller has not received any written notice or to Seller's best knowledge any other notice of any administrative proceedings or claims or court cases involving the right of Seller to file entries and obtain release of merchandise from the U.S. Customs Service or any other foreign or domestic governmental agency or any liability of Seller for customs tariffs, taxes under the Code, duties or other governmental charges, fees or exactions, any liquidated damage claims and/or penalties and/or interest charges and/or any unliquidated entries whether from the United States government or foreign governments relating or arising out of importation of goods into or exportation of goods out of the United States or the exporting out of or into any foreign markets. Except as set forth on Schedule 2.30 hereto with respect to certain identified shipments of goods, Seller has no liability with respect to customs assists.</w:t>
      </w:r>
    </w:p>
    <w:p>
      <w:pPr>
        <w:spacing w:after="0" w:line="117" w:lineRule="exact"/>
        <w:rPr>
          <w:sz w:val="20"/>
          <w:szCs w:val="20"/>
          <w:color w:val="auto"/>
        </w:rPr>
      </w:pPr>
    </w:p>
    <w:p>
      <w:pPr>
        <w:ind w:left="80" w:right="2739" w:firstLine="527"/>
        <w:spacing w:after="0" w:line="318" w:lineRule="auto"/>
        <w:rPr>
          <w:sz w:val="20"/>
          <w:szCs w:val="20"/>
          <w:color w:val="auto"/>
        </w:rPr>
      </w:pPr>
      <w:r>
        <w:rPr>
          <w:rFonts w:ascii="Courier New" w:cs="Courier New" w:eastAsia="Courier New" w:hAnsi="Courier New"/>
          <w:sz w:val="16"/>
          <w:szCs w:val="16"/>
          <w:color w:val="auto"/>
        </w:rPr>
        <w:t>2.31 Foreign Corrupt Practices Act. Seller has reviewed its practices and policies, and neither Seller nor any officer, director nor employee or to Seller's best knowledge any agent of Seller has engaged in the past or is</w:t>
      </w:r>
    </w:p>
    <w:p>
      <w:pPr>
        <w:sectPr>
          <w:pgSz w:w="11900" w:h="16870" w:orient="portrait"/>
          <w:cols w:equalWidth="0" w:num="1">
            <w:col w:w="9019"/>
          </w:cols>
          <w:pgMar w:left="1440" w:top="110" w:right="1440" w:bottom="0" w:gutter="0" w:footer="0" w:header="0"/>
        </w:sectPr>
      </w:pPr>
    </w:p>
    <w:bookmarkStart w:id="53" w:name="page54"/>
    <w:bookmarkEnd w:id="53"/>
    <w:p>
      <w:pPr>
        <w:spacing w:after="0" w:line="31" w:lineRule="exact"/>
        <w:rPr>
          <w:sz w:val="20"/>
          <w:szCs w:val="20"/>
          <w:color w:val="auto"/>
        </w:rPr>
      </w:pPr>
    </w:p>
    <w:p>
      <w:pPr>
        <w:ind w:left="80" w:right="2619"/>
        <w:spacing w:after="0" w:line="260" w:lineRule="auto"/>
        <w:rPr>
          <w:sz w:val="20"/>
          <w:szCs w:val="20"/>
          <w:color w:val="auto"/>
        </w:rPr>
      </w:pPr>
      <w:r>
        <w:rPr>
          <w:rFonts w:ascii="Courier New" w:cs="Courier New" w:eastAsia="Courier New" w:hAnsi="Courier New"/>
          <w:sz w:val="18"/>
          <w:szCs w:val="18"/>
          <w:color w:val="auto"/>
        </w:rPr>
        <w:t>currently engaged in any act or practice which would constitute a violation of the Foreign Corrupt Practices Act of 1977, as amended, or any rules or regulations promulgated thereunder, and none of the terms of the purchase orders for any of the General Order Merchandise is in violation of such Act or its rules or regulations.</w:t>
      </w:r>
    </w:p>
    <w:p>
      <w:pPr>
        <w:spacing w:after="0" w:line="93" w:lineRule="exact"/>
        <w:rPr>
          <w:sz w:val="20"/>
          <w:szCs w:val="20"/>
          <w:color w:val="auto"/>
        </w:rPr>
      </w:pPr>
    </w:p>
    <w:p>
      <w:pPr>
        <w:ind w:left="180"/>
        <w:spacing w:after="0"/>
        <w:tabs>
          <w:tab w:leader="none" w:pos="174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COVENANTS OF SELLER AND THE STOCKHOLDERS.</w:t>
      </w:r>
    </w:p>
    <w:p>
      <w:pPr>
        <w:spacing w:after="0" w:line="201" w:lineRule="exact"/>
        <w:rPr>
          <w:sz w:val="20"/>
          <w:szCs w:val="20"/>
          <w:color w:val="auto"/>
        </w:rPr>
      </w:pPr>
    </w:p>
    <w:p>
      <w:pPr>
        <w:ind w:left="80" w:right="2939" w:firstLine="527"/>
        <w:spacing w:after="0" w:line="292" w:lineRule="auto"/>
        <w:rPr>
          <w:sz w:val="20"/>
          <w:szCs w:val="20"/>
          <w:color w:val="auto"/>
        </w:rPr>
      </w:pPr>
      <w:r>
        <w:rPr>
          <w:rFonts w:ascii="Courier New" w:cs="Courier New" w:eastAsia="Courier New" w:hAnsi="Courier New"/>
          <w:sz w:val="18"/>
          <w:szCs w:val="18"/>
          <w:color w:val="auto"/>
        </w:rPr>
        <w:t>3.1 Making of Covenants and Agreements. Seller and the Stockholders hereby jointly and severally make the covenants and agreements set forth in this Section 3.</w:t>
      </w:r>
    </w:p>
    <w:p>
      <w:pPr>
        <w:spacing w:after="0" w:line="66" w:lineRule="exact"/>
        <w:rPr>
          <w:sz w:val="20"/>
          <w:szCs w:val="20"/>
          <w:color w:val="auto"/>
        </w:rPr>
      </w:pPr>
    </w:p>
    <w:p>
      <w:pPr>
        <w:ind w:left="600"/>
        <w:spacing w:after="0"/>
        <w:tabs>
          <w:tab w:leader="none" w:pos="1100" w:val="left"/>
          <w:tab w:leader="none" w:pos="3420" w:val="left"/>
        </w:tabs>
        <w:rPr>
          <w:sz w:val="20"/>
          <w:szCs w:val="20"/>
          <w:color w:val="auto"/>
        </w:rPr>
      </w:pPr>
      <w:r>
        <w:rPr>
          <w:rFonts w:ascii="Courier New" w:cs="Courier New" w:eastAsia="Courier New" w:hAnsi="Courier New"/>
          <w:sz w:val="18"/>
          <w:szCs w:val="18"/>
          <w:color w:val="auto"/>
        </w:rPr>
        <w:t>3.2</w:t>
        <w:tab/>
        <w:t>Conduct of Business.</w:t>
      </w:r>
      <w:r>
        <w:rPr>
          <w:sz w:val="20"/>
          <w:szCs w:val="20"/>
          <w:color w:val="auto"/>
        </w:rPr>
        <w:tab/>
      </w:r>
      <w:r>
        <w:rPr>
          <w:rFonts w:ascii="Courier New" w:cs="Courier New" w:eastAsia="Courier New" w:hAnsi="Courier New"/>
          <w:sz w:val="16"/>
          <w:szCs w:val="16"/>
          <w:color w:val="auto"/>
        </w:rPr>
        <w:t>Between the date of this</w:t>
      </w:r>
    </w:p>
    <w:p>
      <w:pPr>
        <w:spacing w:after="0" w:line="31"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Agreement and the Closing Date, Seller will:</w:t>
      </w:r>
    </w:p>
    <w:p>
      <w:pPr>
        <w:spacing w:after="0" w:line="169" w:lineRule="exact"/>
        <w:rPr>
          <w:sz w:val="20"/>
          <w:szCs w:val="20"/>
          <w:color w:val="auto"/>
        </w:rPr>
      </w:pPr>
    </w:p>
    <w:p>
      <w:pPr>
        <w:ind w:left="80" w:right="2839" w:firstLine="519"/>
        <w:spacing w:after="0" w:line="318" w:lineRule="auto"/>
        <w:tabs>
          <w:tab w:leader="none" w:pos="113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its business only in the ordinary course and refrain from changing or introducing any method of management or operations except in the ordinary course of business and consistent with prior practices;</w:t>
      </w:r>
    </w:p>
    <w:p>
      <w:pPr>
        <w:spacing w:after="0" w:line="52" w:lineRule="exact"/>
        <w:rPr>
          <w:rFonts w:ascii="Courier New" w:cs="Courier New" w:eastAsia="Courier New" w:hAnsi="Courier New"/>
          <w:sz w:val="16"/>
          <w:szCs w:val="16"/>
          <w:color w:val="auto"/>
        </w:rPr>
      </w:pPr>
    </w:p>
    <w:p>
      <w:pPr>
        <w:ind w:left="80" w:right="2619" w:firstLine="519"/>
        <w:spacing w:after="0" w:line="252" w:lineRule="auto"/>
        <w:tabs>
          <w:tab w:leader="none" w:pos="113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Refrain from placing any orders with respect to the General Order Merchandise without first receiving the prior written consent of Buyer, from making any purchase, sale or disposition of any asset or property other than in the ordinary course of business, from purchasing any capital asset costing more than $5,000, and from mortgaging, pledging, subjecting to a lien or otherwise encumbering any of its properties or assets other than in the ordinary course of business;</w:t>
      </w:r>
    </w:p>
    <w:p>
      <w:pPr>
        <w:spacing w:after="0" w:line="98" w:lineRule="exact"/>
        <w:rPr>
          <w:rFonts w:ascii="Courier New" w:cs="Courier New" w:eastAsia="Courier New" w:hAnsi="Courier New"/>
          <w:sz w:val="18"/>
          <w:szCs w:val="18"/>
          <w:color w:val="auto"/>
        </w:rPr>
      </w:pPr>
    </w:p>
    <w:p>
      <w:pPr>
        <w:ind w:left="80" w:right="2619" w:firstLine="519"/>
        <w:spacing w:after="0" w:line="260" w:lineRule="auto"/>
        <w:tabs>
          <w:tab w:leader="none" w:pos="113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Refrain from entering into contract, agreement, arrangement or commitment which creates an obligation of $10,000 or more in each such case and refrain from entering into any license agreement without the prior written consent of Buyer or Designs (which consent shall not be unreasonably withheld);</w:t>
      </w:r>
    </w:p>
    <w:p>
      <w:pPr>
        <w:spacing w:after="0" w:line="92" w:lineRule="exact"/>
        <w:rPr>
          <w:rFonts w:ascii="Courier New" w:cs="Courier New" w:eastAsia="Courier New" w:hAnsi="Courier New"/>
          <w:sz w:val="18"/>
          <w:szCs w:val="18"/>
          <w:color w:val="auto"/>
        </w:rPr>
      </w:pPr>
    </w:p>
    <w:p>
      <w:pPr>
        <w:ind w:left="80" w:right="2619" w:firstLine="519"/>
        <w:spacing w:after="0" w:line="265" w:lineRule="auto"/>
        <w:tabs>
          <w:tab w:leader="none" w:pos="113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Refrain from incurring any contingent liability as a guarantor or otherwise with respect to the obligations of others, and from incurring any other contingent or fixed obligations or liabilities except in the ordinary course of business;</w:t>
      </w:r>
    </w:p>
    <w:p>
      <w:pPr>
        <w:spacing w:after="0" w:line="89" w:lineRule="exact"/>
        <w:rPr>
          <w:rFonts w:ascii="Courier New" w:cs="Courier New" w:eastAsia="Courier New" w:hAnsi="Courier New"/>
          <w:sz w:val="18"/>
          <w:szCs w:val="18"/>
          <w:color w:val="auto"/>
        </w:rPr>
      </w:pPr>
    </w:p>
    <w:p>
      <w:pPr>
        <w:ind w:left="80" w:right="2839" w:firstLine="519"/>
        <w:spacing w:after="0" w:line="256" w:lineRule="auto"/>
        <w:tabs>
          <w:tab w:leader="none" w:pos="113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Refrain from declaring, setting aside or paying any dividend, making any other distribution in respect of its capital stock or making any direct or indirect redemption, purchase or other acquisition of its stock, or making any change with respect to its capital stock or incurring any obligation to issue any of its capital stock to any third party;</w:t>
      </w:r>
    </w:p>
    <w:p>
      <w:pPr>
        <w:spacing w:after="0" w:line="98" w:lineRule="exact"/>
        <w:rPr>
          <w:rFonts w:ascii="Courier New" w:cs="Courier New" w:eastAsia="Courier New" w:hAnsi="Courier New"/>
          <w:sz w:val="18"/>
          <w:szCs w:val="18"/>
          <w:color w:val="auto"/>
        </w:rPr>
      </w:pPr>
    </w:p>
    <w:p>
      <w:pPr>
        <w:ind w:left="80" w:right="2619" w:firstLine="519"/>
        <w:spacing w:after="0" w:line="265" w:lineRule="auto"/>
        <w:tabs>
          <w:tab w:leader="none" w:pos="113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Refrain from making any change in the compensation payable or to become payable to any of its officers, employees, agents or independent contractors other than any normal increases in compensation with respect to its employees;</w:t>
      </w:r>
    </w:p>
    <w:p>
      <w:pPr>
        <w:spacing w:after="0" w:line="89" w:lineRule="exact"/>
        <w:rPr>
          <w:rFonts w:ascii="Courier New" w:cs="Courier New" w:eastAsia="Courier New" w:hAnsi="Courier New"/>
          <w:sz w:val="18"/>
          <w:szCs w:val="18"/>
          <w:color w:val="auto"/>
        </w:rPr>
      </w:pPr>
    </w:p>
    <w:p>
      <w:pPr>
        <w:ind w:left="80" w:right="2839" w:firstLine="519"/>
        <w:spacing w:after="0" w:line="292" w:lineRule="auto"/>
        <w:tabs>
          <w:tab w:leader="none" w:pos="113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Refrain from prepaying loans (if any) from its stockholders, officers or directors or making any material change in its borrowing arrangements;</w:t>
      </w:r>
    </w:p>
    <w:p>
      <w:pPr>
        <w:spacing w:after="0" w:line="66" w:lineRule="exact"/>
        <w:rPr>
          <w:rFonts w:ascii="Courier New" w:cs="Courier New" w:eastAsia="Courier New" w:hAnsi="Courier New"/>
          <w:sz w:val="18"/>
          <w:szCs w:val="18"/>
          <w:color w:val="auto"/>
        </w:rPr>
      </w:pPr>
    </w:p>
    <w:p>
      <w:pPr>
        <w:ind w:left="80" w:right="2939" w:firstLine="519"/>
        <w:spacing w:after="0" w:line="402" w:lineRule="auto"/>
        <w:tabs>
          <w:tab w:leader="none" w:pos="113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prevent any change with respect to its management and supervisory personnel;</w:t>
      </w:r>
    </w:p>
    <w:p>
      <w:pPr>
        <w:ind w:left="80" w:right="2619" w:firstLine="519"/>
        <w:spacing w:after="0" w:line="265" w:lineRule="auto"/>
        <w:tabs>
          <w:tab w:leader="none" w:pos="113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keep intact its business organization, to retain its present officers and employees and to preserve the goodwill of all suppliers, customers, independent contractors and others having business relations with it;</w:t>
      </w:r>
    </w:p>
    <w:p>
      <w:pPr>
        <w:spacing w:after="0" w:line="89" w:lineRule="exact"/>
        <w:rPr>
          <w:rFonts w:ascii="Courier New" w:cs="Courier New" w:eastAsia="Courier New" w:hAnsi="Courier New"/>
          <w:sz w:val="18"/>
          <w:szCs w:val="18"/>
          <w:color w:val="auto"/>
        </w:rPr>
      </w:pPr>
    </w:p>
    <w:p>
      <w:pPr>
        <w:ind w:left="80" w:right="2839" w:firstLine="519"/>
        <w:spacing w:after="0" w:line="265" w:lineRule="auto"/>
        <w:tabs>
          <w:tab w:leader="none" w:pos="113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in effect and maintain at all times all insurance of the kind, in the amount and with the insurers set forth in the Schedule 2.18 hereto or equivalent insurance with any substitute insurers approved in writing by Buyer;</w:t>
      </w:r>
    </w:p>
    <w:p>
      <w:pPr>
        <w:spacing w:after="0" w:line="89" w:lineRule="exact"/>
        <w:rPr>
          <w:rFonts w:ascii="Courier New" w:cs="Courier New" w:eastAsia="Courier New" w:hAnsi="Courier New"/>
          <w:sz w:val="18"/>
          <w:szCs w:val="18"/>
          <w:color w:val="auto"/>
        </w:rPr>
      </w:pPr>
    </w:p>
    <w:p>
      <w:pPr>
        <w:ind w:left="80" w:right="2619" w:firstLine="519"/>
        <w:spacing w:after="0" w:line="318" w:lineRule="auto"/>
        <w:tabs>
          <w:tab w:leader="none" w:pos="113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Buyer with unaudited monthly balance sheets and statements of income and retained earnings and cash flows of Seller within ten (10) days after each month end for each month ending more than ten (10) days before the</w:t>
      </w:r>
    </w:p>
    <w:p>
      <w:pPr>
        <w:sectPr>
          <w:pgSz w:w="11900" w:h="16870" w:orient="portrait"/>
          <w:cols w:equalWidth="0" w:num="1">
            <w:col w:w="9019"/>
          </w:cols>
          <w:pgMar w:left="1440" w:top="110" w:right="1440" w:bottom="0" w:gutter="0" w:footer="0" w:header="0"/>
        </w:sectPr>
      </w:pPr>
    </w:p>
    <w:bookmarkStart w:id="54" w:name="page55"/>
    <w:bookmarkEnd w:id="54"/>
    <w:p>
      <w:pPr>
        <w:ind w:left="80"/>
        <w:spacing w:after="0"/>
        <w:rPr>
          <w:sz w:val="20"/>
          <w:szCs w:val="20"/>
          <w:color w:val="auto"/>
        </w:rPr>
      </w:pPr>
      <w:r>
        <w:rPr>
          <w:rFonts w:ascii="Courier New" w:cs="Courier New" w:eastAsia="Courier New" w:hAnsi="Courier New"/>
          <w:sz w:val="18"/>
          <w:szCs w:val="18"/>
          <w:color w:val="auto"/>
        </w:rPr>
        <w:t>Closing; and</w:t>
      </w:r>
    </w:p>
    <w:p>
      <w:pPr>
        <w:spacing w:after="0" w:line="201" w:lineRule="exact"/>
        <w:rPr>
          <w:sz w:val="20"/>
          <w:szCs w:val="20"/>
          <w:color w:val="auto"/>
        </w:rPr>
      </w:pPr>
    </w:p>
    <w:p>
      <w:pPr>
        <w:ind w:left="80" w:right="2619" w:firstLine="519"/>
        <w:spacing w:after="0" w:line="293" w:lineRule="auto"/>
        <w:tabs>
          <w:tab w:leader="none" w:pos="113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Buyer and its authorized representatives to have full access to all its properties, assets, records, tax returns, contracts and documents and furnish to Buyer or its authorized representatives such financial and other information with respect to its business or properties as Buyer may from time to time reasonably request upon reasonable notice to Seller and at reasonable times.</w:t>
      </w:r>
    </w:p>
    <w:p>
      <w:pPr>
        <w:spacing w:after="0" w:line="72" w:lineRule="exact"/>
        <w:rPr>
          <w:sz w:val="20"/>
          <w:szCs w:val="20"/>
          <w:color w:val="auto"/>
        </w:rPr>
      </w:pPr>
    </w:p>
    <w:p>
      <w:pPr>
        <w:ind w:left="80" w:right="2619" w:firstLine="527"/>
        <w:spacing w:after="0" w:line="277" w:lineRule="auto"/>
        <w:rPr>
          <w:sz w:val="20"/>
          <w:szCs w:val="20"/>
          <w:color w:val="auto"/>
        </w:rPr>
      </w:pPr>
      <w:r>
        <w:rPr>
          <w:rFonts w:ascii="Courier New" w:cs="Courier New" w:eastAsia="Courier New" w:hAnsi="Courier New"/>
          <w:sz w:val="16"/>
          <w:szCs w:val="16"/>
          <w:color w:val="auto"/>
        </w:rPr>
        <w:t>3.3 Authorization and Consent from Others. Prior to the Closing Date, Seller will use its best efforts to obtain all authorizations, consents and permits of others required to permit the consummation by Seller of the transactions contemplated by this Agreement, including, but not limited to, agreements consenting to the transactions contemplated hereby substantially in the form of Exhibit 3.3 hereto (collectively, the "Releases") from the unsecured creditors of Seller which unsecured creditors will be owed in the aggregate at least 80% in dollar amount of the aggregate unsecured debt of Seller immediately prior to the Closing. Each of the Stockholders will deliver a Release to Seller prior to the Closing, and each Stockholder agrees that any claim which he or any of his Seller Affiliated Parties may have against Seller shall not be satisfied unless and until Seller has fully paid or settled the claims of all of its other unsecured creditors.</w:t>
      </w:r>
    </w:p>
    <w:p>
      <w:pPr>
        <w:spacing w:after="0" w:line="299" w:lineRule="exact"/>
        <w:rPr>
          <w:sz w:val="20"/>
          <w:szCs w:val="20"/>
          <w:color w:val="auto"/>
        </w:rPr>
      </w:pPr>
    </w:p>
    <w:p>
      <w:pPr>
        <w:ind w:left="80" w:right="2619" w:firstLine="527"/>
        <w:spacing w:after="0" w:line="247" w:lineRule="auto"/>
        <w:rPr>
          <w:sz w:val="20"/>
          <w:szCs w:val="20"/>
          <w:color w:val="auto"/>
        </w:rPr>
      </w:pPr>
      <w:r>
        <w:rPr>
          <w:rFonts w:ascii="Courier New" w:cs="Courier New" w:eastAsia="Courier New" w:hAnsi="Courier New"/>
          <w:sz w:val="18"/>
          <w:szCs w:val="18"/>
          <w:color w:val="auto"/>
        </w:rPr>
        <w:t>3.4 Notice of Default. Promptly upon the occurrence of, or promptly upon Seller or a Stockholder becoming aware of the impending or threatened occurrence of, any event which would cause or constitute a breach or default, or would have caused or constituted a breach or default had such event occurred or been known to Seller or such Stockholder prior to the date hereof, of any of the representations, warranties or covenants of Seller or the Stockholders contained in or referred to in this Agreement or in any Schedule or Exhibit referred to in this Agreement, Seller shall give detailed written notice thereof to Buyer and shall use its best efforts to prevent or promptly remedy the same.</w:t>
      </w:r>
    </w:p>
    <w:p>
      <w:pPr>
        <w:spacing w:after="0" w:line="108" w:lineRule="exact"/>
        <w:rPr>
          <w:sz w:val="20"/>
          <w:szCs w:val="20"/>
          <w:color w:val="auto"/>
        </w:rPr>
      </w:pPr>
    </w:p>
    <w:p>
      <w:pPr>
        <w:ind w:left="80" w:right="2619" w:firstLine="527"/>
        <w:spacing w:after="0" w:line="252" w:lineRule="auto"/>
        <w:rPr>
          <w:sz w:val="20"/>
          <w:szCs w:val="20"/>
          <w:color w:val="auto"/>
        </w:rPr>
      </w:pPr>
      <w:r>
        <w:rPr>
          <w:rFonts w:ascii="Courier New" w:cs="Courier New" w:eastAsia="Courier New" w:hAnsi="Courier New"/>
          <w:sz w:val="18"/>
          <w:szCs w:val="18"/>
          <w:color w:val="auto"/>
        </w:rPr>
        <w:t>3.5 Consummation of Agreement. Seller and the Stockholders shall use their best efforts to perform and fulfill all conditions and obligations on their parts to be performed and fulfilled under this Agreement, to the end that the transactions contemplated by this Agreement shall be fully carried out. To this end, Seller will obtain prior to the Closing all necessary authorizations or approvals of its stockholders and Board of Directors, including, without limitation, the following:</w:t>
      </w:r>
    </w:p>
    <w:p>
      <w:pPr>
        <w:spacing w:after="0" w:line="99" w:lineRule="exact"/>
        <w:rPr>
          <w:sz w:val="20"/>
          <w:szCs w:val="20"/>
          <w:color w:val="auto"/>
        </w:rPr>
      </w:pPr>
    </w:p>
    <w:p>
      <w:pPr>
        <w:jc w:val="both"/>
        <w:ind w:left="80" w:right="2839" w:firstLine="519"/>
        <w:spacing w:after="0" w:line="292" w:lineRule="auto"/>
        <w:tabs>
          <w:tab w:leader="none" w:pos="113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change of Seller's corporate name to another title which does not include the words "Boston Trading" or "Boston Trader"; and</w:t>
      </w:r>
    </w:p>
    <w:p>
      <w:pPr>
        <w:spacing w:after="0" w:line="66" w:lineRule="exact"/>
        <w:rPr>
          <w:rFonts w:ascii="Courier New" w:cs="Courier New" w:eastAsia="Courier New" w:hAnsi="Courier New"/>
          <w:sz w:val="18"/>
          <w:szCs w:val="18"/>
          <w:color w:val="auto"/>
        </w:rPr>
      </w:pPr>
    </w:p>
    <w:p>
      <w:pPr>
        <w:ind w:left="80" w:right="3039" w:firstLine="519"/>
        <w:spacing w:after="0" w:line="292" w:lineRule="auto"/>
        <w:tabs>
          <w:tab w:leader="none" w:pos="113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of the officers and directors of Seller to discharge insofar as possible all debts and obligations of Seller.</w:t>
      </w:r>
    </w:p>
    <w:p>
      <w:pPr>
        <w:spacing w:after="0" w:line="66" w:lineRule="exact"/>
        <w:rPr>
          <w:sz w:val="20"/>
          <w:szCs w:val="20"/>
          <w:color w:val="auto"/>
        </w:rPr>
      </w:pPr>
    </w:p>
    <w:p>
      <w:pPr>
        <w:jc w:val="both"/>
        <w:ind w:left="80" w:right="2839" w:firstLine="527"/>
        <w:spacing w:after="0" w:line="274" w:lineRule="auto"/>
        <w:rPr>
          <w:sz w:val="20"/>
          <w:szCs w:val="20"/>
          <w:color w:val="auto"/>
        </w:rPr>
      </w:pPr>
      <w:r>
        <w:rPr>
          <w:rFonts w:ascii="Courier New" w:cs="Courier New" w:eastAsia="Courier New" w:hAnsi="Courier New"/>
          <w:sz w:val="18"/>
          <w:szCs w:val="18"/>
          <w:color w:val="auto"/>
        </w:rPr>
        <w:t>3.6 Cooperation of Seller. Seller and Stockholders shall cooperate with all reasonable requests of Buyer and Buyer's counsel in connection with the consummation of the transactions contemplated hereby.</w:t>
      </w:r>
    </w:p>
    <w:p>
      <w:pPr>
        <w:spacing w:after="0" w:line="82" w:lineRule="exact"/>
        <w:rPr>
          <w:sz w:val="20"/>
          <w:szCs w:val="20"/>
          <w:color w:val="auto"/>
        </w:rPr>
      </w:pPr>
    </w:p>
    <w:p>
      <w:pPr>
        <w:ind w:left="80" w:right="2739" w:firstLine="527"/>
        <w:spacing w:after="0" w:line="245" w:lineRule="auto"/>
        <w:rPr>
          <w:sz w:val="20"/>
          <w:szCs w:val="20"/>
          <w:color w:val="auto"/>
        </w:rPr>
      </w:pPr>
      <w:r>
        <w:rPr>
          <w:rFonts w:ascii="Courier New" w:cs="Courier New" w:eastAsia="Courier New" w:hAnsi="Courier New"/>
          <w:sz w:val="18"/>
          <w:szCs w:val="18"/>
          <w:color w:val="auto"/>
        </w:rPr>
        <w:t>3.7 Non-competition. Each of Seller and the Stockholders agrees that for a period of five (5) years after the Closing Date, each such party will not, without the prior written consent of Designs and Buyer, directly or indirectly, engage or participate in, be employed by or assist in any manner or in any capacity, or have any interest in or make any loan to any person, firm, corporation or business which engages in any activity anywhere in the world which is similar to or competitive with any business in which Designs or Buyer is presently or shall become engaged or in which Designs or Buyer, to Seller's or such Stockholder's knowledge, proposes to engage, and/or in any firm, corporation or business which uses as its trade name or corporate name or is doing business as or under a name which includes "Trader," "Traders," "Trading" or any similar derivations thereof;</w:t>
      </w:r>
    </w:p>
    <w:p>
      <w:pPr>
        <w:sectPr>
          <w:pgSz w:w="11900" w:h="16838" w:orient="portrait"/>
          <w:cols w:equalWidth="0" w:num="1">
            <w:col w:w="9019"/>
          </w:cols>
          <w:pgMar w:left="1440" w:top="110" w:right="1440" w:bottom="0" w:gutter="0" w:footer="0" w:header="0"/>
        </w:sectPr>
      </w:pPr>
    </w:p>
    <w:bookmarkStart w:id="55" w:name="page56"/>
    <w:bookmarkEnd w:id="55"/>
    <w:p>
      <w:pPr>
        <w:spacing w:after="0" w:line="3" w:lineRule="exact"/>
        <w:rPr>
          <w:sz w:val="20"/>
          <w:szCs w:val="20"/>
          <w:color w:val="auto"/>
        </w:rPr>
      </w:pPr>
    </w:p>
    <w:p>
      <w:pPr>
        <w:ind w:left="80" w:right="2619"/>
        <w:spacing w:after="0" w:line="244" w:lineRule="auto"/>
        <w:rPr>
          <w:sz w:val="20"/>
          <w:szCs w:val="20"/>
          <w:color w:val="auto"/>
        </w:rPr>
      </w:pPr>
      <w:r>
        <w:rPr>
          <w:rFonts w:ascii="Courier New" w:cs="Courier New" w:eastAsia="Courier New" w:hAnsi="Courier New"/>
          <w:sz w:val="18"/>
          <w:szCs w:val="18"/>
          <w:color w:val="auto"/>
        </w:rPr>
        <w:t>provided, however, the foregoing shall not prevent either Stockholder (i) from owning beneficially or of record up to one percent (1%) of the outstanding securities of a publicly-held corporation which engages in competitive activities or (ii) from and after the second anniversary of the Closing Date, from engaging in the design, manufacture, marketing or sale, solely in wholesale channels and not at retail, of any item of apparel of a type which is not now sold or at any time during the two year period following the Closing Date; further provided, however, that neither Stockholder shall utilize any apparel manufacturer, supplier or sourcing agent which is being utilized by Designs or Buyer, without Designs' and Buyer's prior written consent. In addition, each of Seller and the Stockholders shall refrain from soliciting or encouraging any employee of Designs or Buyer to terminate his or her employment by Designs or Buyer and to become employed by Seller or any Stockholder, or any business or entity with which Seller or any Stockholder is affiliated as an owner, investor, lender or in any other capacity.</w:t>
      </w:r>
    </w:p>
    <w:p>
      <w:pPr>
        <w:spacing w:after="0" w:line="108" w:lineRule="exact"/>
        <w:rPr>
          <w:sz w:val="20"/>
          <w:szCs w:val="20"/>
          <w:color w:val="auto"/>
        </w:rPr>
      </w:pPr>
    </w:p>
    <w:p>
      <w:pPr>
        <w:ind w:left="80" w:right="2739" w:firstLine="527"/>
        <w:spacing w:after="0" w:line="249" w:lineRule="auto"/>
        <w:rPr>
          <w:sz w:val="20"/>
          <w:szCs w:val="20"/>
          <w:color w:val="auto"/>
        </w:rPr>
      </w:pPr>
      <w:r>
        <w:rPr>
          <w:rFonts w:ascii="Courier New" w:cs="Courier New" w:eastAsia="Courier New" w:hAnsi="Courier New"/>
          <w:sz w:val="18"/>
          <w:szCs w:val="18"/>
          <w:color w:val="auto"/>
        </w:rPr>
        <w:t>In case any of the provisions or any part thereof contained in this Section 3.7 shall for any reason be held to be invalid, illegal, or unenforceable in any respect, such invalidity, illegality, or unenforceability shall not affect any other provision of this Agreement, but this Section 3.7 shall be construed as if such invalid, illegal, or unenforceable provision or part thereof had never been contained herein, and the parties shall use their best efforts to substitute a valid, legal and enforceable provision therefor which carries out of the purposes and intents thereof.</w:t>
      </w:r>
    </w:p>
    <w:p>
      <w:pPr>
        <w:spacing w:after="0" w:line="104" w:lineRule="exact"/>
        <w:rPr>
          <w:sz w:val="20"/>
          <w:szCs w:val="20"/>
          <w:color w:val="auto"/>
        </w:rPr>
      </w:pPr>
    </w:p>
    <w:p>
      <w:pPr>
        <w:ind w:left="80" w:right="2619" w:firstLine="527"/>
        <w:spacing w:after="0" w:line="279" w:lineRule="auto"/>
        <w:rPr>
          <w:sz w:val="20"/>
          <w:szCs w:val="20"/>
          <w:color w:val="auto"/>
        </w:rPr>
      </w:pPr>
      <w:r>
        <w:rPr>
          <w:rFonts w:ascii="Courier New" w:cs="Courier New" w:eastAsia="Courier New" w:hAnsi="Courier New"/>
          <w:sz w:val="16"/>
          <w:szCs w:val="16"/>
          <w:color w:val="auto"/>
        </w:rPr>
        <w:t>Seller and each of the Stockholders hereby acknowledge that the covenants made by them under this Agreement are being made in connection with the sale, assignment and transfer of the Subject Assets, and that each of them has sufficient assets to provide for themselves while such covenants are in force and that such covenants have a unique value to Designs and Buyer. Seller and the Stockholders recognize that the remedies at law of Designs and Buyer for breach of any covenant of Seller and the Stockholders under this Section 3.7 may be inadequate, and agree that upon any such breach Designs and Buyer shall be entitled, in addition to all other remedies available, to the remedy of specific performance and other equitable relief in a court of equity by injunction or otherwise, without the necessity of proving actual damages to Designs or Buyer.</w:t>
      </w:r>
    </w:p>
    <w:p>
      <w:pPr>
        <w:spacing w:after="0" w:line="291" w:lineRule="exact"/>
        <w:rPr>
          <w:sz w:val="20"/>
          <w:szCs w:val="20"/>
          <w:color w:val="auto"/>
        </w:rPr>
      </w:pPr>
    </w:p>
    <w:p>
      <w:pPr>
        <w:ind w:left="80" w:right="2619" w:firstLine="527"/>
        <w:spacing w:after="0" w:line="244" w:lineRule="auto"/>
        <w:rPr>
          <w:sz w:val="20"/>
          <w:szCs w:val="20"/>
          <w:color w:val="auto"/>
        </w:rPr>
      </w:pPr>
      <w:r>
        <w:rPr>
          <w:rFonts w:ascii="Courier New" w:cs="Courier New" w:eastAsia="Courier New" w:hAnsi="Courier New"/>
          <w:sz w:val="18"/>
          <w:szCs w:val="18"/>
          <w:color w:val="auto"/>
        </w:rPr>
        <w:t>3.8 No Solicitation of Other Offers. Neither Seller, the Stockholders, nor any of their representatives will, directly or indirectly, solicit, encourage, assist, initiate discussions or engage in negotiations with, provide any information to, or enter into any agreement or transaction with, any person or persons, other than Buyer, concerning the possible acquisition of Seller or any of Seller's assets, except for the sale of assets in the ordinary course of business of Seller consistent with the terms of this Agreement. Seller and the Stockholders agree that in the event of any material breach of any of the terms and conditions of this Section 3.8, then, in addition to any other remedy to which Buyer may be entitled (which shall include without limitation specific performance), and as compensation for such breach, Seller and the Stockholders shall be jointly and severally liable to Buyer for liquidated damages in the amount of $800,000, such liquidated damages to be payable upon demand to Buyer by certified check or wire transfer of immediately available funds.</w:t>
      </w:r>
    </w:p>
    <w:p>
      <w:pPr>
        <w:spacing w:after="0" w:line="108" w:lineRule="exact"/>
        <w:rPr>
          <w:sz w:val="20"/>
          <w:szCs w:val="20"/>
          <w:color w:val="auto"/>
        </w:rPr>
      </w:pPr>
    </w:p>
    <w:p>
      <w:pPr>
        <w:ind w:left="80" w:right="2939" w:firstLine="527"/>
        <w:spacing w:after="0" w:line="283" w:lineRule="auto"/>
        <w:rPr>
          <w:sz w:val="20"/>
          <w:szCs w:val="20"/>
          <w:color w:val="auto"/>
        </w:rPr>
      </w:pPr>
      <w:r>
        <w:rPr>
          <w:rFonts w:ascii="Courier New" w:cs="Courier New" w:eastAsia="Courier New" w:hAnsi="Courier New"/>
          <w:sz w:val="16"/>
          <w:szCs w:val="16"/>
          <w:color w:val="auto"/>
        </w:rPr>
        <w:t>3.9 Confidentiality. Seller and the Stockholders agree that, unless and until the Closing has been consummated, Seller, its officers, directors, agents and representatives, and the Stockholders will hold in strict confidence, and will not use, any confidential or proprietary data or information obtained from Buyer with respect to its business or financial condition except for the purpose of evaluating, negotiating and completing the transaction contemplated hereby. Information generally known in Buyer's industry or which has been disclosed to Seller or the Stockholders by third parties which have a</w:t>
      </w:r>
    </w:p>
    <w:p>
      <w:pPr>
        <w:sectPr>
          <w:pgSz w:w="11900" w:h="16842" w:orient="portrait"/>
          <w:cols w:equalWidth="0" w:num="1">
            <w:col w:w="9019"/>
          </w:cols>
          <w:pgMar w:left="1440" w:top="110" w:right="1440" w:bottom="0" w:gutter="0" w:footer="0" w:header="0"/>
        </w:sectPr>
      </w:pPr>
    </w:p>
    <w:bookmarkStart w:id="56" w:name="page57"/>
    <w:bookmarkEnd w:id="56"/>
    <w:p>
      <w:pPr>
        <w:ind w:left="80" w:right="2619"/>
        <w:spacing w:after="0" w:line="250" w:lineRule="auto"/>
        <w:rPr>
          <w:sz w:val="20"/>
          <w:szCs w:val="20"/>
          <w:color w:val="auto"/>
        </w:rPr>
      </w:pPr>
      <w:r>
        <w:rPr>
          <w:rFonts w:ascii="Courier New" w:cs="Courier New" w:eastAsia="Courier New" w:hAnsi="Courier New"/>
          <w:sz w:val="18"/>
          <w:szCs w:val="18"/>
          <w:color w:val="auto"/>
        </w:rPr>
        <w:t>right to do so shall not be deemed confidential or proprietary information for purposes of this agreement. If the transaction contemplated by this Agreement is not consummated, Seller and the Stockholders will return to Buyer (or certify that it has destroyed) all copies of such data and information, including but not limited to financial information, customer lists, business and corporate records, worksheets, test reports, tax returns, lists, memoranda, and other documents prepared by or made available to Seller in connection with the transaction.</w:t>
      </w:r>
    </w:p>
    <w:p>
      <w:pPr>
        <w:spacing w:after="0" w:line="104" w:lineRule="exact"/>
        <w:rPr>
          <w:sz w:val="20"/>
          <w:szCs w:val="20"/>
          <w:color w:val="auto"/>
        </w:rPr>
      </w:pPr>
    </w:p>
    <w:p>
      <w:pPr>
        <w:ind w:left="80" w:right="2619" w:firstLine="527"/>
        <w:spacing w:after="0" w:line="283" w:lineRule="auto"/>
        <w:rPr>
          <w:sz w:val="20"/>
          <w:szCs w:val="20"/>
          <w:color w:val="auto"/>
        </w:rPr>
      </w:pPr>
      <w:r>
        <w:rPr>
          <w:rFonts w:ascii="Courier New" w:cs="Courier New" w:eastAsia="Courier New" w:hAnsi="Courier New"/>
          <w:sz w:val="16"/>
          <w:szCs w:val="16"/>
          <w:color w:val="auto"/>
        </w:rPr>
        <w:t>3.10 Foreign Corrupt Practices Act. Each of Seller and the Stockholders will not make, and Seller will use its best efforts to prevent each officer, director, employee and agent of Seller from making, directly or indirectly, any payment prohibited by law to a public official of any domestic or foreign government, a political party or its officers, or any candidate for public office. Seller and the Stockholders will at all times comply with the prohibitions on certain acts and practices set forth in the Foreign Corrupt Practices Act of 1977, as amended, or any rules or regulations promulgated thereunder.</w:t>
      </w:r>
    </w:p>
    <w:p>
      <w:pPr>
        <w:spacing w:after="0" w:line="294" w:lineRule="exact"/>
        <w:rPr>
          <w:sz w:val="20"/>
          <w:szCs w:val="20"/>
          <w:color w:val="auto"/>
        </w:rPr>
      </w:pPr>
    </w:p>
    <w:p>
      <w:pPr>
        <w:ind w:left="80" w:right="2619" w:firstLine="527"/>
        <w:spacing w:after="0" w:line="253" w:lineRule="auto"/>
        <w:rPr>
          <w:sz w:val="20"/>
          <w:szCs w:val="20"/>
          <w:color w:val="auto"/>
        </w:rPr>
      </w:pPr>
      <w:r>
        <w:rPr>
          <w:rFonts w:ascii="Courier New" w:cs="Courier New" w:eastAsia="Courier New" w:hAnsi="Courier New"/>
          <w:sz w:val="18"/>
          <w:szCs w:val="18"/>
          <w:color w:val="auto"/>
        </w:rPr>
        <w:t>3.11 Tax Returns. Seller, in accordance with applicable law, shall (i) promptly prepare and file on or before the due date or any extension thereof all foreign, federal, state and local tax returns required to be filed by it with respect to taxable periods of Seller that include any period ending on or before the Closing and (ii) pay all Taxes of Seller attributable to periods ending on or before the Closing.</w:t>
      </w:r>
    </w:p>
    <w:p>
      <w:pPr>
        <w:spacing w:after="0" w:line="104" w:lineRule="exact"/>
        <w:rPr>
          <w:sz w:val="20"/>
          <w:szCs w:val="20"/>
          <w:color w:val="auto"/>
        </w:rPr>
      </w:pPr>
    </w:p>
    <w:p>
      <w:pPr>
        <w:ind w:left="80" w:right="2619" w:firstLine="527"/>
        <w:spacing w:after="0" w:line="293" w:lineRule="auto"/>
        <w:rPr>
          <w:sz w:val="20"/>
          <w:szCs w:val="20"/>
          <w:color w:val="auto"/>
        </w:rPr>
      </w:pPr>
      <w:r>
        <w:rPr>
          <w:rFonts w:ascii="Courier New" w:cs="Courier New" w:eastAsia="Courier New" w:hAnsi="Courier New"/>
          <w:sz w:val="16"/>
          <w:szCs w:val="16"/>
          <w:color w:val="auto"/>
        </w:rPr>
        <w:t>3.12 Distributions to Creditors. Seller shall make all necessary arrangements prior to and after the Closing in order to effectuate an orderly and proportionate distribution to the creditors of Seller of the proceeds received by Seller from Buyer as a result of this transaction and all other funds which Seller has covenanted to distribute to its creditors pursuant to this Agreement.</w:t>
      </w:r>
    </w:p>
    <w:p>
      <w:pPr>
        <w:spacing w:after="0" w:line="72" w:lineRule="exact"/>
        <w:rPr>
          <w:sz w:val="20"/>
          <w:szCs w:val="20"/>
          <w:color w:val="auto"/>
        </w:rPr>
      </w:pPr>
    </w:p>
    <w:p>
      <w:pPr>
        <w:ind w:left="80" w:right="2619" w:firstLine="527"/>
        <w:spacing w:after="0" w:line="273" w:lineRule="auto"/>
        <w:rPr>
          <w:sz w:val="20"/>
          <w:szCs w:val="20"/>
          <w:color w:val="auto"/>
        </w:rPr>
      </w:pPr>
      <w:r>
        <w:rPr>
          <w:rFonts w:ascii="Courier New" w:cs="Courier New" w:eastAsia="Courier New" w:hAnsi="Courier New"/>
          <w:sz w:val="16"/>
          <w:szCs w:val="16"/>
          <w:color w:val="auto"/>
        </w:rPr>
        <w:t>3.13 Certain Proceedings. Seller will refrain from (i) commencing a voluntary Insolvency Proceeding (as defined below) or filing an answer seeking reorganization, arrangement, insolvency, readjustment of debt, dissolution or liquidation, (ii) applying for or consenting to the appointment of a receiver, trustee, liquidator, assignee, sequestrator, custodian (or other similar official) of Seller or any of its properties, or (iii) making a general assignment for the benefit of Seller's creditors. In addition, if any Insolvency Proceeding is commenced against Seller, Seller will use its best efforts to contest such proceeding and to have it dismissed expeditiously, or, if Buyer so requests, Seller will consent to such proceeding and proceed expeditiously with a proposed sale to Buyer pursuant to the provisions of Section 363 of the Federal Bankruptcy Code of 1978, as amended (the "Bankruptcy Code"), or pursuant to such other provision as may be available as part of the applicable proceeding, such sale to be effected on substantially the terms set forth in this Agreement, it being hereby agreed and acknowledged by Seller and the Stockholders that such terms are fair to Seller and its creditors. The Stockholders will use their best efforts to cause Seller to observe the covenants of Seller set forth in this Section 3.13 and will not commence an involuntary Insolvency Proceeding against the Seller. An "Insolvency Proceeding" shall mean a case under the Bankruptcy Code or any similar proceeding under any other applicable federal or state bankruptcy, insolvency or other similar law.</w:t>
      </w:r>
    </w:p>
    <w:p>
      <w:pPr>
        <w:spacing w:after="0" w:line="200" w:lineRule="exact"/>
        <w:rPr>
          <w:sz w:val="20"/>
          <w:szCs w:val="20"/>
          <w:color w:val="auto"/>
        </w:rPr>
      </w:pPr>
    </w:p>
    <w:p>
      <w:pPr>
        <w:spacing w:after="0" w:line="314" w:lineRule="exact"/>
        <w:rPr>
          <w:sz w:val="20"/>
          <w:szCs w:val="20"/>
          <w:color w:val="auto"/>
        </w:rPr>
      </w:pPr>
    </w:p>
    <w:p>
      <w:pPr>
        <w:ind w:left="80" w:right="2939" w:firstLine="105"/>
        <w:spacing w:after="0" w:line="347" w:lineRule="auto"/>
        <w:rPr>
          <w:sz w:val="20"/>
          <w:szCs w:val="20"/>
          <w:color w:val="auto"/>
        </w:rPr>
      </w:pPr>
      <w:r>
        <w:rPr>
          <w:rFonts w:ascii="Courier New" w:cs="Courier New" w:eastAsia="Courier New" w:hAnsi="Courier New"/>
          <w:sz w:val="18"/>
          <w:szCs w:val="18"/>
          <w:color w:val="auto"/>
        </w:rPr>
        <w:t>SECTION 4. REPRESENTATIONS AND WARRANTIES OF DESIGNS AND BUYER.</w:t>
      </w:r>
    </w:p>
    <w:p>
      <w:pPr>
        <w:spacing w:after="0" w:line="18" w:lineRule="exact"/>
        <w:rPr>
          <w:sz w:val="20"/>
          <w:szCs w:val="20"/>
          <w:color w:val="auto"/>
        </w:rPr>
      </w:pPr>
    </w:p>
    <w:p>
      <w:pPr>
        <w:ind w:left="80" w:right="2619" w:firstLine="527"/>
        <w:spacing w:after="0" w:line="298" w:lineRule="auto"/>
        <w:rPr>
          <w:sz w:val="20"/>
          <w:szCs w:val="20"/>
          <w:color w:val="auto"/>
        </w:rPr>
      </w:pPr>
      <w:r>
        <w:rPr>
          <w:rFonts w:ascii="Courier New" w:cs="Courier New" w:eastAsia="Courier New" w:hAnsi="Courier New"/>
          <w:sz w:val="16"/>
          <w:szCs w:val="16"/>
          <w:color w:val="auto"/>
        </w:rPr>
        <w:t>4.1 Making of Representations and Warranties. As a material inducement to Seller and the Stockholders to enter into this Agreement and consummate the transactions contemplated hereby, each of Designs and Buyer jointly and severally hereby makes the representations and warranties to Seller and the Stockholders contained in this Section 4.</w:t>
      </w:r>
    </w:p>
    <w:p>
      <w:pPr>
        <w:spacing w:after="0" w:line="68" w:lineRule="exact"/>
        <w:rPr>
          <w:sz w:val="20"/>
          <w:szCs w:val="20"/>
          <w:color w:val="auto"/>
        </w:rPr>
      </w:pPr>
    </w:p>
    <w:p>
      <w:pPr>
        <w:jc w:val="center"/>
        <w:ind w:right="2759"/>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4.2</w:t>
        <w:tab/>
        <w:t>Organization of Designs and Buyer.</w:t>
      </w:r>
      <w:r>
        <w:rPr>
          <w:sz w:val="20"/>
          <w:szCs w:val="20"/>
          <w:color w:val="auto"/>
        </w:rPr>
        <w:tab/>
      </w:r>
      <w:r>
        <w:rPr>
          <w:rFonts w:ascii="Courier New" w:cs="Courier New" w:eastAsia="Courier New" w:hAnsi="Courier New"/>
          <w:sz w:val="16"/>
          <w:szCs w:val="16"/>
          <w:color w:val="auto"/>
        </w:rPr>
        <w:t>Each of</w:t>
      </w:r>
    </w:p>
    <w:p>
      <w:pPr>
        <w:spacing w:after="0" w:line="3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Designs and Buyer is a corporation duly organized, validly</w:t>
      </w:r>
    </w:p>
    <w:p>
      <w:pPr>
        <w:sectPr>
          <w:pgSz w:w="11900" w:h="16838" w:orient="portrait"/>
          <w:cols w:equalWidth="0" w:num="1">
            <w:col w:w="9019"/>
          </w:cols>
          <w:pgMar w:left="1440" w:top="110" w:right="1440" w:bottom="0" w:gutter="0" w:footer="0" w:header="0"/>
        </w:sectPr>
      </w:pPr>
    </w:p>
    <w:bookmarkStart w:id="57" w:name="page58"/>
    <w:bookmarkEnd w:id="57"/>
    <w:p>
      <w:pPr>
        <w:spacing w:after="0" w:line="23" w:lineRule="exact"/>
        <w:rPr>
          <w:sz w:val="20"/>
          <w:szCs w:val="20"/>
          <w:color w:val="auto"/>
        </w:rPr>
      </w:pPr>
    </w:p>
    <w:p>
      <w:pPr>
        <w:ind w:left="80" w:right="2619"/>
        <w:spacing w:after="0" w:line="265" w:lineRule="auto"/>
        <w:rPr>
          <w:sz w:val="20"/>
          <w:szCs w:val="20"/>
          <w:color w:val="auto"/>
        </w:rPr>
      </w:pPr>
      <w:r>
        <w:rPr>
          <w:rFonts w:ascii="Courier New" w:cs="Courier New" w:eastAsia="Courier New" w:hAnsi="Courier New"/>
          <w:sz w:val="18"/>
          <w:szCs w:val="18"/>
          <w:color w:val="auto"/>
        </w:rPr>
        <w:t>existing and in good standing under the laws of Delaware with full corporate power to own or lease its properties and to conduct its business in the manner and in the places where such properties are owned or leased or such business is conducted by it.</w:t>
      </w:r>
    </w:p>
    <w:p>
      <w:pPr>
        <w:spacing w:after="0" w:line="90" w:lineRule="exact"/>
        <w:rPr>
          <w:sz w:val="20"/>
          <w:szCs w:val="20"/>
          <w:color w:val="auto"/>
        </w:rPr>
      </w:pPr>
    </w:p>
    <w:p>
      <w:pPr>
        <w:ind w:left="80" w:right="2619" w:firstLine="527"/>
        <w:spacing w:after="0" w:line="243" w:lineRule="auto"/>
        <w:rPr>
          <w:sz w:val="20"/>
          <w:szCs w:val="20"/>
          <w:color w:val="auto"/>
        </w:rPr>
      </w:pPr>
      <w:r>
        <w:rPr>
          <w:rFonts w:ascii="Courier New" w:cs="Courier New" w:eastAsia="Courier New" w:hAnsi="Courier New"/>
          <w:sz w:val="18"/>
          <w:szCs w:val="18"/>
          <w:color w:val="auto"/>
        </w:rPr>
        <w:t>4.3 Authority of Designs and Buyer. Each of Designs and Buyer has full right, authority and power to enter into this Agreement, the Note and each agreement, document and instrument to be executed and delivered by each such party pursuant to this Agreement and to carry out the transactions contemplated hereby. The execution, delivery and performance by Designs and Buyer of this Agreement, the Note, and each such other agreement, document and instrument have been duly authorized by all necessary corporate action of on the part of each of Designs and Buyer and no other action on the part of Designs or Buyer is required in connection therewith. This Agreement, the Note and each other agreement, document and instrument executed and delivered by Designs and Buyer pursuant to this Agreement constitute, or when executed and delivered will constitute, valid and binding obligations of each such party, enforceable in accordance with their terms, except to the extent that enforceability may be limited by applicable bankruptcy, reorganization, insolvency, moratorium or other laws affecting the enforcement of creditors' rights generally and general principals of equity (regardless of whether such enforceability is consider in a proceeding in equity or in law).</w:t>
      </w:r>
    </w:p>
    <w:p>
      <w:pPr>
        <w:spacing w:after="0" w:line="113" w:lineRule="exact"/>
        <w:rPr>
          <w:sz w:val="20"/>
          <w:szCs w:val="20"/>
          <w:color w:val="auto"/>
        </w:rPr>
      </w:pPr>
    </w:p>
    <w:p>
      <w:pPr>
        <w:ind w:left="80" w:right="2839" w:firstLine="527"/>
        <w:spacing w:after="0" w:line="260" w:lineRule="auto"/>
        <w:rPr>
          <w:sz w:val="20"/>
          <w:szCs w:val="20"/>
          <w:color w:val="auto"/>
        </w:rPr>
      </w:pPr>
      <w:r>
        <w:rPr>
          <w:rFonts w:ascii="Courier New" w:cs="Courier New" w:eastAsia="Courier New" w:hAnsi="Courier New"/>
          <w:sz w:val="18"/>
          <w:szCs w:val="18"/>
          <w:color w:val="auto"/>
        </w:rPr>
        <w:t>4.4 Litigation. There is no litigation or governmental or administrative proceeding or investigation pending or, to their knowledge, threatened against Designs or Buyer which would prevent or hinder the consummation of the transactions contemplated by this Agreement or the payment of the Note.</w:t>
      </w:r>
    </w:p>
    <w:p>
      <w:pPr>
        <w:spacing w:after="0" w:line="93" w:lineRule="exact"/>
        <w:rPr>
          <w:sz w:val="20"/>
          <w:szCs w:val="20"/>
          <w:color w:val="auto"/>
        </w:rPr>
      </w:pPr>
    </w:p>
    <w:p>
      <w:pPr>
        <w:ind w:left="80" w:right="3039" w:firstLine="527"/>
        <w:spacing w:after="0" w:line="274" w:lineRule="auto"/>
        <w:rPr>
          <w:sz w:val="20"/>
          <w:szCs w:val="20"/>
          <w:color w:val="auto"/>
        </w:rPr>
      </w:pPr>
      <w:r>
        <w:rPr>
          <w:rFonts w:ascii="Courier New" w:cs="Courier New" w:eastAsia="Courier New" w:hAnsi="Courier New"/>
          <w:sz w:val="18"/>
          <w:szCs w:val="18"/>
          <w:color w:val="auto"/>
        </w:rPr>
        <w:t>4.5 Finder's Fee. Neither Designs nor Buyer has incurred or become liable for any broker's commission or finder's fee relating to or in connection with the transactions contemplated by this Agreement.</w:t>
      </w:r>
    </w:p>
    <w:p>
      <w:pPr>
        <w:spacing w:after="0" w:line="82" w:lineRule="exact"/>
        <w:rPr>
          <w:sz w:val="20"/>
          <w:szCs w:val="20"/>
          <w:color w:val="auto"/>
        </w:rPr>
      </w:pPr>
    </w:p>
    <w:p>
      <w:pPr>
        <w:ind w:left="180"/>
        <w:spacing w:after="0"/>
        <w:tabs>
          <w:tab w:leader="none" w:pos="174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COVENANTS OF DESIGNS AND BUYER.</w:t>
      </w:r>
    </w:p>
    <w:p>
      <w:pPr>
        <w:spacing w:after="0" w:line="201" w:lineRule="exact"/>
        <w:rPr>
          <w:sz w:val="20"/>
          <w:szCs w:val="20"/>
          <w:color w:val="auto"/>
        </w:rPr>
      </w:pPr>
    </w:p>
    <w:p>
      <w:pPr>
        <w:ind w:left="80" w:right="3159" w:firstLine="527"/>
        <w:spacing w:after="0" w:line="344" w:lineRule="auto"/>
        <w:rPr>
          <w:sz w:val="20"/>
          <w:szCs w:val="20"/>
          <w:color w:val="auto"/>
        </w:rPr>
      </w:pPr>
      <w:r>
        <w:rPr>
          <w:rFonts w:ascii="Courier New" w:cs="Courier New" w:eastAsia="Courier New" w:hAnsi="Courier New"/>
          <w:sz w:val="16"/>
          <w:szCs w:val="16"/>
          <w:color w:val="auto"/>
        </w:rPr>
        <w:t>5.1 Making of Covenants and Agreement. Each of Designs and Buyer jointly and severally hereby make the covenants and agreements set forth in this Section 5.</w:t>
      </w:r>
    </w:p>
    <w:p>
      <w:pPr>
        <w:spacing w:after="0" w:line="31" w:lineRule="exact"/>
        <w:rPr>
          <w:sz w:val="20"/>
          <w:szCs w:val="20"/>
          <w:color w:val="auto"/>
        </w:rPr>
      </w:pPr>
    </w:p>
    <w:p>
      <w:pPr>
        <w:ind w:left="80" w:right="2619" w:firstLine="527"/>
        <w:spacing w:after="0" w:line="275" w:lineRule="auto"/>
        <w:rPr>
          <w:sz w:val="20"/>
          <w:szCs w:val="20"/>
          <w:color w:val="auto"/>
        </w:rPr>
      </w:pPr>
      <w:r>
        <w:rPr>
          <w:rFonts w:ascii="Courier New" w:cs="Courier New" w:eastAsia="Courier New" w:hAnsi="Courier New"/>
          <w:sz w:val="16"/>
          <w:szCs w:val="16"/>
          <w:color w:val="auto"/>
        </w:rPr>
        <w:t>5.2 Confidentiality. Each of Designs and Buyer agrees that, unless and until the Closing has been consummated, each of Designs and Buyer and their respective officers, directors, agents and representatives will hold in strict confidence, and will not use any confidential or proprietary data or information obtained from Seller or the Stockholders with respect to the business or financial condition of Seller except for the purpose of evaluating, negotiating and completing the transaction contemplated hereby and for any disclosure required by applicable law. Information generally known in Seller's industry or which has been disclosed to Designs or Buyer by third parties which have a right to do so shall not be deemed confidential or proprietary information for purposes of this agreement. If the transaction contemplated by this Agreement is not consummated, each of Designs and Buyer will return to Seller (or certify that it has destroyed) all copies of such data and information, including but not limited to financial information, customer lists, business and corporate records, worksheets, test reports, tax returns, lists, memoranda, and other documents prepared by or made available to Designs or Buyer in connection with the transaction.</w:t>
      </w:r>
    </w:p>
    <w:p>
      <w:pPr>
        <w:spacing w:after="0" w:line="298" w:lineRule="exact"/>
        <w:rPr>
          <w:sz w:val="20"/>
          <w:szCs w:val="20"/>
          <w:color w:val="auto"/>
        </w:rPr>
      </w:pPr>
    </w:p>
    <w:p>
      <w:pPr>
        <w:ind w:left="80" w:right="2739" w:firstLine="527"/>
        <w:spacing w:after="0" w:line="274" w:lineRule="auto"/>
        <w:rPr>
          <w:sz w:val="20"/>
          <w:szCs w:val="20"/>
          <w:color w:val="auto"/>
        </w:rPr>
      </w:pPr>
      <w:r>
        <w:rPr>
          <w:rFonts w:ascii="Courier New" w:cs="Courier New" w:eastAsia="Courier New" w:hAnsi="Courier New"/>
          <w:sz w:val="18"/>
          <w:szCs w:val="18"/>
          <w:color w:val="auto"/>
        </w:rPr>
        <w:t>5.3 Cooperation. Each of Designs and Buyer shall cooperate with all reasonable requests of Seller and Seller's counsel in connection with the consummation of the transactions contemplated hereby.</w:t>
      </w:r>
    </w:p>
    <w:p>
      <w:pPr>
        <w:spacing w:after="0" w:line="82" w:lineRule="exact"/>
        <w:rPr>
          <w:sz w:val="20"/>
          <w:szCs w:val="20"/>
          <w:color w:val="auto"/>
        </w:rPr>
      </w:pPr>
    </w:p>
    <w:p>
      <w:pPr>
        <w:ind w:left="80" w:right="2739" w:firstLine="527"/>
        <w:spacing w:after="0" w:line="306" w:lineRule="auto"/>
        <w:rPr>
          <w:sz w:val="20"/>
          <w:szCs w:val="20"/>
          <w:color w:val="auto"/>
        </w:rPr>
      </w:pPr>
      <w:r>
        <w:rPr>
          <w:rFonts w:ascii="Courier New" w:cs="Courier New" w:eastAsia="Courier New" w:hAnsi="Courier New"/>
          <w:sz w:val="16"/>
          <w:szCs w:val="16"/>
          <w:color w:val="auto"/>
        </w:rPr>
        <w:t>5.4 Availability of Records to Seller. Upon Seller's request, Buyer shall make available to Seller such documents, books, records or information relating to Seller's business prior to the Closing as Seller may reasonably require after the Closing in connection with any</w:t>
      </w:r>
    </w:p>
    <w:p>
      <w:pPr>
        <w:sectPr>
          <w:pgSz w:w="11900" w:h="16862" w:orient="portrait"/>
          <w:cols w:equalWidth="0" w:num="1">
            <w:col w:w="9019"/>
          </w:cols>
          <w:pgMar w:left="1440" w:top="110" w:right="1440" w:bottom="0" w:gutter="0" w:footer="0" w:header="0"/>
        </w:sectPr>
      </w:pPr>
    </w:p>
    <w:bookmarkStart w:id="58" w:name="page59"/>
    <w:bookmarkEnd w:id="58"/>
    <w:p>
      <w:pPr>
        <w:spacing w:after="0" w:line="12" w:lineRule="exact"/>
        <w:rPr>
          <w:sz w:val="20"/>
          <w:szCs w:val="20"/>
          <w:color w:val="auto"/>
        </w:rPr>
      </w:pPr>
    </w:p>
    <w:p>
      <w:pPr>
        <w:ind w:left="80" w:right="2619"/>
        <w:spacing w:after="0" w:line="253" w:lineRule="auto"/>
        <w:rPr>
          <w:sz w:val="20"/>
          <w:szCs w:val="20"/>
          <w:color w:val="auto"/>
        </w:rPr>
      </w:pPr>
      <w:r>
        <w:rPr>
          <w:rFonts w:ascii="Courier New" w:cs="Courier New" w:eastAsia="Courier New" w:hAnsi="Courier New"/>
          <w:sz w:val="18"/>
          <w:szCs w:val="18"/>
          <w:color w:val="auto"/>
        </w:rPr>
        <w:t>tax determination, defense of any claim against Seller relating to the conduct of its business prior to the Closing or governmental investigation of Seller. Buyer agrees not to destroy any files or records which are subject to this Section 5.4 without giving reasonable notice to Seller, and, within 15 business days of receipt of such notice, Buyer may cause to be delivered to Seller the records intended to be destroyed, at Seller's expense.</w:t>
      </w:r>
    </w:p>
    <w:p>
      <w:pPr>
        <w:spacing w:after="0" w:line="104" w:lineRule="exact"/>
        <w:rPr>
          <w:sz w:val="20"/>
          <w:szCs w:val="20"/>
          <w:color w:val="auto"/>
        </w:rPr>
      </w:pPr>
    </w:p>
    <w:p>
      <w:pPr>
        <w:ind w:left="80" w:right="2619" w:firstLine="527"/>
        <w:spacing w:after="0" w:line="306" w:lineRule="auto"/>
        <w:rPr>
          <w:sz w:val="20"/>
          <w:szCs w:val="20"/>
          <w:color w:val="auto"/>
        </w:rPr>
      </w:pPr>
      <w:r>
        <w:rPr>
          <w:rFonts w:ascii="Courier New" w:cs="Courier New" w:eastAsia="Courier New" w:hAnsi="Courier New"/>
          <w:sz w:val="16"/>
          <w:szCs w:val="16"/>
          <w:color w:val="auto"/>
        </w:rPr>
        <w:t>5.5 Consummation of Agreement. Each of Buyer and Designs shall use its best efforts to perform and fulfill all conditions and obligations to be performed and fulfilled by it under this Agreement, to the end that the transactions contemplated by this Agreement shall be fully carried out.</w:t>
      </w:r>
    </w:p>
    <w:p>
      <w:pPr>
        <w:spacing w:after="0" w:line="60" w:lineRule="exact"/>
        <w:rPr>
          <w:sz w:val="20"/>
          <w:szCs w:val="20"/>
          <w:color w:val="auto"/>
        </w:rPr>
      </w:pPr>
    </w:p>
    <w:p>
      <w:pPr>
        <w:ind w:left="180"/>
        <w:spacing w:after="0"/>
        <w:tabs>
          <w:tab w:leader="none" w:pos="174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CONDITIONS.</w:t>
      </w:r>
    </w:p>
    <w:p>
      <w:pPr>
        <w:spacing w:after="0" w:line="201" w:lineRule="exact"/>
        <w:rPr>
          <w:sz w:val="20"/>
          <w:szCs w:val="20"/>
          <w:color w:val="auto"/>
        </w:rPr>
      </w:pPr>
    </w:p>
    <w:p>
      <w:pPr>
        <w:ind w:left="80" w:right="2739" w:firstLine="527"/>
        <w:spacing w:after="0" w:line="265" w:lineRule="auto"/>
        <w:rPr>
          <w:sz w:val="20"/>
          <w:szCs w:val="20"/>
          <w:color w:val="auto"/>
        </w:rPr>
      </w:pPr>
      <w:r>
        <w:rPr>
          <w:rFonts w:ascii="Courier New" w:cs="Courier New" w:eastAsia="Courier New" w:hAnsi="Courier New"/>
          <w:sz w:val="18"/>
          <w:szCs w:val="18"/>
          <w:color w:val="auto"/>
        </w:rPr>
        <w:t>6.1 Conditions to the Obligations of Designs and Buyer. The obligation of Designs and Buyer to consummate this Agreement and the transactions contemplated hereby are subject to the fulfillment or waiver, prior to or at the Closing, of the following conditions precedent:</w:t>
      </w:r>
    </w:p>
    <w:p>
      <w:pPr>
        <w:spacing w:after="0" w:line="90" w:lineRule="exact"/>
        <w:rPr>
          <w:sz w:val="20"/>
          <w:szCs w:val="20"/>
          <w:color w:val="auto"/>
        </w:rPr>
      </w:pPr>
    </w:p>
    <w:p>
      <w:pPr>
        <w:ind w:left="80" w:right="2739" w:firstLine="519"/>
        <w:spacing w:after="0" w:line="256" w:lineRule="auto"/>
        <w:tabs>
          <w:tab w:leader="none" w:pos="113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Covenants. Each of the representations and warranties of Seller and the Stockholders contained in Section 2 shall be true and correct as though made on and as of the Closing; and Seller shall, on or before the Closing, have performed all of its obligations hereunder which by the terms hereof are to be performed on or before the Closing.</w:t>
      </w:r>
    </w:p>
    <w:p>
      <w:pPr>
        <w:spacing w:after="0" w:line="98" w:lineRule="exact"/>
        <w:rPr>
          <w:rFonts w:ascii="Courier New" w:cs="Courier New" w:eastAsia="Courier New" w:hAnsi="Courier New"/>
          <w:sz w:val="18"/>
          <w:szCs w:val="18"/>
          <w:color w:val="auto"/>
        </w:rPr>
      </w:pPr>
    </w:p>
    <w:p>
      <w:pPr>
        <w:ind w:left="80" w:right="3039" w:firstLine="519"/>
        <w:spacing w:after="0" w:line="260" w:lineRule="auto"/>
        <w:tabs>
          <w:tab w:leader="none" w:pos="113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Change. There shall have been no material adverse change in the financial condition, prospects, properties, assets, liabilities, business or operations of Seller since the date hereof except as described in Schedule 2.11 hereto, whether or not in the ordinary course of business.</w:t>
      </w:r>
    </w:p>
    <w:p>
      <w:pPr>
        <w:spacing w:after="0" w:line="92" w:lineRule="exact"/>
        <w:rPr>
          <w:rFonts w:ascii="Courier New" w:cs="Courier New" w:eastAsia="Courier New" w:hAnsi="Courier New"/>
          <w:sz w:val="18"/>
          <w:szCs w:val="18"/>
          <w:color w:val="auto"/>
        </w:rPr>
      </w:pPr>
    </w:p>
    <w:p>
      <w:pPr>
        <w:ind w:left="80" w:right="2619" w:firstLine="519"/>
        <w:spacing w:after="0" w:line="260" w:lineRule="auto"/>
        <w:tabs>
          <w:tab w:leader="none" w:pos="113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from Officers. Seller shall have delivered to Buyer a certificate of Seller's Chairman or President and Chief Financial Officer dated as of the Closing to the effect that the statements set forth in paragraph (a) and (b) above in this Section 6.1 are true and correct.</w:t>
      </w:r>
    </w:p>
    <w:p>
      <w:pPr>
        <w:spacing w:after="0" w:line="92" w:lineRule="exact"/>
        <w:rPr>
          <w:rFonts w:ascii="Courier New" w:cs="Courier New" w:eastAsia="Courier New" w:hAnsi="Courier New"/>
          <w:sz w:val="18"/>
          <w:szCs w:val="18"/>
          <w:color w:val="auto"/>
        </w:rPr>
      </w:pPr>
    </w:p>
    <w:p>
      <w:pPr>
        <w:ind w:left="80" w:right="2739" w:firstLine="519"/>
        <w:spacing w:after="0" w:line="279" w:lineRule="auto"/>
        <w:tabs>
          <w:tab w:leader="none" w:pos="113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Designs' and Buyer's Counsel. All actions, proceedings, instruments and documents required to carry out this Agreement and the transactions contemplated hereby and all related legal matters contemplated by this Agreement shall have been approved by Goodwin, Procter &amp; Hoar as counsel for Designs and Buyer in its reasonable discretion, and such counsel shall have received on behalf of Designs and Buyer such other certificates, opinions, and documents in form satisfactory to such counsel, as Designs and Buyer may reasonably require from Seller and the Stockholders to evidence compliance with the terms and conditions hereof as of the Closing and the correctness as of the Closing of the representations and warranties of the Stockholders and Seller and the fulfillment of their respective covenants.</w:t>
      </w:r>
    </w:p>
    <w:p>
      <w:pPr>
        <w:spacing w:after="0" w:line="291" w:lineRule="exact"/>
        <w:rPr>
          <w:rFonts w:ascii="Courier New" w:cs="Courier New" w:eastAsia="Courier New" w:hAnsi="Courier New"/>
          <w:sz w:val="16"/>
          <w:szCs w:val="16"/>
          <w:color w:val="auto"/>
        </w:rPr>
      </w:pPr>
    </w:p>
    <w:p>
      <w:pPr>
        <w:ind w:left="80" w:right="2939" w:firstLine="519"/>
        <w:spacing w:after="0" w:line="292" w:lineRule="auto"/>
        <w:tabs>
          <w:tab w:leader="none" w:pos="113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 of Sale. Seller shall have executed and delivered the Bill of Sale in the form attached hereto as Exhibit 6.1(e).</w:t>
      </w:r>
    </w:p>
    <w:p>
      <w:pPr>
        <w:spacing w:after="0" w:line="66" w:lineRule="exact"/>
        <w:rPr>
          <w:rFonts w:ascii="Courier New" w:cs="Courier New" w:eastAsia="Courier New" w:hAnsi="Courier New"/>
          <w:sz w:val="18"/>
          <w:szCs w:val="18"/>
          <w:color w:val="auto"/>
        </w:rPr>
      </w:pPr>
    </w:p>
    <w:p>
      <w:pPr>
        <w:ind w:left="80" w:right="2939" w:firstLine="519"/>
        <w:spacing w:after="0" w:line="292" w:lineRule="auto"/>
        <w:tabs>
          <w:tab w:leader="none" w:pos="113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Trademarks. Seller shall have executed and delivered an Assignment of Trademarks in the form attached hereto as Exhibit 6.1(f).</w:t>
      </w:r>
    </w:p>
    <w:p>
      <w:pPr>
        <w:spacing w:after="0" w:line="66" w:lineRule="exact"/>
        <w:rPr>
          <w:rFonts w:ascii="Courier New" w:cs="Courier New" w:eastAsia="Courier New" w:hAnsi="Courier New"/>
          <w:sz w:val="18"/>
          <w:szCs w:val="18"/>
          <w:color w:val="auto"/>
        </w:rPr>
      </w:pPr>
    </w:p>
    <w:p>
      <w:pPr>
        <w:ind w:left="80" w:right="2739" w:firstLine="519"/>
        <w:spacing w:after="0" w:line="318" w:lineRule="auto"/>
        <w:tabs>
          <w:tab w:leader="none" w:pos="113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On the Closing Date, Designs and Buyer shall have received from Goldstein &amp; Manello, counsel for Seller and the Stockholders, an opinion as of said date, in the form attached hereto as Exhibit 6.1(g).</w:t>
      </w:r>
    </w:p>
    <w:p>
      <w:pPr>
        <w:spacing w:after="0" w:line="52" w:lineRule="exact"/>
        <w:rPr>
          <w:rFonts w:ascii="Courier New" w:cs="Courier New" w:eastAsia="Courier New" w:hAnsi="Courier New"/>
          <w:sz w:val="16"/>
          <w:szCs w:val="16"/>
          <w:color w:val="auto"/>
        </w:rPr>
      </w:pPr>
    </w:p>
    <w:p>
      <w:pPr>
        <w:ind w:left="80" w:right="2739" w:firstLine="519"/>
        <w:spacing w:after="0" w:line="293" w:lineRule="auto"/>
        <w:tabs>
          <w:tab w:leader="none" w:pos="113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Litigation. There shall have been no determination by Buyer, acting in good faith, that the consummation of the transactions contemplated by this Agreement has become inadvisable or impracticable by reason of the institution or threat by any person or any federal, state or other governmental authority of litigation, proceedings or other action against Designs, Buyer, Seller</w:t>
      </w:r>
    </w:p>
    <w:p>
      <w:pPr>
        <w:sectPr>
          <w:pgSz w:w="11900" w:h="16850" w:orient="portrait"/>
          <w:cols w:equalWidth="0" w:num="1">
            <w:col w:w="9019"/>
          </w:cols>
          <w:pgMar w:left="1440" w:top="110" w:right="1440" w:bottom="0" w:gutter="0" w:footer="0" w:header="0"/>
        </w:sectPr>
      </w:pPr>
    </w:p>
    <w:bookmarkStart w:id="59" w:name="page60"/>
    <w:bookmarkEnd w:id="59"/>
    <w:p>
      <w:pPr>
        <w:spacing w:after="0" w:line="110"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or any Stockholder.</w:t>
      </w:r>
    </w:p>
    <w:p>
      <w:pPr>
        <w:spacing w:after="0" w:line="201" w:lineRule="exact"/>
        <w:rPr>
          <w:sz w:val="20"/>
          <w:szCs w:val="20"/>
          <w:color w:val="auto"/>
        </w:rPr>
      </w:pPr>
    </w:p>
    <w:p>
      <w:pPr>
        <w:ind w:left="80" w:right="2619" w:firstLine="519"/>
        <w:spacing w:after="0" w:line="273" w:lineRule="auto"/>
        <w:tabs>
          <w:tab w:leader="none" w:pos="113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Seller shall have made all filings with and notifications of governmental authorities, regulatory agencies and other entities required to be made by Seller in connection with the execution and delivery of this Agreement, the performance of the transactions contemplated hereby and the continued operation of the business of Seller by Buyer subsequent to the Closing; and Seller and Buyer shall have received all authorizations, waivers, consents, permits, non-disturbance agreements and estoppels, in form and substance reasonably satisfactory to Buyer, from all third parties, including, without limitation, applicable governmental authorities, regulatory agencies, landlords and lessors (including but not limited to landlords and lessors under the Leases except for Seller's Manchester, Vermont retail store, which consent to assignment shall not be a condition to Closing), lenders and contract parties, and the Releases contemplated by Section 3.3, required to permit the continuation of the business of Seller and the consummation of the transactions contemplated by this Agreement, and in connection with the transfer of Subject Assets or Seller's contracts, permits, leases, licenses and franchises, to avoid a breach, default, termination, acceleration or modification of any indenture, loan or credit agreement or any other agreement, contract, instrument, mortgage, lien, lease, permit, authorization, order, writ, judgment, injunction, decree, determination or arbitration award as a result of, or in connection with, the execution and performance of this Agreement.</w:t>
      </w:r>
    </w:p>
    <w:p>
      <w:pPr>
        <w:spacing w:after="0" w:line="200" w:lineRule="exact"/>
        <w:rPr>
          <w:rFonts w:ascii="Courier New" w:cs="Courier New" w:eastAsia="Courier New" w:hAnsi="Courier New"/>
          <w:sz w:val="16"/>
          <w:szCs w:val="16"/>
          <w:color w:val="auto"/>
        </w:rPr>
      </w:pPr>
    </w:p>
    <w:p>
      <w:pPr>
        <w:spacing w:after="0" w:line="314" w:lineRule="exact"/>
        <w:rPr>
          <w:rFonts w:ascii="Courier New" w:cs="Courier New" w:eastAsia="Courier New" w:hAnsi="Courier New"/>
          <w:sz w:val="16"/>
          <w:szCs w:val="16"/>
          <w:color w:val="auto"/>
        </w:rPr>
      </w:pPr>
    </w:p>
    <w:p>
      <w:pPr>
        <w:ind w:left="80" w:right="2839" w:firstLine="519"/>
        <w:spacing w:after="0" w:line="274" w:lineRule="auto"/>
        <w:tabs>
          <w:tab w:leader="none" w:pos="113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Consulting Agreements. Each of the Stockholders shall have executed and delivered to Designs a Consulting Agreement in substantially the form attached hereto as Exhibit 6.1(j).</w:t>
      </w:r>
    </w:p>
    <w:p>
      <w:pPr>
        <w:spacing w:after="0" w:line="81" w:lineRule="exact"/>
        <w:rPr>
          <w:rFonts w:ascii="Courier New" w:cs="Courier New" w:eastAsia="Courier New" w:hAnsi="Courier New"/>
          <w:sz w:val="18"/>
          <w:szCs w:val="18"/>
          <w:color w:val="auto"/>
        </w:rPr>
      </w:pPr>
    </w:p>
    <w:p>
      <w:pPr>
        <w:ind w:left="80" w:right="2619" w:firstLine="519"/>
        <w:spacing w:after="0" w:line="285" w:lineRule="auto"/>
        <w:tabs>
          <w:tab w:leader="none" w:pos="113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License Agreements. Seller shall have obtained terminations of all outstanding Domestic Trademark Licenses which terminations shall allow Buyer the right to enjoy the use of the underlying trademarks free and clear from any claims of the respective licensees, except that Seller shall be deemed to have satisfied this condition even if Seller fails to obtain terminations from any of Weber, Chano, Platinum and Mimco, provided that Seller has used its best efforts to obtain terminations from each of such licensees prior to the Closing.</w:t>
      </w:r>
    </w:p>
    <w:p>
      <w:pPr>
        <w:spacing w:after="0" w:line="291" w:lineRule="exact"/>
        <w:rPr>
          <w:rFonts w:ascii="Courier New" w:cs="Courier New" w:eastAsia="Courier New" w:hAnsi="Courier New"/>
          <w:sz w:val="16"/>
          <w:szCs w:val="16"/>
          <w:color w:val="auto"/>
        </w:rPr>
      </w:pPr>
    </w:p>
    <w:p>
      <w:pPr>
        <w:ind w:left="80" w:right="2619" w:firstLine="519"/>
        <w:spacing w:after="0" w:line="306" w:lineRule="auto"/>
        <w:tabs>
          <w:tab w:leader="none" w:pos="113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FIRPTA Withholding. At or prior to the Closing, Buyer shall have received from each Stockholder a "transferor's certificate of non-foreign status" as provided in the Treasury Regulations under Section 1445 of the Code substantially in the form attached hereto as Exhibit 6.1(l).</w:t>
      </w:r>
    </w:p>
    <w:p>
      <w:pPr>
        <w:spacing w:after="0" w:line="60" w:lineRule="exact"/>
        <w:rPr>
          <w:rFonts w:ascii="Courier New" w:cs="Courier New" w:eastAsia="Courier New" w:hAnsi="Courier New"/>
          <w:sz w:val="16"/>
          <w:szCs w:val="16"/>
          <w:color w:val="auto"/>
        </w:rPr>
      </w:pPr>
    </w:p>
    <w:p>
      <w:pPr>
        <w:ind w:left="80" w:right="2619" w:firstLine="519"/>
        <w:spacing w:after="0" w:line="283" w:lineRule="auto"/>
        <w:tabs>
          <w:tab w:leader="none" w:pos="113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Relations. Buyer shall be reasonably satisfied based on personal interviews with and correspondence from Seller's Customers, Distributors and Suppliers that such Customers, Distributors (other than any Customers and Distributors to the extent such Customers and Distributors are solely involved in the wholesale business conducted by Seller), and Suppliers intend to continue their current level of business with Seller after the Closing. In the case of any such interview, Buyer shall notify Seller in advance of such interview and an officer of Seller may be present at such interview.</w:t>
      </w:r>
    </w:p>
    <w:p>
      <w:pPr>
        <w:spacing w:after="0" w:line="293" w:lineRule="exact"/>
        <w:rPr>
          <w:rFonts w:ascii="Courier New" w:cs="Courier New" w:eastAsia="Courier New" w:hAnsi="Courier New"/>
          <w:sz w:val="16"/>
          <w:szCs w:val="16"/>
          <w:color w:val="auto"/>
        </w:rPr>
      </w:pPr>
    </w:p>
    <w:p>
      <w:pPr>
        <w:ind w:left="80" w:right="3039" w:firstLine="519"/>
        <w:spacing w:after="0" w:line="347" w:lineRule="auto"/>
        <w:tabs>
          <w:tab w:leader="none" w:pos="113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 Tax Waivers. At or prior to the Closing, Buyer shall have received from Seller:</w:t>
      </w:r>
    </w:p>
    <w:p>
      <w:pPr>
        <w:spacing w:after="0" w:line="18" w:lineRule="exact"/>
        <w:rPr>
          <w:sz w:val="20"/>
          <w:szCs w:val="20"/>
          <w:color w:val="auto"/>
        </w:rPr>
      </w:pPr>
    </w:p>
    <w:p>
      <w:pPr>
        <w:ind w:left="80" w:right="2619" w:firstLine="519"/>
        <w:spacing w:after="0" w:line="292" w:lineRule="auto"/>
        <w:tabs>
          <w:tab w:leader="none" w:pos="113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payment/good standing from the Commissioner of Revenue as provided in Massachusetts General Laws Chapter 62C, Section 44(a); and</w:t>
      </w:r>
    </w:p>
    <w:p>
      <w:pPr>
        <w:spacing w:after="0" w:line="66" w:lineRule="exact"/>
        <w:rPr>
          <w:rFonts w:ascii="Courier New" w:cs="Courier New" w:eastAsia="Courier New" w:hAnsi="Courier New"/>
          <w:sz w:val="18"/>
          <w:szCs w:val="18"/>
          <w:color w:val="auto"/>
        </w:rPr>
      </w:pPr>
    </w:p>
    <w:p>
      <w:pPr>
        <w:ind w:left="80" w:right="2839" w:firstLine="519"/>
        <w:spacing w:after="0" w:line="260" w:lineRule="auto"/>
        <w:tabs>
          <w:tab w:leader="none" w:pos="113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a waiver of tax lien issued by the Commissioner of Revenue pursuant to Massachusetts General Laws Chapter 62C, Sections 51 and 52 and recorded with the appropriate register of deeds as provided in Section 51 of Massachusetts General Laws Chapter 62C, if required by applicable law.</w:t>
      </w:r>
    </w:p>
    <w:p>
      <w:pPr>
        <w:spacing w:after="0" w:line="93" w:lineRule="exact"/>
        <w:rPr>
          <w:sz w:val="20"/>
          <w:szCs w:val="20"/>
          <w:color w:val="auto"/>
        </w:rPr>
      </w:pPr>
    </w:p>
    <w:p>
      <w:pPr>
        <w:ind w:left="80" w:right="2619" w:firstLine="527"/>
        <w:spacing w:after="0" w:line="420" w:lineRule="auto"/>
        <w:rPr>
          <w:sz w:val="20"/>
          <w:szCs w:val="20"/>
          <w:color w:val="auto"/>
        </w:rPr>
      </w:pPr>
      <w:r>
        <w:rPr>
          <w:rFonts w:ascii="Courier New" w:cs="Courier New" w:eastAsia="Courier New" w:hAnsi="Courier New"/>
          <w:sz w:val="16"/>
          <w:szCs w:val="16"/>
          <w:color w:val="auto"/>
        </w:rPr>
        <w:t>6.2 Conditions to Obligations of Seller and the Stockholders. The obligation of Seller and the Stockholders</w:t>
      </w:r>
    </w:p>
    <w:p>
      <w:pPr>
        <w:sectPr>
          <w:pgSz w:w="11900" w:h="16948" w:orient="portrait"/>
          <w:cols w:equalWidth="0" w:num="1">
            <w:col w:w="9019"/>
          </w:cols>
          <w:pgMar w:left="1440" w:top="110" w:right="1440" w:bottom="0" w:gutter="0" w:footer="0" w:header="0"/>
        </w:sectPr>
      </w:pPr>
    </w:p>
    <w:bookmarkStart w:id="60" w:name="page61"/>
    <w:bookmarkEnd w:id="60"/>
    <w:p>
      <w:pPr>
        <w:ind w:left="80" w:right="2619"/>
        <w:spacing w:after="0" w:line="274" w:lineRule="auto"/>
        <w:rPr>
          <w:sz w:val="20"/>
          <w:szCs w:val="20"/>
          <w:color w:val="auto"/>
        </w:rPr>
      </w:pPr>
      <w:r>
        <w:rPr>
          <w:rFonts w:ascii="Courier New" w:cs="Courier New" w:eastAsia="Courier New" w:hAnsi="Courier New"/>
          <w:sz w:val="18"/>
          <w:szCs w:val="18"/>
          <w:color w:val="auto"/>
        </w:rPr>
        <w:t>to consummate this Agreement and the transactions contemplated hereby is subject to the fulfillment or waiver, prior to or at the Closing, of the following conditions precedent:</w:t>
      </w:r>
    </w:p>
    <w:p>
      <w:pPr>
        <w:spacing w:after="0" w:line="82" w:lineRule="exact"/>
        <w:rPr>
          <w:sz w:val="20"/>
          <w:szCs w:val="20"/>
          <w:color w:val="auto"/>
        </w:rPr>
      </w:pPr>
    </w:p>
    <w:p>
      <w:pPr>
        <w:ind w:left="80" w:right="2619" w:firstLine="519"/>
        <w:spacing w:after="0" w:line="287" w:lineRule="auto"/>
        <w:tabs>
          <w:tab w:leader="none" w:pos="113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Warranties; Covenants. Each of the representations and warranties of Designs and Buyer contained in Section 4 shall be true and correct as though made on and as of the Closing; Designs and Buyer shall, on or before the Closing, have performed all of its obligations hereunder which by the terms hereof are to be performed on or before the Closing; and Designs and Buyer shall have delivered to Seller a certificate of the President or any Vice President of Buyer dated on the Closing to such effect.</w:t>
      </w:r>
    </w:p>
    <w:p>
      <w:pPr>
        <w:spacing w:after="0" w:line="75" w:lineRule="exact"/>
        <w:rPr>
          <w:rFonts w:ascii="Courier New" w:cs="Courier New" w:eastAsia="Courier New" w:hAnsi="Courier New"/>
          <w:sz w:val="16"/>
          <w:szCs w:val="16"/>
          <w:color w:val="auto"/>
        </w:rPr>
      </w:pPr>
    </w:p>
    <w:p>
      <w:pPr>
        <w:ind w:left="80" w:right="2739" w:firstLine="519"/>
        <w:spacing w:after="0" w:line="253" w:lineRule="auto"/>
        <w:tabs>
          <w:tab w:leader="none" w:pos="113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Litigation. There shall have been no determination by Seller, acting in good faith, that the consummation of the transactions contemplated by this Agreement has become inadvisable or impracticable by reason of the institution or threat by any person or any federal, state or other governmental authority of material litigation, proceedings or other action against Designs, Buyer, Seller or any Stockholder.</w:t>
      </w:r>
    </w:p>
    <w:p>
      <w:pPr>
        <w:spacing w:after="0" w:line="103" w:lineRule="exact"/>
        <w:rPr>
          <w:rFonts w:ascii="Courier New" w:cs="Courier New" w:eastAsia="Courier New" w:hAnsi="Courier New"/>
          <w:sz w:val="18"/>
          <w:szCs w:val="18"/>
          <w:color w:val="auto"/>
        </w:rPr>
      </w:pPr>
    </w:p>
    <w:p>
      <w:pPr>
        <w:ind w:left="80" w:right="2839" w:firstLine="519"/>
        <w:spacing w:after="0" w:line="274" w:lineRule="auto"/>
        <w:tabs>
          <w:tab w:leader="none" w:pos="113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Counsel. On the Closing Date, Seller shall have received from Goodwin, Procter &amp; Hoar, counsel for Designs and Buyer, an opinion as of said date, in the form attached hereto as Exhibit 6.2(c).</w:t>
      </w:r>
    </w:p>
    <w:p>
      <w:pPr>
        <w:spacing w:after="0" w:line="82" w:lineRule="exact"/>
        <w:rPr>
          <w:sz w:val="20"/>
          <w:szCs w:val="20"/>
          <w:color w:val="auto"/>
        </w:rPr>
      </w:pPr>
    </w:p>
    <w:p>
      <w:pPr>
        <w:ind w:left="180"/>
        <w:spacing w:after="0"/>
        <w:tabs>
          <w:tab w:leader="none" w:pos="174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CERTAIN EMPLOYEE AND EMPLOYEE PLAN MATTERS.</w:t>
      </w:r>
    </w:p>
    <w:p>
      <w:pPr>
        <w:spacing w:after="0" w:line="201" w:lineRule="exact"/>
        <w:rPr>
          <w:sz w:val="20"/>
          <w:szCs w:val="20"/>
          <w:color w:val="auto"/>
        </w:rPr>
      </w:pPr>
    </w:p>
    <w:p>
      <w:pPr>
        <w:ind w:left="80" w:right="2739" w:firstLine="527"/>
        <w:spacing w:after="0" w:line="274" w:lineRule="auto"/>
        <w:rPr>
          <w:sz w:val="20"/>
          <w:szCs w:val="20"/>
          <w:color w:val="auto"/>
        </w:rPr>
      </w:pPr>
      <w:r>
        <w:rPr>
          <w:rFonts w:ascii="Courier New" w:cs="Courier New" w:eastAsia="Courier New" w:hAnsi="Courier New"/>
          <w:sz w:val="16"/>
          <w:szCs w:val="16"/>
          <w:color w:val="auto"/>
        </w:rPr>
        <w:t>7.1 Offers of Employment. Schedule 7.1(a) attached hereto (a) identifies each employee of Seller who is actively employed by and provides services primarily to Seller and (b) designates those employees who are employed by Seller in its retail stores as of the date hereof (collectively, the "BTL Employees"). Prior to the Closing, Buyer will offer employment, commencing as of the Closing,</w:t>
      </w:r>
    </w:p>
    <w:p>
      <w:pPr>
        <w:spacing w:after="0" w:line="2" w:lineRule="exact"/>
        <w:rPr>
          <w:sz w:val="20"/>
          <w:szCs w:val="20"/>
          <w:color w:val="auto"/>
        </w:rPr>
      </w:pPr>
    </w:p>
    <w:p>
      <w:pPr>
        <w:ind w:left="80" w:right="2739" w:hanging="8"/>
        <w:spacing w:after="0" w:line="268" w:lineRule="auto"/>
        <w:tabs>
          <w:tab w:leader="none" w:pos="50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BTL Employees then legally employed in Seller's retail stores, which employment shall initially be at the same retail store location where each BTL Employee is currently employed, provided that Buyer is able to operate such location as of the Closing, and subject to Buyer's right to reassign or terminate any BTL Employee as it deems necessary or advisable based on a post-Closing review, and</w:t>
      </w:r>
    </w:p>
    <w:p>
      <w:pPr>
        <w:spacing w:after="0" w:line="1" w:lineRule="exact"/>
        <w:rPr>
          <w:rFonts w:ascii="Courier New" w:cs="Courier New" w:eastAsia="Courier New" w:hAnsi="Courier New"/>
          <w:sz w:val="16"/>
          <w:szCs w:val="16"/>
          <w:color w:val="auto"/>
        </w:rPr>
      </w:pPr>
    </w:p>
    <w:p>
      <w:pPr>
        <w:ind w:left="80" w:right="2619" w:hanging="8"/>
        <w:spacing w:after="0" w:line="252" w:lineRule="auto"/>
        <w:tabs>
          <w:tab w:leader="none" w:pos="607"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BTL Employees legally employed by Seller whom Buyer wishes to hire, in each case on such terms of employment as Buyer deems advisable, provided that Buyer shall not be subject to any ongoing employment obligation following the Closing except as it may determine in its sole discretion.</w:t>
      </w:r>
    </w:p>
    <w:p>
      <w:pPr>
        <w:spacing w:after="0" w:line="101" w:lineRule="exact"/>
        <w:rPr>
          <w:sz w:val="20"/>
          <w:szCs w:val="20"/>
          <w:color w:val="auto"/>
        </w:rPr>
      </w:pPr>
    </w:p>
    <w:p>
      <w:pPr>
        <w:ind w:left="80" w:right="2619" w:firstLine="527"/>
        <w:spacing w:after="0" w:line="280" w:lineRule="auto"/>
        <w:rPr>
          <w:sz w:val="20"/>
          <w:szCs w:val="20"/>
          <w:color w:val="auto"/>
        </w:rPr>
      </w:pPr>
      <w:r>
        <w:rPr>
          <w:rFonts w:ascii="Courier New" w:cs="Courier New" w:eastAsia="Courier New" w:hAnsi="Courier New"/>
          <w:sz w:val="16"/>
          <w:szCs w:val="16"/>
          <w:color w:val="auto"/>
        </w:rPr>
        <w:t>7.2 Seller's Retention of Employee Liability and Indemnity. Seller shall remain solely liable and be solely responsible for any and all obligations or liabilities that may arise from the termination of the employment of BTL Employees with Seller whether or not such BTL Employees receive offers of employment from Buyer, receive such offers of employment but reject such offers, or accept offers of employment from Buyer (including without limitation obligations or liabilities arising under the employment termination, lay off or severance pay policies of Seller disclosed pursuant to Section 2.24 hereof with respect to all BTL Employees and liabilities arising under the continuation of health care coverage requirements of Section 4980B of the Code and Sections 601 through 607 of ERISA).</w:t>
      </w:r>
    </w:p>
    <w:p>
      <w:pPr>
        <w:spacing w:after="0" w:line="290" w:lineRule="exact"/>
        <w:rPr>
          <w:sz w:val="20"/>
          <w:szCs w:val="20"/>
          <w:color w:val="auto"/>
        </w:rPr>
      </w:pPr>
    </w:p>
    <w:p>
      <w:pPr>
        <w:ind w:left="80" w:right="2619" w:firstLine="527"/>
        <w:spacing w:after="0" w:line="253" w:lineRule="auto"/>
        <w:rPr>
          <w:sz w:val="20"/>
          <w:szCs w:val="20"/>
          <w:color w:val="auto"/>
        </w:rPr>
      </w:pPr>
      <w:r>
        <w:rPr>
          <w:rFonts w:ascii="Courier New" w:cs="Courier New" w:eastAsia="Courier New" w:hAnsi="Courier New"/>
          <w:sz w:val="18"/>
          <w:szCs w:val="18"/>
          <w:color w:val="auto"/>
        </w:rPr>
        <w:t>7.3 Employee Programs. Seller shall remain solely liable and be solely responsible for, and Buyer shall not be obligated to assume, any and all claims, obligations or liabilities arising under the Employee Programs more particularly described in Schedule 2.24 hereto, and Buyer shall have no obligation to establish or continue in effect any benefit program, plan, or arrangement available to BTL Employees prior to the Closing.</w:t>
      </w:r>
    </w:p>
    <w:p>
      <w:pPr>
        <w:spacing w:after="0" w:line="104" w:lineRule="exact"/>
        <w:rPr>
          <w:sz w:val="20"/>
          <w:szCs w:val="20"/>
          <w:color w:val="auto"/>
        </w:rPr>
      </w:pPr>
    </w:p>
    <w:p>
      <w:pPr>
        <w:ind w:left="180"/>
        <w:spacing w:after="0"/>
        <w:tabs>
          <w:tab w:leader="none" w:pos="174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TERMINATION OF AGREEMENT; RIGHTS TO PROCEED.</w:t>
      </w:r>
    </w:p>
    <w:p>
      <w:pPr>
        <w:spacing w:after="0" w:line="201" w:lineRule="exact"/>
        <w:rPr>
          <w:sz w:val="20"/>
          <w:szCs w:val="20"/>
          <w:color w:val="auto"/>
        </w:rPr>
      </w:pPr>
    </w:p>
    <w:p>
      <w:pPr>
        <w:ind w:left="80" w:right="2939" w:firstLine="527"/>
        <w:spacing w:after="0" w:line="347" w:lineRule="auto"/>
        <w:rPr>
          <w:sz w:val="20"/>
          <w:szCs w:val="20"/>
          <w:color w:val="auto"/>
        </w:rPr>
      </w:pPr>
      <w:r>
        <w:rPr>
          <w:rFonts w:ascii="Courier New" w:cs="Courier New" w:eastAsia="Courier New" w:hAnsi="Courier New"/>
          <w:sz w:val="18"/>
          <w:szCs w:val="18"/>
          <w:color w:val="auto"/>
        </w:rPr>
        <w:t>8.1 Termination. At any time prior to the Closing, this Agreement may be terminated as follows:</w:t>
      </w:r>
    </w:p>
    <w:p>
      <w:pPr>
        <w:sectPr>
          <w:pgSz w:w="11900" w:h="16838" w:orient="portrait"/>
          <w:cols w:equalWidth="0" w:num="1">
            <w:col w:w="9019"/>
          </w:cols>
          <w:pgMar w:left="1440" w:top="110" w:right="1440" w:bottom="0" w:gutter="0" w:footer="0" w:header="0"/>
        </w:sectPr>
      </w:pPr>
    </w:p>
    <w:bookmarkStart w:id="61" w:name="page62"/>
    <w:bookmarkEnd w:id="61"/>
    <w:p>
      <w:pPr>
        <w:ind w:left="80" w:right="2619" w:firstLine="519"/>
        <w:spacing w:after="0" w:line="347" w:lineRule="auto"/>
        <w:tabs>
          <w:tab w:leader="none" w:pos="113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all of the parties to this Agreement;</w:t>
      </w:r>
    </w:p>
    <w:p>
      <w:pPr>
        <w:spacing w:after="0" w:line="18" w:lineRule="exact"/>
        <w:rPr>
          <w:rFonts w:ascii="Courier New" w:cs="Courier New" w:eastAsia="Courier New" w:hAnsi="Courier New"/>
          <w:sz w:val="18"/>
          <w:szCs w:val="18"/>
          <w:color w:val="auto"/>
        </w:rPr>
      </w:pPr>
    </w:p>
    <w:p>
      <w:pPr>
        <w:ind w:left="80" w:right="2619" w:firstLine="519"/>
        <w:spacing w:after="0" w:line="250" w:lineRule="auto"/>
        <w:tabs>
          <w:tab w:leader="none" w:pos="113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Designs or Buyer, pursuant to written notice by Designs or Buyer to Seller, if any of the conditions set forth in Section 6.1 of this Agreement have not been satisfied immediately prior to the Closing, or if it has become reasonably and objectively certain that any of such conditions, other than a condition within the control of Seller or any Stockholder, will not be satisfied at or prior to the Closing such written notice to set forth such conditions which have not been or will not be so satisfied; and</w:t>
      </w:r>
    </w:p>
    <w:p>
      <w:pPr>
        <w:spacing w:after="0" w:line="104" w:lineRule="exact"/>
        <w:rPr>
          <w:rFonts w:ascii="Courier New" w:cs="Courier New" w:eastAsia="Courier New" w:hAnsi="Courier New"/>
          <w:sz w:val="18"/>
          <w:szCs w:val="18"/>
          <w:color w:val="auto"/>
        </w:rPr>
      </w:pPr>
    </w:p>
    <w:p>
      <w:pPr>
        <w:ind w:left="80" w:right="2619" w:firstLine="519"/>
        <w:spacing w:after="0" w:line="252" w:lineRule="auto"/>
        <w:tabs>
          <w:tab w:leader="none" w:pos="113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Seller, pursuant to written notice by Seller to Designs and Buyer, if any of the conditions set forth in Section 6.2 of this Agreement have not been satisfied at or prior to the Closing, or if it has become reasonably and objectively certain that any of such conditions, other than a condition within the control of Seller or any Stockholder, will not be satisfied at or prior to the Closing such written notice to set forth such conditions which have not been or will not be so satisfied.</w:t>
      </w:r>
    </w:p>
    <w:p>
      <w:pPr>
        <w:spacing w:after="0" w:line="99" w:lineRule="exact"/>
        <w:rPr>
          <w:sz w:val="20"/>
          <w:szCs w:val="20"/>
          <w:color w:val="auto"/>
        </w:rPr>
      </w:pPr>
    </w:p>
    <w:p>
      <w:pPr>
        <w:ind w:left="80" w:right="2739" w:firstLine="527"/>
        <w:spacing w:after="0" w:line="249" w:lineRule="auto"/>
        <w:rPr>
          <w:sz w:val="20"/>
          <w:szCs w:val="20"/>
          <w:color w:val="auto"/>
        </w:rPr>
      </w:pPr>
      <w:r>
        <w:rPr>
          <w:rFonts w:ascii="Courier New" w:cs="Courier New" w:eastAsia="Courier New" w:hAnsi="Courier New"/>
          <w:sz w:val="18"/>
          <w:szCs w:val="18"/>
          <w:color w:val="auto"/>
        </w:rPr>
        <w:t>8.2 Effect of Termination. All obligations of the parties hereunder shall cease upon any termination pursuant to Section 8.1, provided, however, that (i) the provisions of this Section 8, Section 3.9, Section 5.2, Section 11.5, Section 11.6, Section 11.7 and Section 11.14 hereof shall survive any termination of this Agreement; and (ii) nothing herein shall relieve any party from any liability for a material error or omission in any of its representations or warranties contained herein or a material failure to comply with any of its covenants, conditions or agreements contained herein.</w:t>
      </w:r>
    </w:p>
    <w:p>
      <w:pPr>
        <w:spacing w:after="0" w:line="104" w:lineRule="exact"/>
        <w:rPr>
          <w:sz w:val="20"/>
          <w:szCs w:val="20"/>
          <w:color w:val="auto"/>
        </w:rPr>
      </w:pPr>
    </w:p>
    <w:p>
      <w:pPr>
        <w:ind w:left="180"/>
        <w:spacing w:after="0"/>
        <w:tabs>
          <w:tab w:leader="none" w:pos="174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SURVIVAL OF WARRANTIES.</w:t>
      </w:r>
    </w:p>
    <w:p>
      <w:pPr>
        <w:spacing w:after="0" w:line="201" w:lineRule="exact"/>
        <w:rPr>
          <w:sz w:val="20"/>
          <w:szCs w:val="20"/>
          <w:color w:val="auto"/>
        </w:rPr>
      </w:pPr>
    </w:p>
    <w:p>
      <w:pPr>
        <w:ind w:left="80" w:right="2619" w:firstLine="527"/>
        <w:spacing w:after="0" w:line="278" w:lineRule="auto"/>
        <w:rPr>
          <w:sz w:val="20"/>
          <w:szCs w:val="20"/>
          <w:color w:val="auto"/>
        </w:rPr>
      </w:pPr>
      <w:r>
        <w:rPr>
          <w:rFonts w:ascii="Courier New" w:cs="Courier New" w:eastAsia="Courier New" w:hAnsi="Courier New"/>
          <w:sz w:val="16"/>
          <w:szCs w:val="16"/>
          <w:color w:val="auto"/>
        </w:rPr>
        <w:t>Each of the representations, warranties, agreements, covenants and obligations herein or in any schedule, exhibit, certificate or financial statement delivered by any party to the other party incident to the transactions contemplated hereby are material, shall be deemed to have been relied upon by the other party and shall survive the Closing regardless of any investigation and shall not merge in the performance of any obligation by party hereto; provided, however, that the representations and warranties of the parties hereto shall survive the Closing only for a period of two years after the Closing Date, except that the representations and warranties contained in (a) Section 2.8 and, solely with respect to product liability claims, Section 2.19, shall survive until the expiration of the applicable statute of limitations and (b) Section 2.25 shall survive for a period of 10 years after the Closing Date.</w:t>
      </w:r>
    </w:p>
    <w:p>
      <w:pPr>
        <w:spacing w:after="0" w:line="85" w:lineRule="exact"/>
        <w:rPr>
          <w:sz w:val="20"/>
          <w:szCs w:val="20"/>
          <w:color w:val="auto"/>
        </w:rPr>
      </w:pPr>
    </w:p>
    <w:p>
      <w:pPr>
        <w:ind w:left="180"/>
        <w:spacing w:after="0"/>
        <w:tabs>
          <w:tab w:leader="none" w:pos="174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INDEMNIFICATION.</w:t>
      </w:r>
    </w:p>
    <w:p>
      <w:pPr>
        <w:spacing w:after="0" w:line="201" w:lineRule="exact"/>
        <w:rPr>
          <w:sz w:val="20"/>
          <w:szCs w:val="20"/>
          <w:color w:val="auto"/>
        </w:rPr>
      </w:pPr>
    </w:p>
    <w:p>
      <w:pPr>
        <w:ind w:left="80" w:right="2619" w:firstLine="527"/>
        <w:spacing w:after="0" w:line="278" w:lineRule="auto"/>
        <w:rPr>
          <w:sz w:val="20"/>
          <w:szCs w:val="20"/>
          <w:color w:val="auto"/>
        </w:rPr>
      </w:pPr>
      <w:r>
        <w:rPr>
          <w:rFonts w:ascii="Courier New" w:cs="Courier New" w:eastAsia="Courier New" w:hAnsi="Courier New"/>
          <w:sz w:val="16"/>
          <w:szCs w:val="16"/>
          <w:color w:val="auto"/>
        </w:rPr>
        <w:t>10.1 Indemnification by Seller and the Stockholders. Seller and Stockholders jointly and severally agree effective from and after the Closing to indemnify and hold Designs, Buyer and their respective subsidiaries and affiliates and persons serving as officers, directors, partners or employees thereof (individually a "Buyer Indemnified Party" and collectively the "Buyer Indemnified Parties") harmless from and against any damages, liabilities, losses, taxes, fines, penalties, costs, and expenses (including, without limitation, reasonable fees of counsel) of any kind or nature whatsoever (whether or not arising out of third-party claims and including all amounts paid in investigation, defense or settlement of the foregoing) (any and all of the foregoing, collectively, "Losses") which may be sustained or suffered by any of them arising out of or based upon any of the following matters:</w:t>
      </w:r>
    </w:p>
    <w:p>
      <w:pPr>
        <w:spacing w:after="0" w:line="295" w:lineRule="exact"/>
        <w:rPr>
          <w:sz w:val="20"/>
          <w:szCs w:val="20"/>
          <w:color w:val="auto"/>
        </w:rPr>
      </w:pPr>
    </w:p>
    <w:p>
      <w:pPr>
        <w:ind w:left="80" w:right="2619" w:firstLine="624"/>
        <w:spacing w:after="0" w:line="256" w:lineRule="auto"/>
        <w:tabs>
          <w:tab w:leader="none" w:pos="113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breach of any representation, warranty or covenant of Seller or any Stockholder under this Agreement or in any certificate, schedule or exhibit delivered pursuant hereto, or by reason of any claim, action or proceeding asserted or instituted growing out of any matter or thing constituting a breach of such representations, warranties or covenants;</w:t>
      </w:r>
    </w:p>
    <w:p>
      <w:pPr>
        <w:sectPr>
          <w:pgSz w:w="11900" w:h="16838" w:orient="portrait"/>
          <w:cols w:equalWidth="0" w:num="1">
            <w:col w:w="9019"/>
          </w:cols>
          <w:pgMar w:left="1440" w:top="110" w:right="1440" w:bottom="0" w:gutter="0" w:footer="0" w:header="0"/>
        </w:sectPr>
      </w:pPr>
    </w:p>
    <w:bookmarkStart w:id="62" w:name="page63"/>
    <w:bookmarkEnd w:id="62"/>
    <w:p>
      <w:pPr>
        <w:ind w:left="80" w:right="3259" w:firstLine="624"/>
        <w:spacing w:after="0" w:line="347" w:lineRule="auto"/>
        <w:tabs>
          <w:tab w:leader="none" w:pos="1133"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claims asserted under the Bulk Sales Act relative to any Excluded Liabilities;</w:t>
      </w:r>
    </w:p>
    <w:p>
      <w:pPr>
        <w:spacing w:after="0" w:line="18" w:lineRule="exact"/>
        <w:rPr>
          <w:rFonts w:ascii="Courier New" w:cs="Courier New" w:eastAsia="Courier New" w:hAnsi="Courier New"/>
          <w:sz w:val="18"/>
          <w:szCs w:val="18"/>
          <w:color w:val="auto"/>
        </w:rPr>
      </w:pPr>
    </w:p>
    <w:p>
      <w:pPr>
        <w:ind w:left="80" w:right="2619" w:firstLine="624"/>
        <w:spacing w:after="0" w:line="292" w:lineRule="auto"/>
        <w:tabs>
          <w:tab w:leader="none" w:pos="1133"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by Seller or the Stockholders to perform and discharge any of the Excluded Liabilities as set forth in this Agreement;</w:t>
      </w:r>
    </w:p>
    <w:p>
      <w:pPr>
        <w:spacing w:after="0" w:line="66" w:lineRule="exact"/>
        <w:rPr>
          <w:rFonts w:ascii="Courier New" w:cs="Courier New" w:eastAsia="Courier New" w:hAnsi="Courier New"/>
          <w:sz w:val="18"/>
          <w:szCs w:val="18"/>
          <w:color w:val="auto"/>
        </w:rPr>
      </w:pPr>
    </w:p>
    <w:p>
      <w:pPr>
        <w:ind w:left="80" w:right="3039" w:firstLine="624"/>
        <w:spacing w:after="0" w:line="347" w:lineRule="auto"/>
        <w:tabs>
          <w:tab w:leader="none" w:pos="1133"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of Seller or any Stockholder for Taxes (as defined in Section 2.8);</w:t>
      </w:r>
    </w:p>
    <w:p>
      <w:pPr>
        <w:spacing w:after="0" w:line="18" w:lineRule="exact"/>
        <w:rPr>
          <w:rFonts w:ascii="Courier New" w:cs="Courier New" w:eastAsia="Courier New" w:hAnsi="Courier New"/>
          <w:sz w:val="18"/>
          <w:szCs w:val="18"/>
          <w:color w:val="auto"/>
        </w:rPr>
      </w:pPr>
    </w:p>
    <w:p>
      <w:pPr>
        <w:ind w:left="80" w:right="2619" w:firstLine="624"/>
        <w:spacing w:after="0" w:line="273" w:lineRule="auto"/>
        <w:tabs>
          <w:tab w:leader="none" w:pos="1133"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action, suit, proceeding or the like made, initiated or filed by any third party against Seller, any Stockholder, the Subject Assets, and/or Designs or Buyer with respect to the Subject Assets or the Assumed Liabilities in connection with or as a result of the transactions contemplated by this Agreement, unless and to the extent that it is finally judicially determined that any Losses referred to in this clause (e) are attributable to</w:t>
      </w:r>
    </w:p>
    <w:p>
      <w:pPr>
        <w:spacing w:after="0" w:line="3" w:lineRule="exact"/>
        <w:rPr>
          <w:rFonts w:ascii="Courier New" w:cs="Courier New" w:eastAsia="Courier New" w:hAnsi="Courier New"/>
          <w:sz w:val="16"/>
          <w:szCs w:val="16"/>
          <w:color w:val="auto"/>
        </w:rPr>
      </w:pPr>
    </w:p>
    <w:p>
      <w:pPr>
        <w:ind w:left="80" w:right="2619" w:hanging="8"/>
        <w:spacing w:after="0" w:line="323" w:lineRule="auto"/>
        <w:tabs>
          <w:tab w:leader="none" w:pos="50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breach by Buyer of Buyer's representations, warranties or covenants under this Agreement or (y) gross negligence or willful misconduct on the part of Buyer; and</w:t>
      </w:r>
    </w:p>
    <w:p>
      <w:pPr>
        <w:spacing w:after="0" w:line="46" w:lineRule="exact"/>
        <w:rPr>
          <w:rFonts w:ascii="Courier New" w:cs="Courier New" w:eastAsia="Courier New" w:hAnsi="Courier New"/>
          <w:sz w:val="16"/>
          <w:szCs w:val="16"/>
          <w:color w:val="auto"/>
        </w:rPr>
      </w:pPr>
    </w:p>
    <w:p>
      <w:pPr>
        <w:ind w:left="1120" w:hanging="416"/>
        <w:spacing w:after="0"/>
        <w:tabs>
          <w:tab w:leader="none" w:pos="112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Employee Program.</w:t>
      </w:r>
    </w:p>
    <w:p>
      <w:pPr>
        <w:spacing w:after="0" w:line="201" w:lineRule="exact"/>
        <w:rPr>
          <w:sz w:val="20"/>
          <w:szCs w:val="20"/>
          <w:color w:val="auto"/>
        </w:rPr>
      </w:pPr>
    </w:p>
    <w:p>
      <w:pPr>
        <w:ind w:left="80" w:right="2619" w:firstLine="527"/>
        <w:spacing w:after="0" w:line="281" w:lineRule="auto"/>
        <w:rPr>
          <w:sz w:val="20"/>
          <w:szCs w:val="20"/>
          <w:color w:val="auto"/>
        </w:rPr>
      </w:pPr>
      <w:r>
        <w:rPr>
          <w:rFonts w:ascii="Courier New" w:cs="Courier New" w:eastAsia="Courier New" w:hAnsi="Courier New"/>
          <w:sz w:val="16"/>
          <w:szCs w:val="16"/>
          <w:color w:val="auto"/>
        </w:rPr>
        <w:t>10.2 Indemnification by Buyer. Buyer agrees to indemnify and hold Seller and its respective affiliates and persons serving as officers, directors or employees thereof and each of the Stockholders (individually a "Seller Indemnified Party" and collectively the "Seller Indemnified Parties") harmless from and against any damages, liabilities, losses, taxes, fines, penalties, costs and expenses (including, without limitation, reasonable fees of counsel) of any kind or nature whatsoever (whether or not arising out of third-party claims and including all amounts paid in investigation, defense or settlement of the foregoing) which may be sustained or suffered by any of them arising out of or based upon any of the following matters:</w:t>
      </w:r>
    </w:p>
    <w:p>
      <w:pPr>
        <w:spacing w:after="0" w:line="290" w:lineRule="exact"/>
        <w:rPr>
          <w:sz w:val="20"/>
          <w:szCs w:val="20"/>
          <w:color w:val="auto"/>
        </w:rPr>
      </w:pPr>
    </w:p>
    <w:p>
      <w:pPr>
        <w:ind w:left="80" w:right="2739" w:firstLine="624"/>
        <w:spacing w:after="0" w:line="260" w:lineRule="auto"/>
        <w:tabs>
          <w:tab w:leader="none" w:pos="113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any representation, warranty or covenant made by Designs or Buyer in this Agreement or in any certificate delivered by Designs or Buyer hereunder, or by reason of any claim, action or proceeding asserted or instituted growing out of any matter or thing constituting such a breach; and</w:t>
      </w:r>
    </w:p>
    <w:p>
      <w:pPr>
        <w:spacing w:after="0" w:line="92" w:lineRule="exact"/>
        <w:rPr>
          <w:rFonts w:ascii="Courier New" w:cs="Courier New" w:eastAsia="Courier New" w:hAnsi="Courier New"/>
          <w:sz w:val="18"/>
          <w:szCs w:val="18"/>
          <w:color w:val="auto"/>
        </w:rPr>
      </w:pPr>
    </w:p>
    <w:p>
      <w:pPr>
        <w:jc w:val="both"/>
        <w:ind w:left="80" w:right="3039" w:firstLine="624"/>
        <w:spacing w:after="0" w:line="292" w:lineRule="auto"/>
        <w:tabs>
          <w:tab w:leader="none" w:pos="113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by Designs or Buyer to perform and discharge any of the Assumed Liabilities as set forth in Section 1.2 of this Agreement.</w:t>
      </w:r>
    </w:p>
    <w:p>
      <w:pPr>
        <w:spacing w:after="0" w:line="66" w:lineRule="exact"/>
        <w:rPr>
          <w:sz w:val="20"/>
          <w:szCs w:val="20"/>
          <w:color w:val="auto"/>
        </w:rPr>
      </w:pPr>
    </w:p>
    <w:p>
      <w:pPr>
        <w:ind w:left="80" w:right="2619" w:firstLine="527"/>
        <w:spacing w:after="0" w:line="273" w:lineRule="auto"/>
        <w:rPr>
          <w:sz w:val="20"/>
          <w:szCs w:val="20"/>
          <w:color w:val="auto"/>
        </w:rPr>
      </w:pPr>
      <w:r>
        <w:rPr>
          <w:rFonts w:ascii="Courier New" w:cs="Courier New" w:eastAsia="Courier New" w:hAnsi="Courier New"/>
          <w:sz w:val="16"/>
          <w:szCs w:val="16"/>
          <w:color w:val="auto"/>
        </w:rPr>
        <w:t>10.3 Notice; Defense of Claims. An indemnified party may make claims for indemnification hereunder by giving written notice thereof to the indemnifying party within the period in which indemnification claims can be made hereunder. If indemnification is sought for a claim or liability asserted by a third party, the indemnified party shall also give written notice thereof to the indemnifying party promptly after it receives notice of the claim or liability being asserted, but the failure to do so shall not relieve the indemnifying party from any liability except to the extent that it is prejudiced by the failure or delay in giving such notice. Such notice shall be given reasonably promptly after the indemnified party has determined that a claim for indemnification exists and shall summarize the bases for the claim for indemnification and any claim or liability being asserted by a third party. Within 20 days after receiving such notice the indemnifying party shall give written notice to the indemnified party stating whether it disputes the claim for indemnification and whether it will defend against any third party claim or liability at its own cost and expense. If the indemnifying party fails to give notice that it disputes an indemnification claim within 20 days after receipt of notice thereof, it shall be deemed to have accepted and agreed to the claim, which shall become immediately due and payable. The indemnifying party shall be entitled to direct the defense against a third party claim or liability with counsel selected by it (subject to the consent of the indemnified party, which consent shall not be unreasonably withheld) as long as the indemnifying party is conducting a good faith and diligent defense. The indemnified party shall at all times have the</w:t>
      </w:r>
    </w:p>
    <w:p>
      <w:pPr>
        <w:sectPr>
          <w:pgSz w:w="11900" w:h="16838" w:orient="portrait"/>
          <w:cols w:equalWidth="0" w:num="1">
            <w:col w:w="9019"/>
          </w:cols>
          <w:pgMar w:left="1440" w:top="312" w:right="1440" w:bottom="56" w:gutter="0" w:footer="0" w:header="0"/>
        </w:sectPr>
      </w:pPr>
    </w:p>
    <w:bookmarkStart w:id="63" w:name="page64"/>
    <w:bookmarkEnd w:id="63"/>
    <w:p>
      <w:pPr>
        <w:spacing w:after="0" w:line="6" w:lineRule="exact"/>
        <w:rPr>
          <w:sz w:val="20"/>
          <w:szCs w:val="20"/>
          <w:color w:val="auto"/>
        </w:rPr>
      </w:pPr>
    </w:p>
    <w:p>
      <w:pPr>
        <w:ind w:left="80" w:right="2619"/>
        <w:spacing w:after="0" w:line="243" w:lineRule="auto"/>
        <w:rPr>
          <w:sz w:val="20"/>
          <w:szCs w:val="20"/>
          <w:color w:val="auto"/>
        </w:rPr>
      </w:pPr>
      <w:r>
        <w:rPr>
          <w:rFonts w:ascii="Courier New" w:cs="Courier New" w:eastAsia="Courier New" w:hAnsi="Courier New"/>
          <w:sz w:val="18"/>
          <w:szCs w:val="18"/>
          <w:color w:val="auto"/>
        </w:rPr>
        <w:t>right to fully participate in the defense of a third party claim or liability at its own expense directly or through counsel; provided, however, that if the named parties to the action or proceeding include both the indemnifying party and the indemnified party and the indemnified party is advised that representation of both parties by the same counsel would be inappropriate under applicable standards of professional conduct, the indemnified party may engage separate counsel at the expense of the indemnifying party. If no such notice of intent to dispute and defend a third party claim or liability is given by the indemnifying party, or if such good faith and diligent defense is not being or ceases to be conducted by the indemnifying party, the indemnified party shall have the right, at the expense of the indemnifying party, to undertake the defense of such claim or liability (with counsel selected by the indemnified party), and to compromise or settle it, exercising reasonable business judgment. If the third party claim or liability is one that by its nature cannot be defended solely by the indemnifying party, then the indemnified party shall make available such information and assistance as the indemnifying party may reasonably request and shall cooperate with the indemnifying party in such defense, at the expense of the indemnifying party.</w:t>
      </w:r>
    </w:p>
    <w:p>
      <w:pPr>
        <w:spacing w:after="0" w:line="109" w:lineRule="exact"/>
        <w:rPr>
          <w:sz w:val="20"/>
          <w:szCs w:val="20"/>
          <w:color w:val="auto"/>
        </w:rPr>
      </w:pPr>
    </w:p>
    <w:p>
      <w:pPr>
        <w:ind w:left="180"/>
        <w:spacing w:after="0"/>
        <w:tabs>
          <w:tab w:leader="none" w:pos="174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MISCELLANEOUS.</w:t>
      </w:r>
    </w:p>
    <w:p>
      <w:pPr>
        <w:spacing w:after="0" w:line="201" w:lineRule="exact"/>
        <w:rPr>
          <w:sz w:val="20"/>
          <w:szCs w:val="20"/>
          <w:color w:val="auto"/>
        </w:rPr>
      </w:pPr>
    </w:p>
    <w:p>
      <w:pPr>
        <w:ind w:left="80" w:right="2619" w:firstLine="527"/>
        <w:spacing w:after="0" w:line="272" w:lineRule="auto"/>
        <w:rPr>
          <w:sz w:val="20"/>
          <w:szCs w:val="20"/>
          <w:color w:val="auto"/>
        </w:rPr>
      </w:pPr>
      <w:r>
        <w:rPr>
          <w:rFonts w:ascii="Courier New" w:cs="Courier New" w:eastAsia="Courier New" w:hAnsi="Courier New"/>
          <w:sz w:val="16"/>
          <w:szCs w:val="16"/>
          <w:color w:val="auto"/>
        </w:rPr>
        <w:t>11.1 Satisfaction of Seller and Stockholder Obligations. In order to satisfy any and all obligations of Seller and the Stockholders (including, but not limited to indemnification obligations pursuant to Sections 10.1 above) to Designs and Buyer, each of Designs and Buyer (or in the case of any indemnification obligations, a Buyer Indemnified Party) shall have the right (in addition to collecting directly from Seller and the Stockholders) in its sole discretion to set off its claims against the following categories of assets in the following order of priority:</w:t>
      </w:r>
    </w:p>
    <w:p>
      <w:pPr>
        <w:spacing w:after="0" w:line="4" w:lineRule="exact"/>
        <w:rPr>
          <w:sz w:val="20"/>
          <w:szCs w:val="20"/>
          <w:color w:val="auto"/>
        </w:rPr>
      </w:pPr>
    </w:p>
    <w:p>
      <w:pPr>
        <w:ind w:left="80" w:right="2619" w:hanging="8"/>
        <w:spacing w:after="0" w:line="274" w:lineRule="auto"/>
        <w:tabs>
          <w:tab w:leader="none" w:pos="50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amounts of interest and principal under the Note (whether or not then due and payable) in accordance with the terms of the Note; (b) any and all amounts and/or the value of any shares of Common Stock, $.01 par value per share, of Designs to be paid by Buyer or issued by Designs to the Stockholders, as the case may be, pursuant to the terms of the Consulting Agreements; and (c) any other assets or rights of Seller or either Stockholder in Buyer's possession or any other obligation of Designs or Buyer to Seller or either of the Stockholders; provided, however, in the event a Buyer Indemnified Party brings a claim for indemnification pursuant to Section 10.1 against any Stockholder for a breach of a representation or warranty hereunder, such Buyer Indemnified Party will be able to offset the amount of such claim against any and all amounts payable in cash to such Stockholder pursuant to the Consulting Agreement as described in subsection (b) above only if such Stockholder had actual knowledge of the facts or circumstances giving rise to such breach or of any omission or misstatement which caused such breach.</w:t>
      </w:r>
    </w:p>
    <w:p>
      <w:pPr>
        <w:spacing w:after="0" w:line="291" w:lineRule="exact"/>
        <w:rPr>
          <w:sz w:val="20"/>
          <w:szCs w:val="20"/>
          <w:color w:val="auto"/>
        </w:rPr>
      </w:pPr>
    </w:p>
    <w:p>
      <w:pPr>
        <w:ind w:left="80" w:right="3899" w:firstLine="527"/>
        <w:spacing w:after="0" w:line="347" w:lineRule="auto"/>
        <w:rPr>
          <w:sz w:val="20"/>
          <w:szCs w:val="20"/>
          <w:color w:val="auto"/>
        </w:rPr>
      </w:pPr>
      <w:r>
        <w:rPr>
          <w:rFonts w:ascii="Courier New" w:cs="Courier New" w:eastAsia="Courier New" w:hAnsi="Courier New"/>
          <w:sz w:val="18"/>
          <w:szCs w:val="18"/>
          <w:color w:val="auto"/>
        </w:rPr>
        <w:t>11.2 Limitations on Seller and Stockholder Obligations.</w:t>
      </w:r>
    </w:p>
    <w:p>
      <w:pPr>
        <w:spacing w:after="0" w:line="18" w:lineRule="exact"/>
        <w:rPr>
          <w:sz w:val="20"/>
          <w:szCs w:val="20"/>
          <w:color w:val="auto"/>
        </w:rPr>
      </w:pPr>
    </w:p>
    <w:p>
      <w:pPr>
        <w:ind w:left="80" w:right="2619" w:firstLine="624"/>
        <w:spacing w:after="0" w:line="249" w:lineRule="auto"/>
        <w:tabs>
          <w:tab w:leader="none" w:pos="113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 the Buyer Indemnified Parties shall have no right to satisfaction of indemnification pursuant to Section 10.1 unless the total of all claims for indemnification claims pursuant to Section 10.1 shall exceed $15,000 in the aggregate, whereupon the full amount of such claims shall be recoverable in accordance with the terms hereof; and (ii) each Stockholder shall be liable to satisfy claims under Section 10.1 only to the extent of $100,000, exclusive of and in addition to the amounts specified in subsections (b) and (c) of Section 11.1.</w:t>
      </w:r>
    </w:p>
    <w:p>
      <w:pPr>
        <w:spacing w:after="0" w:line="103" w:lineRule="exact"/>
        <w:rPr>
          <w:rFonts w:ascii="Courier New" w:cs="Courier New" w:eastAsia="Courier New" w:hAnsi="Courier New"/>
          <w:sz w:val="18"/>
          <w:szCs w:val="18"/>
          <w:color w:val="auto"/>
        </w:rPr>
      </w:pPr>
    </w:p>
    <w:p>
      <w:pPr>
        <w:ind w:left="80" w:right="2619" w:firstLine="624"/>
        <w:spacing w:after="0" w:line="289" w:lineRule="auto"/>
        <w:tabs>
          <w:tab w:leader="none" w:pos="113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Buyer Indemnified Party shall have given notice to Seller and/or the Stockholders prior to any relevant date of expiration of any warranty or representation pursuant to Section 9 of a specific state of facts which shall have become known which may constitute or give rise to any claim as to which indemnity may be payable, then the right to indemnification with respect thereto shall remain in effect without regard to when such matter shall</w:t>
      </w:r>
    </w:p>
    <w:p>
      <w:pPr>
        <w:sectPr>
          <w:pgSz w:w="11900" w:h="16845" w:orient="portrait"/>
          <w:cols w:equalWidth="0" w:num="1">
            <w:col w:w="9019"/>
          </w:cols>
          <w:pgMar w:left="1440" w:top="110" w:right="1440" w:bottom="0" w:gutter="0" w:footer="0" w:header="0"/>
        </w:sectPr>
      </w:pPr>
    </w:p>
    <w:bookmarkStart w:id="64" w:name="page65"/>
    <w:bookmarkEnd w:id="64"/>
    <w:p>
      <w:pPr>
        <w:jc w:val="both"/>
        <w:ind w:left="80" w:right="2839"/>
        <w:spacing w:after="0" w:line="402" w:lineRule="auto"/>
        <w:rPr>
          <w:sz w:val="20"/>
          <w:szCs w:val="20"/>
          <w:color w:val="auto"/>
        </w:rPr>
      </w:pPr>
      <w:r>
        <w:rPr>
          <w:rFonts w:ascii="Courier New" w:cs="Courier New" w:eastAsia="Courier New" w:hAnsi="Courier New"/>
          <w:sz w:val="16"/>
          <w:szCs w:val="16"/>
          <w:color w:val="auto"/>
        </w:rPr>
        <w:t>have been finally determined and disposed of, according to the date on which notice of the applicable claim is given.</w:t>
      </w:r>
    </w:p>
    <w:p>
      <w:pPr>
        <w:spacing w:after="0" w:line="1" w:lineRule="exact"/>
        <w:rPr>
          <w:sz w:val="20"/>
          <w:szCs w:val="20"/>
          <w:color w:val="auto"/>
        </w:rPr>
      </w:pPr>
    </w:p>
    <w:p>
      <w:pPr>
        <w:ind w:left="80" w:right="2619" w:firstLine="527"/>
        <w:spacing w:after="0" w:line="273" w:lineRule="auto"/>
        <w:rPr>
          <w:sz w:val="20"/>
          <w:szCs w:val="20"/>
          <w:color w:val="auto"/>
        </w:rPr>
      </w:pPr>
      <w:r>
        <w:rPr>
          <w:rFonts w:ascii="Courier New" w:cs="Courier New" w:eastAsia="Courier New" w:hAnsi="Courier New"/>
          <w:sz w:val="16"/>
          <w:szCs w:val="16"/>
          <w:color w:val="auto"/>
        </w:rPr>
        <w:t>11.3 Bulk Sales. As soon as practicable after the date hereof but in no event more than 15 days after the date hereof, Seller shall furnish Buyer with a list (the "Bulk Sales List") setting forth (a) the names and addresses of all creditors of Seller ("Seller's Creditors"), (b) the amounts owed to each such creditor, (c) the names of all persons who are known to the Seller to assert claims against it even though such claims are contingent or disputed ("Seller's Contingent Creditors"), and (d) any other information Buyer shall reasonably request which is necessary to comply with the Bulk Transfer Act. The Bulk Sales List shall set forth all outstanding unsecured debt, obligations, commitments and any other amounts owed by Seller to any party (including to any Stockholder, any Affiliated Entity and/or any Seller Affiliated Party).</w:t>
      </w:r>
    </w:p>
    <w:p>
      <w:pPr>
        <w:spacing w:after="0" w:line="184" w:lineRule="exact"/>
        <w:rPr>
          <w:sz w:val="20"/>
          <w:szCs w:val="20"/>
          <w:color w:val="auto"/>
        </w:rPr>
      </w:pPr>
    </w:p>
    <w:p>
      <w:pPr>
        <w:ind w:left="80" w:right="2619"/>
        <w:spacing w:after="0" w:line="281" w:lineRule="auto"/>
        <w:rPr>
          <w:sz w:val="20"/>
          <w:szCs w:val="20"/>
          <w:color w:val="auto"/>
        </w:rPr>
      </w:pPr>
      <w:r>
        <w:rPr>
          <w:rFonts w:ascii="Courier New" w:cs="Courier New" w:eastAsia="Courier New" w:hAnsi="Courier New"/>
          <w:sz w:val="16"/>
          <w:szCs w:val="16"/>
          <w:color w:val="auto"/>
        </w:rPr>
        <w:t>Buyer shall preserve such list of creditors and all schedules hereto listing the Subject Assets for six months following the Closing, during which time Buyer shall permit the inspection of either or both and copying therefrom at all reasonable hours by any creditor of Seller or shall file such list and schedules with the Secretary of State of the Commonwealth of Massachusetts. Buyer will send written notices to all of Seller's Creditors and Seller's Contingent Creditors in compliance with the Bulk Transfer Act.</w:t>
      </w:r>
    </w:p>
    <w:p>
      <w:pPr>
        <w:spacing w:after="0" w:line="84" w:lineRule="exact"/>
        <w:rPr>
          <w:sz w:val="20"/>
          <w:szCs w:val="20"/>
          <w:color w:val="auto"/>
        </w:rPr>
      </w:pPr>
    </w:p>
    <w:p>
      <w:pPr>
        <w:ind w:left="80" w:right="2619" w:firstLine="527"/>
        <w:spacing w:after="0" w:line="276" w:lineRule="auto"/>
        <w:rPr>
          <w:sz w:val="20"/>
          <w:szCs w:val="20"/>
          <w:color w:val="auto"/>
        </w:rPr>
      </w:pPr>
      <w:r>
        <w:rPr>
          <w:rFonts w:ascii="Courier New" w:cs="Courier New" w:eastAsia="Courier New" w:hAnsi="Courier New"/>
          <w:sz w:val="16"/>
          <w:szCs w:val="16"/>
          <w:color w:val="auto"/>
        </w:rPr>
        <w:t>11.4 Inventory Destruction. In the event that any material portion of the Inventory is destroyed as a result of a fire, explosion, flood, or act of God between the date hereof and the Closing Date, Seller shall notify Buyer within one business day of such occurrence. Seller and Buyer shall mutually agree as to whether to apply any and all insurance and other proceeds (the "Inventory Proceeds") received by Seller as a result of such event towards (a) purchasing replacement Inventory or (b) satisfying outstanding claims of Seller to its unsecured creditors. In the event that Seller and Buyer mutually agree to utilize such Inventory Proceeds towards the satisfaction of claims of Seller to its unsecured creditors, the amount of such Inventory Proceeds shall not be included in the value of the Inventory as determined pursuant to Section 1.4(b) hereof. If and to the extent that the Inventory Proceeds exceed the replacement cost of the destroyed Inventory, such excess proceeds shall be deemed an Excluded Asset, subject to the obligation of Seller to apply such excess proceeds in the manner provided in Section 1.1(b)(ix).</w:t>
      </w:r>
    </w:p>
    <w:p>
      <w:pPr>
        <w:spacing w:after="0" w:line="294" w:lineRule="exact"/>
        <w:rPr>
          <w:sz w:val="20"/>
          <w:szCs w:val="20"/>
          <w:color w:val="auto"/>
        </w:rPr>
      </w:pPr>
    </w:p>
    <w:p>
      <w:pPr>
        <w:ind w:left="600"/>
        <w:spacing w:after="0"/>
        <w:tabs>
          <w:tab w:leader="none" w:pos="12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6"/>
          <w:szCs w:val="16"/>
          <w:color w:val="auto"/>
        </w:rPr>
        <w:t>Fees and Expenses.</w:t>
      </w:r>
    </w:p>
    <w:p>
      <w:pPr>
        <w:spacing w:after="0" w:line="201" w:lineRule="exact"/>
        <w:rPr>
          <w:sz w:val="20"/>
          <w:szCs w:val="20"/>
          <w:color w:val="auto"/>
        </w:rPr>
      </w:pPr>
    </w:p>
    <w:p>
      <w:pPr>
        <w:ind w:left="80" w:right="2619" w:firstLine="624"/>
        <w:spacing w:after="0" w:line="287" w:lineRule="auto"/>
        <w:tabs>
          <w:tab w:leader="none" w:pos="113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will bear its own expenses in connection with the negotiation and the consummation of the transactions contemplated by this Agreement, and no expenses of Seller or the Stockholders relating in any way to the purchase and sale of the Subject Assets hereunder and the transactions contemplated hereby, including without limitation legal, accounting or other professional expenses of Seller or any Stockholder, shall be charged to Buyer or Designs or included in any of the Assumed Liabilities.</w:t>
      </w:r>
    </w:p>
    <w:p>
      <w:pPr>
        <w:spacing w:after="0" w:line="75" w:lineRule="exact"/>
        <w:rPr>
          <w:rFonts w:ascii="Courier New" w:cs="Courier New" w:eastAsia="Courier New" w:hAnsi="Courier New"/>
          <w:sz w:val="16"/>
          <w:szCs w:val="16"/>
          <w:color w:val="auto"/>
        </w:rPr>
      </w:pPr>
    </w:p>
    <w:p>
      <w:pPr>
        <w:ind w:left="80" w:right="2619" w:firstLine="624"/>
        <w:spacing w:after="0" w:line="280" w:lineRule="auto"/>
        <w:tabs>
          <w:tab w:leader="none" w:pos="113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1.16 hereof, Seller will pay all costs incurred, whether at or subsequent to the Closing, required solely in order to effectuate the transfer of the Subject Assets to Buyer as contemplated by this Agreement, including without limitation, all sales, use, excise, real property and other transfer taxes and charges applicable to such transfer; all recording charges and fees applicable to the recordation of instruments of transfer; and all costs of obtaining or transferring permits, registrations and applications. Buyer will pay all premiums, charges and costs of obtaining and providing surveys, appraisals, and UCC and title searches for the benefit of Buyer with respect to the Subject Assets.</w:t>
      </w:r>
    </w:p>
    <w:p>
      <w:pPr>
        <w:spacing w:after="0" w:line="87" w:lineRule="exact"/>
        <w:rPr>
          <w:sz w:val="20"/>
          <w:szCs w:val="20"/>
          <w:color w:val="auto"/>
        </w:rPr>
      </w:pPr>
    </w:p>
    <w:p>
      <w:pPr>
        <w:ind w:left="80" w:right="2619" w:firstLine="527"/>
        <w:spacing w:after="0" w:line="274" w:lineRule="auto"/>
        <w:rPr>
          <w:sz w:val="20"/>
          <w:szCs w:val="20"/>
          <w:color w:val="auto"/>
        </w:rPr>
      </w:pPr>
      <w:r>
        <w:rPr>
          <w:rFonts w:ascii="Courier New" w:cs="Courier New" w:eastAsia="Courier New" w:hAnsi="Courier New"/>
          <w:sz w:val="18"/>
          <w:szCs w:val="18"/>
          <w:color w:val="auto"/>
        </w:rPr>
        <w:t>11.6 Governing Law. This Agreement shall be construed under and governed by the internal laws of the Commonwealth of Massachusetts without regard to its conflict of laws provisions.</w:t>
      </w:r>
    </w:p>
    <w:p>
      <w:pPr>
        <w:spacing w:after="0" w:line="82" w:lineRule="exact"/>
        <w:rPr>
          <w:sz w:val="20"/>
          <w:szCs w:val="20"/>
          <w:color w:val="auto"/>
        </w:rPr>
      </w:pPr>
    </w:p>
    <w:p>
      <w:pPr>
        <w:ind w:left="600"/>
        <w:spacing w:after="0"/>
        <w:tabs>
          <w:tab w:leader="none" w:pos="1220" w:val="left"/>
          <w:tab w:leader="none" w:pos="2260" w:val="left"/>
        </w:tabs>
        <w:rPr>
          <w:sz w:val="20"/>
          <w:szCs w:val="20"/>
          <w:color w:val="auto"/>
        </w:rPr>
      </w:pPr>
      <w:r>
        <w:rPr>
          <w:rFonts w:ascii="Courier New" w:cs="Courier New" w:eastAsia="Courier New" w:hAnsi="Courier New"/>
          <w:sz w:val="18"/>
          <w:szCs w:val="18"/>
          <w:color w:val="auto"/>
        </w:rPr>
        <w:t>11.7</w:t>
        <w:tab/>
        <w:t>Notices.</w:t>
      </w:r>
      <w:r>
        <w:rPr>
          <w:sz w:val="20"/>
          <w:szCs w:val="20"/>
          <w:color w:val="auto"/>
        </w:rPr>
        <w:tab/>
      </w:r>
      <w:r>
        <w:rPr>
          <w:rFonts w:ascii="Courier New" w:cs="Courier New" w:eastAsia="Courier New" w:hAnsi="Courier New"/>
          <w:sz w:val="16"/>
          <w:szCs w:val="16"/>
          <w:color w:val="auto"/>
        </w:rPr>
        <w:t>Any notice, request, demand or other</w:t>
      </w:r>
    </w:p>
    <w:p>
      <w:pPr>
        <w:sectPr>
          <w:pgSz w:w="11900" w:h="16838" w:orient="portrait"/>
          <w:cols w:equalWidth="0" w:num="1">
            <w:col w:w="9019"/>
          </w:cols>
          <w:pgMar w:left="1440" w:top="110" w:right="1440" w:bottom="0" w:gutter="0" w:footer="0" w:header="0"/>
        </w:sectPr>
      </w:pPr>
    </w:p>
    <w:bookmarkStart w:id="65" w:name="page66"/>
    <w:bookmarkEnd w:id="65"/>
    <w:p>
      <w:pPr>
        <w:spacing w:after="0" w:line="12" w:lineRule="exact"/>
        <w:rPr>
          <w:sz w:val="20"/>
          <w:szCs w:val="20"/>
          <w:color w:val="auto"/>
        </w:rPr>
      </w:pPr>
    </w:p>
    <w:p>
      <w:pPr>
        <w:ind w:left="80" w:right="2619"/>
        <w:spacing w:after="0" w:line="282" w:lineRule="auto"/>
        <w:rPr>
          <w:sz w:val="20"/>
          <w:szCs w:val="20"/>
          <w:color w:val="auto"/>
        </w:rPr>
      </w:pPr>
      <w:r>
        <w:rPr>
          <w:rFonts w:ascii="Courier New" w:cs="Courier New" w:eastAsia="Courier New" w:hAnsi="Courier New"/>
          <w:sz w:val="16"/>
          <w:szCs w:val="16"/>
          <w:color w:val="auto"/>
        </w:rPr>
        <w:t>communication required or permitted hereunder shall be in writing and shall be deemed to have been given if delivered or sent by facsimile transmission, upon receipt, or if sent by a nationally recognized overnight courier, one business day after delivered to such courier, or if sent by registered or certified mail, upon the sooner of the date on which receipt is acknowledged or the expiration of three days after deposit in United States post office facilities properly addressed with postage prepaid. All notices to a party will be sent to the addresses set forth below or to such other address or person as such party may designate by notice to each other party hereunder:</w:t>
      </w:r>
    </w:p>
    <w:p>
      <w:pPr>
        <w:spacing w:after="0" w:line="290" w:lineRule="exact"/>
        <w:rPr>
          <w:sz w:val="20"/>
          <w:szCs w:val="20"/>
          <w:color w:val="auto"/>
        </w:rPr>
      </w:pPr>
    </w:p>
    <w:tbl>
      <w:tblPr>
        <w:tblLayout w:type="fixed"/>
        <w:tblInd w:w="60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TO DESIGNS OR BUYER:</w:t>
            </w:r>
          </w:p>
        </w:tc>
        <w:tc>
          <w:tcPr>
            <w:tcW w:w="34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Designs, Inc.</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1244 Boylston Street</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Chestnut Hill, MA 02167</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Attn: General Counsel</w:t>
            </w:r>
          </w:p>
        </w:tc>
      </w:tr>
      <w:tr>
        <w:trPr>
          <w:trHeight w:val="296"/>
        </w:trPr>
        <w:tc>
          <w:tcPr>
            <w:tcW w:w="222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Fax No.:</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6"/>
              </w:rPr>
              <w:t>(617) 277-3516</w:t>
            </w: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34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Goodwin, Procter &amp; Hoar</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Exchange Place</w:t>
            </w:r>
          </w:p>
        </w:tc>
      </w:tr>
      <w:tr>
        <w:trPr>
          <w:trHeight w:val="203"/>
        </w:trPr>
        <w:tc>
          <w:tcPr>
            <w:tcW w:w="222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Boston, MA</w:t>
            </w:r>
          </w:p>
        </w:tc>
        <w:tc>
          <w:tcPr>
            <w:tcW w:w="23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02109</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Attn: Martin Carmichael III P.C.</w:t>
            </w:r>
          </w:p>
        </w:tc>
      </w:tr>
      <w:tr>
        <w:trPr>
          <w:trHeight w:val="296"/>
        </w:trPr>
        <w:tc>
          <w:tcPr>
            <w:tcW w:w="222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Fax No.:</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6"/>
              </w:rPr>
              <w:t>(617) 523-1231</w:t>
            </w: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TO SELLER:</w:t>
            </w:r>
          </w:p>
        </w:tc>
        <w:tc>
          <w:tcPr>
            <w:tcW w:w="34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Boston Trading Ltd., Inc.</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315 Washington Street</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Lynn, MA 01902</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Attn: Arnold W. Kline</w:t>
            </w:r>
          </w:p>
        </w:tc>
      </w:tr>
      <w:tr>
        <w:trPr>
          <w:trHeight w:val="296"/>
        </w:trPr>
        <w:tc>
          <w:tcPr>
            <w:tcW w:w="222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Fax No.:</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6"/>
              </w:rPr>
              <w:t>(617) 595-9937</w:t>
            </w: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34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Goldstein &amp; Manello, P.C.</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265 Franklin Street</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Boston, MA 02110</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Attn:  Gerard D. Goldstein, Esq.</w:t>
            </w:r>
          </w:p>
        </w:tc>
      </w:tr>
      <w:tr>
        <w:trPr>
          <w:trHeight w:val="296"/>
        </w:trPr>
        <w:tc>
          <w:tcPr>
            <w:tcW w:w="222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Fax No.:</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6"/>
              </w:rPr>
              <w:t>(617) 439-8988</w:t>
            </w: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TO THE STOCKHOLDERS:</w:t>
            </w:r>
          </w:p>
        </w:tc>
        <w:tc>
          <w:tcPr>
            <w:tcW w:w="34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Arnold W. Kline</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14 Harbor Avenue</w:t>
            </w:r>
          </w:p>
        </w:tc>
      </w:tr>
      <w:tr>
        <w:trPr>
          <w:trHeight w:val="296"/>
        </w:trPr>
        <w:tc>
          <w:tcPr>
            <w:tcW w:w="2220" w:type="dxa"/>
            <w:vAlign w:val="bottom"/>
          </w:tcPr>
          <w:p>
            <w:pPr>
              <w:spacing w:after="0"/>
              <w:rPr>
                <w:sz w:val="24"/>
                <w:szCs w:val="24"/>
                <w:color w:val="auto"/>
              </w:rPr>
            </w:pPr>
          </w:p>
        </w:tc>
        <w:tc>
          <w:tcPr>
            <w:tcW w:w="34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Marblehead, MA 01945</w:t>
            </w:r>
          </w:p>
        </w:tc>
      </w:tr>
      <w:tr>
        <w:trPr>
          <w:trHeight w:val="311"/>
        </w:trPr>
        <w:tc>
          <w:tcPr>
            <w:tcW w:w="222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w w:val="94"/>
              </w:rPr>
              <w:t>Jack Stahl</w:t>
            </w:r>
          </w:p>
        </w:tc>
        <w:tc>
          <w:tcPr>
            <w:tcW w:w="232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182 Atlantic Avenue</w:t>
            </w:r>
          </w:p>
        </w:tc>
      </w:tr>
      <w:tr>
        <w:trPr>
          <w:trHeight w:val="296"/>
        </w:trPr>
        <w:tc>
          <w:tcPr>
            <w:tcW w:w="2220" w:type="dxa"/>
            <w:vAlign w:val="bottom"/>
          </w:tcPr>
          <w:p>
            <w:pPr>
              <w:spacing w:after="0"/>
              <w:rPr>
                <w:sz w:val="24"/>
                <w:szCs w:val="24"/>
                <w:color w:val="auto"/>
              </w:rPr>
            </w:pPr>
          </w:p>
        </w:tc>
        <w:tc>
          <w:tcPr>
            <w:tcW w:w="34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Swampscott, MA 01907</w:t>
            </w: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34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Goldstein &amp; Manello, P.C.</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265 Franklin Street</w:t>
            </w:r>
          </w:p>
        </w:tc>
      </w:tr>
      <w:tr>
        <w:trPr>
          <w:trHeight w:val="203"/>
        </w:trPr>
        <w:tc>
          <w:tcPr>
            <w:tcW w:w="222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Boston, MA</w:t>
            </w:r>
          </w:p>
        </w:tc>
        <w:tc>
          <w:tcPr>
            <w:tcW w:w="23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02110</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Attn: Gerard D. Goldstein, Esq.</w:t>
            </w:r>
          </w:p>
        </w:tc>
      </w:tr>
      <w:tr>
        <w:trPr>
          <w:trHeight w:val="296"/>
        </w:trPr>
        <w:tc>
          <w:tcPr>
            <w:tcW w:w="222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Fax No.:</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6"/>
              </w:rPr>
              <w:t>(617) 439-8988</w:t>
            </w:r>
          </w:p>
        </w:tc>
      </w:tr>
    </w:tbl>
    <w:p>
      <w:pPr>
        <w:spacing w:after="0" w:line="109" w:lineRule="exact"/>
        <w:rPr>
          <w:sz w:val="20"/>
          <w:szCs w:val="20"/>
          <w:color w:val="auto"/>
        </w:rPr>
      </w:pPr>
    </w:p>
    <w:p>
      <w:pPr>
        <w:ind w:left="80" w:right="2939"/>
        <w:spacing w:after="0" w:line="402" w:lineRule="auto"/>
        <w:rPr>
          <w:sz w:val="20"/>
          <w:szCs w:val="20"/>
          <w:color w:val="auto"/>
        </w:rPr>
      </w:pPr>
      <w:r>
        <w:rPr>
          <w:rFonts w:ascii="Courier New" w:cs="Courier New" w:eastAsia="Courier New" w:hAnsi="Courier New"/>
          <w:sz w:val="16"/>
          <w:szCs w:val="16"/>
          <w:color w:val="auto"/>
        </w:rPr>
        <w:t>Any notice given hereunder may be given on behalf of any party by his counsel or other authorized representatives.</w:t>
      </w:r>
    </w:p>
    <w:p>
      <w:pPr>
        <w:spacing w:after="0" w:line="1" w:lineRule="exact"/>
        <w:rPr>
          <w:sz w:val="20"/>
          <w:szCs w:val="20"/>
          <w:color w:val="auto"/>
        </w:rPr>
      </w:pPr>
    </w:p>
    <w:p>
      <w:pPr>
        <w:ind w:left="80" w:right="2619" w:firstLine="527"/>
        <w:spacing w:after="0" w:line="246" w:lineRule="auto"/>
        <w:rPr>
          <w:sz w:val="20"/>
          <w:szCs w:val="20"/>
          <w:color w:val="auto"/>
        </w:rPr>
      </w:pPr>
      <w:r>
        <w:rPr>
          <w:rFonts w:ascii="Courier New" w:cs="Courier New" w:eastAsia="Courier New" w:hAnsi="Courier New"/>
          <w:sz w:val="18"/>
          <w:szCs w:val="18"/>
          <w:color w:val="auto"/>
        </w:rPr>
        <w:t>11.8 Entire Agreement. This Agreement, including the Schedules and Exhibits referred to herein and the other writings specifically identified herein or contemplated hereby, is complete, reflects the entire agreement of the parties with respect to its subject matter, and supersedes all previous written or oral negotiations, commitments and writings, including without limitation the letter of intent with respect to this transaction. No promises, representations, understandings, warranties and agreements have been made by any of the parties hereto except as referred to herein or in such Schedules and Exhibits or in such other writings; and all inducements to the making of this Agreement relied upon by either party hereto have been expressed herein or in such Schedules or Exhibits or in such other writings.</w:t>
      </w:r>
    </w:p>
    <w:p>
      <w:pPr>
        <w:spacing w:after="0" w:line="106" w:lineRule="exact"/>
        <w:rPr>
          <w:sz w:val="20"/>
          <w:szCs w:val="20"/>
          <w:color w:val="auto"/>
        </w:rPr>
      </w:pPr>
    </w:p>
    <w:p>
      <w:pPr>
        <w:ind w:left="80" w:right="2939" w:firstLine="527"/>
        <w:spacing w:after="0" w:line="292" w:lineRule="auto"/>
        <w:rPr>
          <w:sz w:val="20"/>
          <w:szCs w:val="20"/>
          <w:color w:val="auto"/>
        </w:rPr>
      </w:pPr>
      <w:r>
        <w:rPr>
          <w:rFonts w:ascii="Courier New" w:cs="Courier New" w:eastAsia="Courier New" w:hAnsi="Courier New"/>
          <w:sz w:val="18"/>
          <w:szCs w:val="18"/>
          <w:color w:val="auto"/>
        </w:rPr>
        <w:t>11.9 No Third Party Beneficiaries. This Agreement is not intended to confer on any person who is not a party hereto any rights or remedies hereunder.</w:t>
      </w:r>
    </w:p>
    <w:p>
      <w:pPr>
        <w:spacing w:after="0" w:line="66" w:lineRule="exact"/>
        <w:rPr>
          <w:sz w:val="20"/>
          <w:szCs w:val="20"/>
          <w:color w:val="auto"/>
        </w:rPr>
      </w:pPr>
    </w:p>
    <w:p>
      <w:pPr>
        <w:ind w:left="80" w:right="2619" w:firstLine="527"/>
        <w:spacing w:after="0" w:line="293" w:lineRule="auto"/>
        <w:rPr>
          <w:sz w:val="20"/>
          <w:szCs w:val="20"/>
          <w:color w:val="auto"/>
        </w:rPr>
      </w:pPr>
      <w:r>
        <w:rPr>
          <w:rFonts w:ascii="Courier New" w:cs="Courier New" w:eastAsia="Courier New" w:hAnsi="Courier New"/>
          <w:sz w:val="16"/>
          <w:szCs w:val="16"/>
          <w:color w:val="auto"/>
        </w:rPr>
        <w:t>11.10 Assignability; Binding Effect. Prior to the Closing, this Agreement and its rights hereunder (including but not limited to any rights to acquire the trademarks, tradenames, service marks, copyrights and other intellectual property of Seller) shall only be assignable by Buyer to a corporation or partnership controlling, controlled by or under common control with Buyer upon written notice to</w:t>
      </w:r>
    </w:p>
    <w:p>
      <w:pPr>
        <w:sectPr>
          <w:pgSz w:w="11900" w:h="16850" w:orient="portrait"/>
          <w:cols w:equalWidth="0" w:num="1">
            <w:col w:w="9019"/>
          </w:cols>
          <w:pgMar w:left="1440" w:top="110" w:right="1440" w:bottom="0" w:gutter="0" w:footer="0" w:header="0"/>
        </w:sectPr>
      </w:pPr>
    </w:p>
    <w:bookmarkStart w:id="66" w:name="page67"/>
    <w:bookmarkEnd w:id="66"/>
    <w:p>
      <w:pPr>
        <w:ind w:left="80" w:right="2619"/>
        <w:spacing w:after="0" w:line="256" w:lineRule="auto"/>
        <w:rPr>
          <w:sz w:val="20"/>
          <w:szCs w:val="20"/>
          <w:color w:val="auto"/>
        </w:rPr>
      </w:pPr>
      <w:r>
        <w:rPr>
          <w:rFonts w:ascii="Courier New" w:cs="Courier New" w:eastAsia="Courier New" w:hAnsi="Courier New"/>
          <w:sz w:val="18"/>
          <w:szCs w:val="18"/>
          <w:color w:val="auto"/>
        </w:rPr>
        <w:t>Seller. After the Closing, Buyer's rights and obligations hereunder shall be freely assignable. This Agreement may not be assigned by Seller or the Stockholders without the prior written consent of Designs and Buyer. This Agreement shall be binding upon and enforceable by, and shall inure to the benefit of, the parties hereto and their respective successors and permitted assigns.</w:t>
      </w:r>
    </w:p>
    <w:p>
      <w:pPr>
        <w:spacing w:after="0" w:line="98" w:lineRule="exact"/>
        <w:rPr>
          <w:sz w:val="20"/>
          <w:szCs w:val="20"/>
          <w:color w:val="auto"/>
        </w:rPr>
      </w:pPr>
    </w:p>
    <w:p>
      <w:pPr>
        <w:ind w:left="80" w:right="2739" w:firstLine="527"/>
        <w:spacing w:after="0" w:line="298" w:lineRule="auto"/>
        <w:rPr>
          <w:sz w:val="20"/>
          <w:szCs w:val="20"/>
          <w:color w:val="auto"/>
        </w:rPr>
      </w:pPr>
      <w:r>
        <w:rPr>
          <w:rFonts w:ascii="Courier New" w:cs="Courier New" w:eastAsia="Courier New" w:hAnsi="Courier New"/>
          <w:sz w:val="16"/>
          <w:szCs w:val="16"/>
          <w:color w:val="auto"/>
        </w:rPr>
        <w:t>11.11 Captions and Gender. The captions in this Agreement are for convenience only and shall not affect the construction or interpretation of any term or provision hereof. The use in this Agreement of the masculine pronoun in reference to a party hereto shall be deemed to include the feminine or neuter, as the context may require.</w:t>
      </w:r>
    </w:p>
    <w:p>
      <w:pPr>
        <w:spacing w:after="0" w:line="68" w:lineRule="exact"/>
        <w:rPr>
          <w:sz w:val="20"/>
          <w:szCs w:val="20"/>
          <w:color w:val="auto"/>
        </w:rPr>
      </w:pPr>
    </w:p>
    <w:p>
      <w:pPr>
        <w:ind w:left="80" w:right="2619" w:firstLine="527"/>
        <w:spacing w:after="0" w:line="265" w:lineRule="auto"/>
        <w:rPr>
          <w:sz w:val="20"/>
          <w:szCs w:val="20"/>
          <w:color w:val="auto"/>
        </w:rPr>
      </w:pPr>
      <w:r>
        <w:rPr>
          <w:rFonts w:ascii="Courier New" w:cs="Courier New" w:eastAsia="Courier New" w:hAnsi="Courier New"/>
          <w:sz w:val="18"/>
          <w:szCs w:val="18"/>
          <w:color w:val="auto"/>
        </w:rPr>
        <w:t>11.12 Execution in Counterparts. For the convenience of the parties and to facilitate execution, this Agreement may be executed in two or more counterparts, each of which shall be deemed an original, but all of which shall constitute one and the same document.</w:t>
      </w:r>
    </w:p>
    <w:p>
      <w:pPr>
        <w:spacing w:after="0" w:line="90" w:lineRule="exact"/>
        <w:rPr>
          <w:sz w:val="20"/>
          <w:szCs w:val="20"/>
          <w:color w:val="auto"/>
        </w:rPr>
      </w:pPr>
    </w:p>
    <w:p>
      <w:pPr>
        <w:ind w:left="600"/>
        <w:spacing w:after="0"/>
        <w:tabs>
          <w:tab w:leader="none" w:pos="1640" w:val="left"/>
          <w:tab w:leader="none" w:pos="3000" w:val="left"/>
        </w:tabs>
        <w:rPr>
          <w:sz w:val="20"/>
          <w:szCs w:val="20"/>
          <w:color w:val="auto"/>
        </w:rPr>
      </w:pPr>
      <w:r>
        <w:rPr>
          <w:rFonts w:ascii="Courier New" w:cs="Courier New" w:eastAsia="Courier New" w:hAnsi="Courier New"/>
          <w:sz w:val="18"/>
          <w:szCs w:val="18"/>
          <w:color w:val="auto"/>
        </w:rPr>
        <w:t>11.13</w:t>
      </w:r>
      <w:r>
        <w:rPr>
          <w:sz w:val="20"/>
          <w:szCs w:val="20"/>
          <w:color w:val="auto"/>
        </w:rPr>
        <w:tab/>
      </w:r>
      <w:r>
        <w:rPr>
          <w:rFonts w:ascii="Courier New" w:cs="Courier New" w:eastAsia="Courier New" w:hAnsi="Courier New"/>
          <w:sz w:val="18"/>
          <w:szCs w:val="18"/>
          <w:color w:val="auto"/>
        </w:rPr>
        <w:t>Amendments.</w:t>
      </w:r>
      <w:r>
        <w:rPr>
          <w:sz w:val="20"/>
          <w:szCs w:val="20"/>
          <w:color w:val="auto"/>
        </w:rPr>
        <w:tab/>
      </w:r>
      <w:r>
        <w:rPr>
          <w:rFonts w:ascii="Courier New" w:cs="Courier New" w:eastAsia="Courier New" w:hAnsi="Courier New"/>
          <w:sz w:val="16"/>
          <w:szCs w:val="16"/>
          <w:color w:val="auto"/>
        </w:rPr>
        <w:t>This Agreement may not be</w:t>
      </w:r>
    </w:p>
    <w:p>
      <w:pPr>
        <w:spacing w:after="0" w:line="31" w:lineRule="exact"/>
        <w:rPr>
          <w:sz w:val="20"/>
          <w:szCs w:val="20"/>
          <w:color w:val="auto"/>
        </w:rPr>
      </w:pPr>
    </w:p>
    <w:p>
      <w:pPr>
        <w:ind w:left="80" w:right="2739"/>
        <w:spacing w:after="0" w:line="304" w:lineRule="auto"/>
        <w:rPr>
          <w:sz w:val="20"/>
          <w:szCs w:val="20"/>
          <w:color w:val="auto"/>
        </w:rPr>
      </w:pPr>
      <w:r>
        <w:rPr>
          <w:rFonts w:ascii="Courier New" w:cs="Courier New" w:eastAsia="Courier New" w:hAnsi="Courier New"/>
          <w:sz w:val="16"/>
          <w:szCs w:val="16"/>
          <w:color w:val="auto"/>
        </w:rPr>
        <w:t>amended or modified, nor may compliance with any condition or covenant set forth herein be waived, except by a writing duly and validly executed by each party hereto, or in the case of a waiver, the party waiving compliance.</w:t>
      </w:r>
    </w:p>
    <w:p>
      <w:pPr>
        <w:spacing w:after="0" w:line="63" w:lineRule="exact"/>
        <w:rPr>
          <w:sz w:val="20"/>
          <w:szCs w:val="20"/>
          <w:color w:val="auto"/>
        </w:rPr>
      </w:pPr>
    </w:p>
    <w:p>
      <w:pPr>
        <w:ind w:left="80" w:right="2619" w:firstLine="527"/>
        <w:spacing w:after="0" w:line="265" w:lineRule="auto"/>
        <w:rPr>
          <w:sz w:val="20"/>
          <w:szCs w:val="20"/>
          <w:color w:val="auto"/>
        </w:rPr>
      </w:pPr>
      <w:r>
        <w:rPr>
          <w:rFonts w:ascii="Courier New" w:cs="Courier New" w:eastAsia="Courier New" w:hAnsi="Courier New"/>
          <w:sz w:val="18"/>
          <w:szCs w:val="18"/>
          <w:color w:val="auto"/>
        </w:rPr>
        <w:t>11.14 Publicity and Disclosures. No press releases or public disclosure, either written or oral, of the transactions contemplated by this Agreement, shall be made by a party to this Agreement without the prior knowledge and written consent of Designs, Buyer and Seller.</w:t>
      </w:r>
    </w:p>
    <w:p>
      <w:pPr>
        <w:spacing w:after="0" w:line="90" w:lineRule="exact"/>
        <w:rPr>
          <w:sz w:val="20"/>
          <w:szCs w:val="20"/>
          <w:color w:val="auto"/>
        </w:rPr>
      </w:pPr>
    </w:p>
    <w:p>
      <w:pPr>
        <w:ind w:left="80" w:right="2619" w:firstLine="527"/>
        <w:spacing w:after="0" w:line="293" w:lineRule="auto"/>
        <w:rPr>
          <w:sz w:val="20"/>
          <w:szCs w:val="20"/>
          <w:color w:val="auto"/>
        </w:rPr>
      </w:pPr>
      <w:r>
        <w:rPr>
          <w:rFonts w:ascii="Courier New" w:cs="Courier New" w:eastAsia="Courier New" w:hAnsi="Courier New"/>
          <w:sz w:val="16"/>
          <w:szCs w:val="16"/>
          <w:color w:val="auto"/>
        </w:rPr>
        <w:t>11.15 Consent to Jurisdiction. Solely for the purpose of allowing a party to enforce its indemnification and other rights hereunder, each of the parties hereby consents to personal jurisdiction, service of process and venue in the federal or state courts of Massachusetts, or in the court in which any claim for which indemnification may be sought hereunder is brought against an indemnified party.</w:t>
      </w:r>
    </w:p>
    <w:p>
      <w:pPr>
        <w:spacing w:after="0" w:line="72"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right="2619" w:firstLine="527"/>
        <w:spacing w:after="0" w:line="292"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under seal as of the date set forth above by their duly authorized representatives.</w:t>
      </w:r>
    </w:p>
    <w:p>
      <w:pPr>
        <w:spacing w:after="0" w:line="66" w:lineRule="exact"/>
        <w:rPr>
          <w:sz w:val="20"/>
          <w:szCs w:val="20"/>
          <w:color w:val="auto"/>
        </w:rPr>
      </w:pPr>
    </w:p>
    <w:p>
      <w:pPr>
        <w:ind w:left="2380"/>
        <w:spacing w:after="0"/>
        <w:tabs>
          <w:tab w:leader="none" w:pos="3420" w:val="left"/>
        </w:tabs>
        <w:rPr>
          <w:sz w:val="20"/>
          <w:szCs w:val="20"/>
          <w:color w:val="auto"/>
        </w:rPr>
      </w:pPr>
      <w:r>
        <w:rPr>
          <w:rFonts w:ascii="Courier New" w:cs="Courier New" w:eastAsia="Courier New" w:hAnsi="Courier New"/>
          <w:sz w:val="18"/>
          <w:szCs w:val="18"/>
          <w:color w:val="auto"/>
        </w:rPr>
        <w:t>DESIGNS:</w:t>
      </w:r>
      <w:r>
        <w:rPr>
          <w:sz w:val="20"/>
          <w:szCs w:val="20"/>
          <w:color w:val="auto"/>
        </w:rPr>
        <w:tab/>
      </w:r>
      <w:r>
        <w:rPr>
          <w:rFonts w:ascii="Courier New" w:cs="Courier New" w:eastAsia="Courier New" w:hAnsi="Courier New"/>
          <w:sz w:val="16"/>
          <w:szCs w:val="16"/>
          <w:color w:val="auto"/>
        </w:rPr>
        <w:t>DESIGNS, INC.</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By:/s/ Joel H. Reichman</w:t>
      </w:r>
    </w:p>
    <w:p>
      <w:pPr>
        <w:spacing w:after="0" w:line="31"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37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BUYER: DESIGNS ACQUISITION CORP.</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By:/s/ Joel H. Reichman</w:t>
      </w:r>
    </w:p>
    <w:p>
      <w:pPr>
        <w:spacing w:after="0" w:line="31"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spacing w:after="0" w:line="37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SELLER: BOSTON TRADING LTD., INC.</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By:/s/ Arnold W. Kline</w:t>
      </w:r>
    </w:p>
    <w:p>
      <w:pPr>
        <w:spacing w:after="0" w:line="31"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spacing w:after="0" w:line="37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STOCKHOLDERS:</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/s/ Arnold W. Kline</w:t>
      </w:r>
    </w:p>
    <w:p>
      <w:pPr>
        <w:spacing w:after="0" w:line="31"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Arnold W. Kline</w:t>
      </w:r>
    </w:p>
    <w:p>
      <w:pPr>
        <w:sectPr>
          <w:pgSz w:w="11900" w:h="16838" w:orient="portrait"/>
          <w:cols w:equalWidth="0" w:num="1">
            <w:col w:w="9019"/>
          </w:cols>
          <w:pgMar w:left="1440" w:top="110" w:right="1440" w:bottom="0" w:gutter="0" w:footer="0" w:header="0"/>
        </w:sectPr>
      </w:pPr>
    </w:p>
    <w:bookmarkStart w:id="67" w:name="page68"/>
    <w:bookmarkEnd w:id="67"/>
    <w:p>
      <w:pPr>
        <w:ind w:left="2380"/>
        <w:spacing w:after="0"/>
        <w:rPr>
          <w:sz w:val="20"/>
          <w:szCs w:val="20"/>
          <w:color w:val="auto"/>
        </w:rPr>
      </w:pPr>
      <w:r>
        <w:rPr>
          <w:rFonts w:ascii="Courier New" w:cs="Courier New" w:eastAsia="Courier New" w:hAnsi="Courier New"/>
          <w:sz w:val="16"/>
          <w:szCs w:val="16"/>
          <w:color w:val="auto"/>
        </w:rPr>
        <w:t>/s/ Jack Stahl</w:t>
      </w:r>
    </w:p>
    <w:p>
      <w:pPr>
        <w:spacing w:after="0" w:line="53"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Jack Stahl</w:t>
      </w:r>
    </w:p>
    <w:p>
      <w:pPr>
        <w:sectPr>
          <w:pgSz w:w="11900" w:h="16838" w:orient="portrait"/>
          <w:cols w:equalWidth="0" w:num="1">
            <w:col w:w="9019"/>
          </w:cols>
          <w:pgMar w:left="1440" w:top="515" w:right="1440" w:bottom="1440" w:gutter="0" w:footer="0" w:header="0"/>
        </w:sectPr>
      </w:pPr>
    </w:p>
    <w:bookmarkStart w:id="68" w:name="page69"/>
    <w:bookmarkEnd w:id="68"/>
    <w:p>
      <w:pPr>
        <w:ind w:left="2540"/>
        <w:spacing w:after="0"/>
        <w:rPr>
          <w:sz w:val="20"/>
          <w:szCs w:val="20"/>
          <w:color w:val="auto"/>
        </w:rPr>
      </w:pPr>
      <w:r>
        <w:rPr>
          <w:rFonts w:ascii="Courier New" w:cs="Courier New" w:eastAsia="Courier New" w:hAnsi="Courier New"/>
          <w:sz w:val="18"/>
          <w:szCs w:val="18"/>
          <w:color w:val="auto"/>
        </w:rPr>
        <w:t>NON-NEGOTIABLE PROMISSORY NOTE</w:t>
      </w:r>
    </w:p>
    <w:p>
      <w:pPr>
        <w:spacing w:after="0" w:line="200" w:lineRule="exact"/>
        <w:rPr>
          <w:sz w:val="20"/>
          <w:szCs w:val="20"/>
          <w:color w:val="auto"/>
        </w:rPr>
      </w:pPr>
    </w:p>
    <w:p>
      <w:pPr>
        <w:spacing w:after="0" w:line="204"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$1,000,000</w:t>
      </w:r>
      <w:r>
        <w:rPr>
          <w:sz w:val="20"/>
          <w:szCs w:val="20"/>
          <w:color w:val="auto"/>
        </w:rPr>
        <w:tab/>
      </w:r>
      <w:r>
        <w:rPr>
          <w:rFonts w:ascii="Courier New" w:cs="Courier New" w:eastAsia="Courier New" w:hAnsi="Courier New"/>
          <w:sz w:val="16"/>
          <w:szCs w:val="16"/>
          <w:color w:val="auto"/>
        </w:rPr>
        <w:t>May 2, 1995</w:t>
      </w:r>
    </w:p>
    <w:p>
      <w:pPr>
        <w:spacing w:after="0" w:line="200" w:lineRule="exact"/>
        <w:rPr>
          <w:sz w:val="20"/>
          <w:szCs w:val="20"/>
          <w:color w:val="auto"/>
        </w:rPr>
      </w:pPr>
    </w:p>
    <w:p>
      <w:pPr>
        <w:spacing w:after="0" w:line="204" w:lineRule="exact"/>
        <w:rPr>
          <w:sz w:val="20"/>
          <w:szCs w:val="20"/>
          <w:color w:val="auto"/>
        </w:rPr>
      </w:pPr>
    </w:p>
    <w:p>
      <w:pPr>
        <w:ind w:right="1999" w:firstLine="843"/>
        <w:spacing w:after="0" w:line="279" w:lineRule="auto"/>
        <w:rPr>
          <w:sz w:val="20"/>
          <w:szCs w:val="20"/>
          <w:color w:val="auto"/>
        </w:rPr>
      </w:pPr>
      <w:r>
        <w:rPr>
          <w:rFonts w:ascii="Courier New" w:cs="Courier New" w:eastAsia="Courier New" w:hAnsi="Courier New"/>
          <w:sz w:val="16"/>
          <w:szCs w:val="16"/>
          <w:color w:val="auto"/>
        </w:rPr>
        <w:t>FOR VALUE RECEIVED, DESIGNS, INC., a Delaware corporation ("Designs"), and DESIGNS ACQUISITION CORP., a Delaware corporation ("Buyer"; collectively with Designs, the "Obligors"), each with its principal place of business at 1244 Boylston Street, Chestnut Hill, Massachusetts 02167, jointly and severally hereby promise to pay to ATLANTIC HARBOR, INC. (formerly known as "BOSTON TRADING LTD., INC."), a Massachusetts corporation with its principal place of business at 315 Washington Street, Lynn, Massachusetts 01902 ("Seller"), the principal amount of ONE MILLION DOLLARS ($1,000,000.00), payable in two (2) installments of $500,000 on each of the first and second anniversaries of the date hereof, together with interest at the annual rate equal to the prime rate of interest as published from time to time by The Wall Street Journal, such interest to be payable semi-annually on the first business day of each such six month period following the date hereof until the entire principal balance is paid in full. The entire balance of unpaid principal and interest on this Note shall be paid not later than May 2, 1997.</w:t>
      </w:r>
    </w:p>
    <w:p>
      <w:pPr>
        <w:spacing w:after="0" w:line="291" w:lineRule="exact"/>
        <w:rPr>
          <w:sz w:val="20"/>
          <w:szCs w:val="20"/>
          <w:color w:val="auto"/>
        </w:rPr>
      </w:pPr>
    </w:p>
    <w:p>
      <w:pPr>
        <w:ind w:right="2099" w:firstLine="843"/>
        <w:spacing w:after="0" w:line="274" w:lineRule="auto"/>
        <w:rPr>
          <w:sz w:val="20"/>
          <w:szCs w:val="20"/>
          <w:color w:val="auto"/>
        </w:rPr>
      </w:pPr>
      <w:r>
        <w:rPr>
          <w:rFonts w:ascii="Courier New" w:cs="Courier New" w:eastAsia="Courier New" w:hAnsi="Courier New"/>
          <w:sz w:val="18"/>
          <w:szCs w:val="18"/>
          <w:color w:val="auto"/>
        </w:rPr>
        <w:t>The Obligors may prepay the whole or any part of the principal amount of this Note from time to time without premium or penalty and may in its discretion direct that such prepayments be applied to any subsequent installments of principal.</w:t>
      </w:r>
    </w:p>
    <w:p>
      <w:pPr>
        <w:spacing w:after="0" w:line="82" w:lineRule="exact"/>
        <w:rPr>
          <w:sz w:val="20"/>
          <w:szCs w:val="20"/>
          <w:color w:val="auto"/>
        </w:rPr>
      </w:pPr>
    </w:p>
    <w:p>
      <w:pPr>
        <w:ind w:right="2099" w:firstLine="843"/>
        <w:spacing w:after="0" w:line="273" w:lineRule="auto"/>
        <w:rPr>
          <w:sz w:val="20"/>
          <w:szCs w:val="20"/>
          <w:color w:val="auto"/>
        </w:rPr>
      </w:pPr>
      <w:r>
        <w:rPr>
          <w:rFonts w:ascii="Courier New" w:cs="Courier New" w:eastAsia="Courier New" w:hAnsi="Courier New"/>
          <w:sz w:val="16"/>
          <w:szCs w:val="16"/>
          <w:color w:val="auto"/>
        </w:rPr>
        <w:t>This Note is entered into pursuant to the terms of an Asset Purchase Agreement (the "Purchase Agreement") by and among the Obligors, Seller and the Stockholders (as defined in the Purchase Agreement) dated as of April 21, 1995, and shall be subject to the terms and conditions thereof, including without limitation the right of the Obligors to set off against any amounts of principal and interest due hereunder the amount of any claim which is determined to be payable by Seller and/or the Stockholders to either or both Obligors pursuant to the provisions of the Purchase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Note is non-negotiable.</w:t>
      </w:r>
    </w:p>
    <w:p>
      <w:pPr>
        <w:spacing w:after="0" w:line="169" w:lineRule="exact"/>
        <w:rPr>
          <w:sz w:val="20"/>
          <w:szCs w:val="20"/>
          <w:color w:val="auto"/>
        </w:rPr>
      </w:pPr>
    </w:p>
    <w:p>
      <w:pPr>
        <w:ind w:right="2619" w:firstLine="105"/>
        <w:spacing w:after="0" w:line="276" w:lineRule="auto"/>
        <w:rPr>
          <w:sz w:val="20"/>
          <w:szCs w:val="20"/>
          <w:color w:val="auto"/>
        </w:rPr>
      </w:pPr>
      <w:r>
        <w:rPr>
          <w:rFonts w:ascii="Courier New" w:cs="Courier New" w:eastAsia="Courier New" w:hAnsi="Courier New"/>
          <w:sz w:val="16"/>
          <w:szCs w:val="16"/>
          <w:color w:val="auto"/>
        </w:rPr>
        <w:t>At the option of Seller, the entire balance of the principal of and accrued interest on this Note shall become immediately due and payable, upon notice or demand of Seller, if the Obligors shall fail to make any payment of principal or interest on this Note when the same becomes due and payable, and if such failure continues for more than 30 days, provided, however, that no such acceleration right shall exist hereunder if either or both of the Obligors have exercised their rights under the Asset Purchase Agreement to offset any such payment of principal or interest against amounts due and payable to either or both of them by Seller or the Stockholders. The Obligors shall pay on demand</w:t>
      </w:r>
    </w:p>
    <w:p>
      <w:pPr>
        <w:spacing w:after="0" w:line="182" w:lineRule="exact"/>
        <w:rPr>
          <w:sz w:val="20"/>
          <w:szCs w:val="20"/>
          <w:color w:val="auto"/>
        </w:rPr>
      </w:pPr>
    </w:p>
    <w:p>
      <w:pPr>
        <w:ind w:right="2319"/>
        <w:spacing w:after="0" w:line="250" w:lineRule="auto"/>
        <w:rPr>
          <w:sz w:val="20"/>
          <w:szCs w:val="20"/>
          <w:color w:val="auto"/>
        </w:rPr>
      </w:pPr>
      <w:r>
        <w:rPr>
          <w:rFonts w:ascii="Courier New" w:cs="Courier New" w:eastAsia="Courier New" w:hAnsi="Courier New"/>
          <w:sz w:val="18"/>
          <w:szCs w:val="18"/>
          <w:color w:val="auto"/>
        </w:rPr>
        <w:t>all costs, including court costs and reasonable attorneys' fees, paid by Seller in enforcing this Note upon occurrence of the default condition described in the foregoing sentence; provided, however, that if a court of competent jurisdiction makes a final determination in favor of the Obligors in any such enforcement proceeding, Seller shall reimburse all of the costs paid and incurred by the Obligors in defending such action, including court costs and reasonable attorneys' fees.</w:t>
      </w:r>
    </w:p>
    <w:p>
      <w:pPr>
        <w:spacing w:after="0" w:line="102" w:lineRule="exact"/>
        <w:rPr>
          <w:sz w:val="20"/>
          <w:szCs w:val="20"/>
          <w:color w:val="auto"/>
        </w:rPr>
      </w:pPr>
    </w:p>
    <w:p>
      <w:pPr>
        <w:ind w:right="2099" w:firstLine="843"/>
        <w:spacing w:after="0" w:line="256" w:lineRule="auto"/>
        <w:rPr>
          <w:sz w:val="20"/>
          <w:szCs w:val="20"/>
          <w:color w:val="auto"/>
        </w:rPr>
      </w:pPr>
      <w:r>
        <w:rPr>
          <w:rFonts w:ascii="Courier New" w:cs="Courier New" w:eastAsia="Courier New" w:hAnsi="Courier New"/>
          <w:sz w:val="18"/>
          <w:szCs w:val="18"/>
          <w:color w:val="auto"/>
        </w:rPr>
        <w:t>This Note shall inure to the benefit of Seller and its successors and assigns and shall be binding upon the Obligors and their respective successors and assigns. Buyer may assign its rights, duties and obligations under this Note to a corporation or partnership controlling, controlled by or under common control with Buyer upon written notice to Seller. Subject to applicable law, this Note may be amended, modified and supplemented only by written agreement of the Obligors and Seller.</w:t>
      </w:r>
    </w:p>
    <w:p>
      <w:pPr>
        <w:spacing w:after="0" w:line="98" w:lineRule="exact"/>
        <w:rPr>
          <w:sz w:val="20"/>
          <w:szCs w:val="20"/>
          <w:color w:val="auto"/>
        </w:rPr>
      </w:pPr>
    </w:p>
    <w:p>
      <w:pPr>
        <w:ind w:right="1999" w:firstLine="843"/>
        <w:spacing w:after="0" w:line="265" w:lineRule="auto"/>
        <w:rPr>
          <w:sz w:val="20"/>
          <w:szCs w:val="20"/>
          <w:color w:val="auto"/>
        </w:rPr>
      </w:pPr>
      <w:r>
        <w:rPr>
          <w:rFonts w:ascii="Courier New" w:cs="Courier New" w:eastAsia="Courier New" w:hAnsi="Courier New"/>
          <w:sz w:val="18"/>
          <w:szCs w:val="18"/>
          <w:color w:val="auto"/>
        </w:rPr>
        <w:t>The failure of Seller to insist upon strict compliance with any of the terms, covenants or conditions hereof shall not be deemed a waiver of such term, covenant or condition, nor shall any waiver or relinquishment of any right or power hereunder at any one or more times be deemed a waiver of relinquishment of such right or power at any other time.</w:t>
      </w:r>
    </w:p>
    <w:p>
      <w:pPr>
        <w:spacing w:after="0" w:line="90" w:lineRule="exact"/>
        <w:rPr>
          <w:sz w:val="20"/>
          <w:szCs w:val="20"/>
          <w:color w:val="auto"/>
        </w:rPr>
      </w:pPr>
    </w:p>
    <w:p>
      <w:pPr>
        <w:jc w:val="both"/>
        <w:ind w:right="2519" w:firstLine="843"/>
        <w:spacing w:after="0" w:line="292" w:lineRule="auto"/>
        <w:rPr>
          <w:sz w:val="20"/>
          <w:szCs w:val="20"/>
          <w:color w:val="auto"/>
        </w:rPr>
      </w:pPr>
      <w:r>
        <w:rPr>
          <w:rFonts w:ascii="Courier New" w:cs="Courier New" w:eastAsia="Courier New" w:hAnsi="Courier New"/>
          <w:sz w:val="18"/>
          <w:szCs w:val="18"/>
          <w:color w:val="auto"/>
        </w:rPr>
        <w:t>Any notice, request or other communication pursuant to this Note shall be deemed duly given if delivered pursuant to the notice provisions contained in the Purchase Agreement.</w:t>
      </w:r>
    </w:p>
    <w:p>
      <w:pPr>
        <w:spacing w:after="0" w:line="66" w:lineRule="exact"/>
        <w:rPr>
          <w:sz w:val="20"/>
          <w:szCs w:val="20"/>
          <w:color w:val="auto"/>
        </w:rPr>
      </w:pPr>
    </w:p>
    <w:p>
      <w:pPr>
        <w:ind w:right="1779" w:firstLine="843"/>
        <w:spacing w:after="0" w:line="347" w:lineRule="auto"/>
        <w:rPr>
          <w:sz w:val="20"/>
          <w:szCs w:val="20"/>
          <w:color w:val="auto"/>
        </w:rPr>
      </w:pPr>
      <w:r>
        <w:rPr>
          <w:rFonts w:ascii="Courier New" w:cs="Courier New" w:eastAsia="Courier New" w:hAnsi="Courier New"/>
          <w:sz w:val="18"/>
          <w:szCs w:val="18"/>
          <w:color w:val="auto"/>
        </w:rPr>
        <w:t>The Obligors waive presentment, demand, protest and notice of every kind in connection with the enforcement and collection of this Note.</w:t>
      </w:r>
    </w:p>
    <w:p>
      <w:pPr>
        <w:spacing w:after="0" w:line="18" w:lineRule="exact"/>
        <w:rPr>
          <w:sz w:val="20"/>
          <w:szCs w:val="20"/>
          <w:color w:val="auto"/>
        </w:rPr>
      </w:pPr>
    </w:p>
    <w:p>
      <w:pPr>
        <w:ind w:right="1999" w:firstLine="843"/>
        <w:spacing w:after="0" w:line="292" w:lineRule="auto"/>
        <w:rPr>
          <w:sz w:val="20"/>
          <w:szCs w:val="20"/>
          <w:color w:val="auto"/>
        </w:rPr>
      </w:pPr>
      <w:r>
        <w:rPr>
          <w:rFonts w:ascii="Courier New" w:cs="Courier New" w:eastAsia="Courier New" w:hAnsi="Courier New"/>
          <w:sz w:val="18"/>
          <w:szCs w:val="18"/>
          <w:color w:val="auto"/>
        </w:rPr>
        <w:t>The execution, delivery and performance of this Note shall be governed by and construed in accordance with the laws of the Commonwealth of Massachusetts.</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[Remainder of Page Intentionally Left Blank]</w:t>
      </w:r>
    </w:p>
    <w:p>
      <w:pPr>
        <w:sectPr>
          <w:pgSz w:w="11900" w:h="16838" w:orient="portrait"/>
          <w:cols w:equalWidth="0" w:num="1">
            <w:col w:w="10219"/>
          </w:cols>
          <w:pgMar w:left="240" w:top="110" w:right="1440" w:bottom="0" w:gutter="0" w:footer="0" w:header="0"/>
        </w:sectPr>
      </w:pPr>
    </w:p>
    <w:bookmarkStart w:id="69" w:name="page70"/>
    <w:bookmarkEnd w:id="69"/>
    <w:p>
      <w:pPr>
        <w:ind w:right="2099" w:firstLine="843"/>
        <w:spacing w:after="0" w:line="292" w:lineRule="auto"/>
        <w:rPr>
          <w:sz w:val="20"/>
          <w:szCs w:val="20"/>
          <w:color w:val="auto"/>
        </w:rPr>
      </w:pPr>
      <w:r>
        <w:rPr>
          <w:rFonts w:ascii="Courier New" w:cs="Courier New" w:eastAsia="Courier New" w:hAnsi="Courier New"/>
          <w:sz w:val="18"/>
          <w:szCs w:val="18"/>
          <w:color w:val="auto"/>
        </w:rPr>
        <w:t>IN WITNESS WHEREOF, the Obligors have caused this Note to be executed under seal by their duly authorized representatives as of the date set forth above.</w:t>
      </w:r>
    </w:p>
    <w:p>
      <w:pPr>
        <w:spacing w:after="0" w:line="6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Joel H. Reichman</w:t>
      </w:r>
    </w:p>
    <w:p>
      <w:pPr>
        <w:spacing w:after="0" w:line="31" w:lineRule="exact"/>
        <w:rPr>
          <w:sz w:val="20"/>
          <w:szCs w:val="20"/>
          <w:color w:val="auto"/>
        </w:rPr>
      </w:pPr>
    </w:p>
    <w:p>
      <w:pPr>
        <w:ind w:left="3160"/>
        <w:spacing w:after="0"/>
        <w:tabs>
          <w:tab w:leader="none" w:pos="4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Scott N. Semel</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ACQUISITION CORP.</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Joel H. Reichman</w:t>
      </w:r>
    </w:p>
    <w:p>
      <w:pPr>
        <w:spacing w:after="0" w:line="29" w:lineRule="exact"/>
        <w:rPr>
          <w:sz w:val="20"/>
          <w:szCs w:val="20"/>
          <w:color w:val="auto"/>
        </w:rPr>
      </w:pPr>
    </w:p>
    <w:p>
      <w:pPr>
        <w:ind w:left="3160"/>
        <w:spacing w:after="0"/>
        <w:tabs>
          <w:tab w:leader="none" w:pos="4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ATTEST:</w:t>
      </w:r>
    </w:p>
    <w:p>
      <w:pPr>
        <w:spacing w:after="0"/>
        <w:rPr>
          <w:sz w:val="20"/>
          <w:szCs w:val="20"/>
          <w:color w:val="auto"/>
        </w:rPr>
      </w:pPr>
      <w:r>
        <w:rPr>
          <w:rFonts w:ascii="Courier New" w:cs="Courier New" w:eastAsia="Courier New" w:hAnsi="Courier New"/>
          <w:sz w:val="18"/>
          <w:szCs w:val="18"/>
          <w:color w:val="auto"/>
        </w:rPr>
        <w:t>/s/ Scott N. Semel</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ectPr>
          <w:pgSz w:w="11900" w:h="16838" w:orient="portrait"/>
          <w:cols w:equalWidth="0" w:num="1">
            <w:col w:w="10219"/>
          </w:cols>
          <w:pgMar w:left="240" w:top="312" w:right="1440" w:bottom="1440" w:gutter="0" w:footer="0" w:header="0"/>
        </w:sectPr>
      </w:pPr>
    </w:p>
    <w:bookmarkStart w:id="70" w:name="page71"/>
    <w:bookmarkEnd w:id="70"/>
    <w:p>
      <w:pPr>
        <w:jc w:val="center"/>
        <w:ind w:right="3239"/>
        <w:spacing w:after="0"/>
        <w:rPr>
          <w:sz w:val="20"/>
          <w:szCs w:val="20"/>
          <w:color w:val="auto"/>
        </w:rPr>
      </w:pPr>
      <w:r>
        <w:rPr>
          <w:rFonts w:ascii="Courier New" w:cs="Courier New" w:eastAsia="Courier New" w:hAnsi="Courier New"/>
          <w:sz w:val="18"/>
          <w:szCs w:val="18"/>
          <w:color w:val="auto"/>
        </w:rPr>
        <w:t>BayBank Boston, N.A.</w:t>
      </w:r>
    </w:p>
    <w:p>
      <w:pPr>
        <w:spacing w:after="0" w:line="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8"/>
          <w:szCs w:val="18"/>
          <w:color w:val="auto"/>
        </w:rPr>
        <w:t>7 New England Executive Park</w:t>
      </w:r>
    </w:p>
    <w:p>
      <w:pPr>
        <w:jc w:val="center"/>
        <w:ind w:right="3259"/>
        <w:spacing w:after="0"/>
        <w:tabs>
          <w:tab w:leader="none" w:pos="180" w:val="left"/>
        </w:tabs>
        <w:rPr>
          <w:sz w:val="20"/>
          <w:szCs w:val="20"/>
          <w:color w:val="auto"/>
        </w:rPr>
      </w:pPr>
      <w:r>
        <w:rPr>
          <w:rFonts w:ascii="Courier New" w:cs="Courier New" w:eastAsia="Courier New" w:hAnsi="Courier New"/>
          <w:sz w:val="18"/>
          <w:szCs w:val="18"/>
          <w:color w:val="auto"/>
        </w:rPr>
        <w:t>Burlington, Massachusetts</w:t>
      </w:r>
      <w:r>
        <w:rPr>
          <w:sz w:val="20"/>
          <w:szCs w:val="20"/>
          <w:color w:val="auto"/>
        </w:rPr>
        <w:tab/>
      </w:r>
      <w:r>
        <w:rPr>
          <w:rFonts w:ascii="Courier New" w:cs="Courier New" w:eastAsia="Courier New" w:hAnsi="Courier New"/>
          <w:sz w:val="16"/>
          <w:szCs w:val="16"/>
          <w:color w:val="auto"/>
        </w:rPr>
        <w:t>01803</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225 Franklin Street</w:t>
      </w:r>
    </w:p>
    <w:p>
      <w:pPr>
        <w:ind w:left="2000"/>
        <w:spacing w:after="0"/>
        <w:tabs>
          <w:tab w:leader="none" w:pos="442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02101</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June 2,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1244 Boylston Street</w:t>
      </w:r>
    </w:p>
    <w:p>
      <w:pPr>
        <w:spacing w:after="0"/>
        <w:tabs>
          <w:tab w:leader="none" w:pos="3140" w:val="left"/>
        </w:tabs>
        <w:rPr>
          <w:sz w:val="20"/>
          <w:szCs w:val="20"/>
          <w:color w:val="auto"/>
        </w:rPr>
      </w:pPr>
      <w:r>
        <w:rPr>
          <w:rFonts w:ascii="Courier New" w:cs="Courier New" w:eastAsia="Courier New" w:hAnsi="Courier New"/>
          <w:sz w:val="18"/>
          <w:szCs w:val="18"/>
          <w:color w:val="auto"/>
        </w:rPr>
        <w:t>Chestnut Hill, Massachusetts</w:t>
        <w:tab/>
        <w:t>02167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3359" w:firstLine="527"/>
        <w:spacing w:after="0" w:line="256" w:lineRule="auto"/>
        <w:rPr>
          <w:sz w:val="20"/>
          <w:szCs w:val="20"/>
          <w:color w:val="auto"/>
        </w:rPr>
      </w:pPr>
      <w:r>
        <w:rPr>
          <w:rFonts w:ascii="Courier New" w:cs="Courier New" w:eastAsia="Courier New" w:hAnsi="Courier New"/>
          <w:sz w:val="18"/>
          <w:szCs w:val="18"/>
          <w:color w:val="auto"/>
        </w:rPr>
        <w:t>Reference is made to the Credit Agreement dated as of November 17, 1994 (the "Credit Agreement") among Designs, Inc., a Delaware corporation (the "Company"), BayBank Boston, N.A. ("BayBank") and State Street Bank and Trust Company (the "Banks"). Capitalized terms used herein and not otherwise defined shall have the same meanings herein as in the Credit Agreement.</w:t>
      </w:r>
    </w:p>
    <w:p>
      <w:pPr>
        <w:spacing w:after="0" w:line="98" w:lineRule="exact"/>
        <w:rPr>
          <w:sz w:val="20"/>
          <w:szCs w:val="20"/>
          <w:color w:val="auto"/>
        </w:rPr>
      </w:pPr>
    </w:p>
    <w:p>
      <w:pPr>
        <w:ind w:right="3359" w:firstLine="527"/>
        <w:spacing w:after="0" w:line="306" w:lineRule="auto"/>
        <w:rPr>
          <w:sz w:val="20"/>
          <w:szCs w:val="20"/>
          <w:color w:val="auto"/>
        </w:rPr>
      </w:pPr>
      <w:r>
        <w:rPr>
          <w:rFonts w:ascii="Courier New" w:cs="Courier New" w:eastAsia="Courier New" w:hAnsi="Courier New"/>
          <w:sz w:val="16"/>
          <w:szCs w:val="16"/>
          <w:color w:val="auto"/>
        </w:rPr>
        <w:t>You have asked us to amend the Credit Agreement to provide for a letter of credit facility and make certain other changes, and we have agreed to such amendment, subject to the terms and conditions of this letter agreement. For valuable consideration, the Company and the Banks hereby agree as follows:</w:t>
      </w:r>
    </w:p>
    <w:p>
      <w:pPr>
        <w:spacing w:after="0" w:line="60" w:lineRule="exact"/>
        <w:rPr>
          <w:sz w:val="20"/>
          <w:szCs w:val="20"/>
          <w:color w:val="auto"/>
        </w:rPr>
      </w:pPr>
    </w:p>
    <w:p>
      <w:pPr>
        <w:ind w:right="3679" w:firstLine="535"/>
        <w:spacing w:after="0" w:line="347" w:lineRule="auto"/>
        <w:tabs>
          <w:tab w:leader="none" w:pos="105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is hereby amended by adding the following new Section 2.19:</w:t>
      </w:r>
    </w:p>
    <w:p>
      <w:pPr>
        <w:spacing w:after="0" w:line="18"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"2.19</w:t>
      </w:r>
      <w:r>
        <w:rPr>
          <w:sz w:val="20"/>
          <w:szCs w:val="20"/>
          <w:color w:val="auto"/>
        </w:rPr>
        <w:tab/>
      </w:r>
      <w:r>
        <w:rPr>
          <w:rFonts w:ascii="Courier New" w:cs="Courier New" w:eastAsia="Courier New" w:hAnsi="Courier New"/>
          <w:sz w:val="18"/>
          <w:szCs w:val="18"/>
          <w:color w:val="auto"/>
        </w:rPr>
        <w:t>Letter of Credit Facility.</w:t>
      </w:r>
    </w:p>
    <w:p>
      <w:pPr>
        <w:spacing w:after="0" w:line="201" w:lineRule="exact"/>
        <w:rPr>
          <w:sz w:val="20"/>
          <w:szCs w:val="20"/>
          <w:color w:val="auto"/>
        </w:rPr>
      </w:pPr>
    </w:p>
    <w:p>
      <w:pPr>
        <w:ind w:right="3359" w:firstLine="535"/>
        <w:spacing w:after="0" w:line="274" w:lineRule="auto"/>
        <w:tabs>
          <w:tab w:leader="none" w:pos="105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hereof, the Company may use the Credit Advances for commercial Letters of Credit to be issued by either Bank (the "Issuing Bank") for the account of the Company, provided that (i) the Company executes and delivers a letter of credit application and reimbursement agreement in the Issuing Bank's standard form (with such modifications as the Issuing Bank and the Company may agree to) and complies with any conditions to the issuance of such Letter of Credit (including the payment of the any usual and customary applicable fees) set forth therein; (ii) the Issuing Bank approves the form of such Letter of Credit and the purpose of its issuance; (iii) such Letter of Credit bears an expiration date not later than the Termination Date; and (iv) the conditions set forth in Section</w:t>
      </w:r>
    </w:p>
    <w:p>
      <w:pPr>
        <w:spacing w:after="0" w:line="182" w:lineRule="exact"/>
        <w:rPr>
          <w:rFonts w:ascii="Courier New" w:cs="Courier New" w:eastAsia="Courier New" w:hAnsi="Courier New"/>
          <w:sz w:val="16"/>
          <w:szCs w:val="16"/>
          <w:color w:val="auto"/>
        </w:rPr>
      </w:pPr>
    </w:p>
    <w:p>
      <w:pPr>
        <w:ind w:right="357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3.2 below have been satisfied as of the date of the issuance of such Letter of Credit.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right="3359" w:firstLine="535"/>
        <w:spacing w:after="0" w:line="253" w:lineRule="auto"/>
        <w:tabs>
          <w:tab w:leader="none" w:pos="1053"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Issuing Bank shall not be obligated or permitted under this Section 2.19 to issue any Letter of Credit for the account of the Company to the extent that the sum of (i) the amount that would be available to be drawn under the proposed Letter of Credit plus (ii) the sum of all amounts available to be drawn under outstanding Letters of Credit plus (iii) all unreimbursed drawings under such outstanding Letters of Credit shall exceed $5,000,000.</w:t>
      </w:r>
    </w:p>
    <w:p>
      <w:pPr>
        <w:spacing w:after="0" w:line="103" w:lineRule="exact"/>
        <w:rPr>
          <w:rFonts w:ascii="Courier New" w:cs="Courier New" w:eastAsia="Courier New" w:hAnsi="Courier New"/>
          <w:sz w:val="18"/>
          <w:szCs w:val="18"/>
          <w:color w:val="auto"/>
        </w:rPr>
      </w:pPr>
    </w:p>
    <w:p>
      <w:pPr>
        <w:ind w:right="3359" w:firstLine="535"/>
        <w:spacing w:after="0" w:line="283" w:lineRule="auto"/>
        <w:tabs>
          <w:tab w:leader="none" w:pos="105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obligations under this Section 2.19 shall be absolute and unconditional under any and all circumstances and irrespective of the occurrence of any Default or Event of Default or any condition precedent whatsoever or any setoff, counterclaim or defense to payment which the Company may have or have had against the Issuing Bank, the Agent, any Bank or any beneficiary of a Letter of Credit. The Company further agrees that the Issuing Bank, the Agent and the Banks shall not be responsible for, and the Company's reimbursement obligations shall not be affected by, among other things, the validity or genuineness of documents or of any endorsements thereon, even if such documents</w:t>
      </w:r>
    </w:p>
    <w:p>
      <w:pPr>
        <w:sectPr>
          <w:pgSz w:w="11900" w:h="16838" w:orient="portrait"/>
          <w:cols w:equalWidth="0" w:num="1">
            <w:col w:w="10219"/>
          </w:cols>
          <w:pgMar w:left="240" w:top="1325" w:right="1440" w:bottom="0" w:gutter="0" w:footer="0" w:header="0"/>
        </w:sectPr>
      </w:pPr>
    </w:p>
    <w:bookmarkStart w:id="71" w:name="page72"/>
    <w:bookmarkEnd w:id="71"/>
    <w:p>
      <w:pPr>
        <w:ind w:right="3359"/>
        <w:spacing w:after="0" w:line="276" w:lineRule="auto"/>
        <w:rPr>
          <w:sz w:val="20"/>
          <w:szCs w:val="20"/>
          <w:color w:val="auto"/>
        </w:rPr>
      </w:pPr>
      <w:r>
        <w:rPr>
          <w:rFonts w:ascii="Courier New" w:cs="Courier New" w:eastAsia="Courier New" w:hAnsi="Courier New"/>
          <w:sz w:val="16"/>
          <w:szCs w:val="16"/>
          <w:color w:val="auto"/>
        </w:rPr>
        <w:t>should in fact prove to be in any or all respects invalid, fraudulent or forged, or any dispute between or among the Company, the beneficiary of any Letter of Credit or any financing institution or other party to which any Letter of Credit may be transferred or any claims or defenses whatsoever of the Company, against the beneficiary of any Letter of Credit or any such transferee. The Issuing Bank, the Agent and the Banks shall not be liable for any error, omission, interruption or delay in transmission, dispatch or delivery of any message or advice, however transmitted, in connection with any Letter of Credit.</w:t>
      </w:r>
    </w:p>
    <w:p>
      <w:pPr>
        <w:spacing w:after="0" w:line="18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8"/>
          <w:szCs w:val="18"/>
          <w:color w:val="auto"/>
        </w:rPr>
        <w:t>The Company agrees that any action taken or omitted by the Issuing Bank, the Agent or any Bank under or in connection with each Letter of Credit and the related drafts and documents, if done in good faith and without willful misconduct or gross negligence on the part of the Agent or the Banks, shall be binding upon the Company and shall not result in any liability on the part of the Issuing Bank, the Agent or any Bank to the Company; provided, however, in no event shall the Agent or the Banks be liable for any consequential damages.</w:t>
      </w:r>
    </w:p>
    <w:p>
      <w:pPr>
        <w:spacing w:after="0" w:line="105" w:lineRule="exact"/>
        <w:rPr>
          <w:sz w:val="20"/>
          <w:szCs w:val="20"/>
          <w:color w:val="auto"/>
        </w:rPr>
      </w:pPr>
    </w:p>
    <w:p>
      <w:pPr>
        <w:ind w:right="3579" w:firstLine="535"/>
        <w:spacing w:after="0" w:line="250" w:lineRule="auto"/>
        <w:tabs>
          <w:tab w:leader="none" w:pos="1053"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inconsistent with Section 2.19(c), the Issuing Bank and the Agent shall be entitled to rely, and shall be fully protected in relying upon, any Letter of Credit, draft, writing, resolution, notice, consent, certificate, affidavit, letter, cablegram, telegram, telecopy, telex or teletype message, statement order or other document believed by it to be genuine and correct and to have been signed, sent or made by the proper Person or persons and upon advice and statements of legal counsel and other experts selected by the Issuing Bank and the Agent.</w:t>
      </w:r>
    </w:p>
    <w:p>
      <w:pPr>
        <w:spacing w:after="0" w:line="104" w:lineRule="exact"/>
        <w:rPr>
          <w:rFonts w:ascii="Courier New" w:cs="Courier New" w:eastAsia="Courier New" w:hAnsi="Courier New"/>
          <w:sz w:val="18"/>
          <w:szCs w:val="18"/>
          <w:color w:val="auto"/>
        </w:rPr>
      </w:pPr>
    </w:p>
    <w:p>
      <w:pPr>
        <w:jc w:val="both"/>
        <w:ind w:right="3359" w:firstLine="535"/>
        <w:spacing w:after="0" w:line="344" w:lineRule="auto"/>
        <w:tabs>
          <w:tab w:leader="none" w:pos="1053"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draft shall be presented or other demand for payment shall be made under any Letter of Credit, the Issuing Bank shall notify the Company of the date and amount of the draft</w:t>
      </w:r>
    </w:p>
    <w:p>
      <w:pPr>
        <w:sectPr>
          <w:pgSz w:w="11900" w:h="16838" w:orient="portrait"/>
          <w:cols w:equalWidth="0" w:num="1">
            <w:col w:w="10219"/>
          </w:cols>
          <w:pgMar w:left="240" w:top="110" w:right="1440" w:bottom="1440" w:gutter="0" w:footer="0" w:header="0"/>
        </w:sectPr>
      </w:pPr>
    </w:p>
    <w:bookmarkStart w:id="72" w:name="page73"/>
    <w:bookmarkEnd w:id="72"/>
    <w:p>
      <w:pPr>
        <w:ind w:right="3359"/>
        <w:spacing w:after="0" w:line="289" w:lineRule="auto"/>
        <w:rPr>
          <w:sz w:val="20"/>
          <w:szCs w:val="20"/>
          <w:color w:val="auto"/>
        </w:rPr>
      </w:pPr>
      <w:r>
        <w:rPr>
          <w:rFonts w:ascii="Courier New" w:cs="Courier New" w:eastAsia="Courier New" w:hAnsi="Courier New"/>
          <w:sz w:val="16"/>
          <w:szCs w:val="16"/>
          <w:color w:val="auto"/>
        </w:rPr>
        <w:t>presented or demand for payment and of the date and time when it expects to pay such draft or honor such demand for payment. On the date that such draft is paid or other payment is made by the Issuing Bank, the Issuing Bank shall promptly notify the Banks of the amount of any unpaid reimbursement obligations. All such unpaid reimbursement obligations with respect to Letters of Credit shall be deemed to be Credit Advances and subject to the limitations and requirements stated in Article 2.</w:t>
      </w:r>
    </w:p>
    <w:p>
      <w:pPr>
        <w:spacing w:after="0" w:line="77" w:lineRule="exact"/>
        <w:rPr>
          <w:sz w:val="20"/>
          <w:szCs w:val="20"/>
          <w:color w:val="auto"/>
        </w:rPr>
      </w:pPr>
    </w:p>
    <w:p>
      <w:pPr>
        <w:ind w:right="3359" w:firstLine="535"/>
        <w:spacing w:after="0" w:line="247" w:lineRule="auto"/>
        <w:tabs>
          <w:tab w:leader="none" w:pos="1053"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immediately upon the issuance of each Letter of Credit for the account of the Company and without further action on the part of the Issuing Bank, the Issuing Bank shall be deemed to have granted to each Bank, and each Bank shall be deemed to have irrevocably purchased and received from such Issuing Bank without recourse or warranty, an undivided interest and participation in such Letter of Credit to the extent of each Bank's Commitment. Each Bank agrees that it shall be absolutely liable, to the extent of its Commitment thereof, to reimburse the Issuing Bank on demand for the amount of each draft paid by the Issuing Bank under each Letter of Credit to the extent that such amount is not reimbursed by the Company or for which a Credit Advance is not made.</w:t>
      </w:r>
    </w:p>
    <w:p>
      <w:pPr>
        <w:spacing w:after="0" w:line="107" w:lineRule="exact"/>
        <w:rPr>
          <w:rFonts w:ascii="Courier New" w:cs="Courier New" w:eastAsia="Courier New" w:hAnsi="Courier New"/>
          <w:sz w:val="18"/>
          <w:szCs w:val="18"/>
          <w:color w:val="auto"/>
        </w:rPr>
      </w:pPr>
    </w:p>
    <w:p>
      <w:pPr>
        <w:ind w:right="3259" w:firstLine="535"/>
        <w:spacing w:after="0" w:line="246" w:lineRule="auto"/>
        <w:tabs>
          <w:tab w:leader="none" w:pos="1053"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pay the Issuing Bank, for the benefit of each of the Banks based upon their respective Commitment, a fee (the "Letter of Credit Fee") with respect to each Letter of Credit issued equal to one-quarter of one percent (1/4%) per annum (computed on the basis of the actual number of days elapsed over a 360-day year) of the average daily balance of the outstanding commercial Letters of Credit. The Letter of Credit Fee shall be payable quarterly in arrears on the last day of each February, May, August and November of each year, commencing on the first such date next succeeding the date hereof. The Company shall also pay the Issuing Bank a transactional fee, in an amount to be agreed upon by the Company and the Issuing Bank, which the Issuing Bank shall retain for its own account, and which fee shall be payable upon the issuance of the requested Letter of Credit.</w:t>
      </w:r>
    </w:p>
    <w:p>
      <w:pPr>
        <w:spacing w:after="0" w:line="106" w:lineRule="exact"/>
        <w:rPr>
          <w:rFonts w:ascii="Courier New" w:cs="Courier New" w:eastAsia="Courier New" w:hAnsi="Courier New"/>
          <w:sz w:val="18"/>
          <w:szCs w:val="18"/>
          <w:color w:val="auto"/>
        </w:rPr>
      </w:pPr>
    </w:p>
    <w:p>
      <w:pPr>
        <w:ind w:right="3359" w:firstLine="535"/>
        <w:spacing w:after="0" w:line="248" w:lineRule="auto"/>
        <w:tabs>
          <w:tab w:leader="none" w:pos="1053"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Issuing Bank shall be entitled to administer each Letter of Credit in the ordinary course of business and in accordance with its usual practices, modified from time to time as it deems appropriate under the circumstances, and shall be entitled to use its discretion in taking or refraining from taking any action in connection herewith as if it were the sole party involved. Any action taken or omitted to be taken by the Issuing Bank under or in connection with any Letter of Credit, if taken or omitted in the absence of gross negligence or willful misconduct, shall not create for the Issuing Bank any resulting liability to any other Bank and in no event shall the Issuing Bank be liable for any consequential damages.</w:t>
      </w:r>
    </w:p>
    <w:p>
      <w:pPr>
        <w:sectPr>
          <w:pgSz w:w="11900" w:h="16838" w:orient="portrait"/>
          <w:cols w:equalWidth="0" w:num="1">
            <w:col w:w="10219"/>
          </w:cols>
          <w:pgMar w:left="240" w:top="691" w:right="1440" w:bottom="1440" w:gutter="0" w:footer="0" w:header="0"/>
        </w:sectPr>
      </w:pPr>
    </w:p>
    <w:bookmarkStart w:id="73" w:name="page74"/>
    <w:bookmarkEnd w:id="73"/>
    <w:p>
      <w:pPr>
        <w:ind w:left="-535" w:right="3359" w:firstLine="535"/>
        <w:spacing w:after="0" w:line="250" w:lineRule="auto"/>
        <w:tabs>
          <w:tab w:leader="none" w:pos="519"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right to request, and the Banks' obligation to make, Credit Advances shall be deemed to be reduced by an amount equal to the aggregate stated amount of all outstanding Letters of Credit remaining undrawn from time to time. Once drawn, a Letter of Credit shall be funded as herein provided, and any amount so advanced shall be deemed a Credit Advance and shall accrue interest as such from the date so advanced. The principal amount of any deemed Credit Advance resulting from a drawn Letter of Credit shall be payable on the Termination Date."</w:t>
      </w:r>
    </w:p>
    <w:p>
      <w:pPr>
        <w:spacing w:after="0" w:line="104" w:lineRule="exact"/>
        <w:rPr>
          <w:sz w:val="20"/>
          <w:szCs w:val="20"/>
          <w:color w:val="auto"/>
        </w:rPr>
      </w:pPr>
    </w:p>
    <w:p>
      <w:pPr>
        <w:ind w:left="-535" w:right="3359" w:firstLine="535"/>
        <w:spacing w:after="0" w:line="246" w:lineRule="auto"/>
        <w:tabs>
          <w:tab w:leader="none" w:pos="51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confirms that (i) the representations and warranties of the Company contained in Article 4 of the Credit Agreement are true on and as of the date hereof as if made on such date (except to the extent that such representations and warranties expressly relate to an earlier date); (ii) since January 28, 1995, there has occurred no material adverse change in the assets or liabilities or in the financial or other condition of the Company; (iii) the Company is in compliance in all material respects with all of the terms and provisions of the Credit Agreement; and (iv) after giving effect to this Letter Agreement, no Event of Default specified in the Credit Agreement nor any event which with the giving of notice or expiration of any applicable grace period or both would constitute such an Event of Default, has occurred and is continuing.</w:t>
      </w:r>
    </w:p>
    <w:p>
      <w:pPr>
        <w:spacing w:after="0" w:line="106" w:lineRule="exact"/>
        <w:rPr>
          <w:rFonts w:ascii="Courier New" w:cs="Courier New" w:eastAsia="Courier New" w:hAnsi="Courier New"/>
          <w:sz w:val="18"/>
          <w:szCs w:val="18"/>
          <w:color w:val="auto"/>
        </w:rPr>
      </w:pPr>
    </w:p>
    <w:p>
      <w:pPr>
        <w:ind w:left="-535" w:right="3479" w:firstLine="535"/>
        <w:spacing w:after="0" w:line="265" w:lineRule="auto"/>
        <w:tabs>
          <w:tab w:leader="none" w:pos="51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represents and covenants that the Indebtedness evidenced by the Letters of Credit constitute "Obligations" under the Credit Agreement. The Company agrees to take such actions as may be requested by the Banks for the purpose of carrying out the foregoing provisions hereof.</w:t>
      </w:r>
    </w:p>
    <w:p>
      <w:pPr>
        <w:spacing w:after="0" w:line="89" w:lineRule="exact"/>
        <w:rPr>
          <w:rFonts w:ascii="Courier New" w:cs="Courier New" w:eastAsia="Courier New" w:hAnsi="Courier New"/>
          <w:sz w:val="18"/>
          <w:szCs w:val="18"/>
          <w:color w:val="auto"/>
        </w:rPr>
      </w:pPr>
    </w:p>
    <w:p>
      <w:pPr>
        <w:ind w:left="-535" w:right="3359" w:firstLine="535"/>
        <w:spacing w:after="0" w:line="274" w:lineRule="auto"/>
        <w:tabs>
          <w:tab w:leader="none" w:pos="51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Banks hereby extend until June 27, 1995, the deadline set forth in Section 5.4(f) of the Credit Agreement, for delivery by the Company to the Banks, of the projected budget of the Company and its consolidated Subsidiaries.</w:t>
      </w:r>
    </w:p>
    <w:p>
      <w:pPr>
        <w:spacing w:after="0" w:line="81" w:lineRule="exact"/>
        <w:rPr>
          <w:rFonts w:ascii="Courier New" w:cs="Courier New" w:eastAsia="Courier New" w:hAnsi="Courier New"/>
          <w:sz w:val="18"/>
          <w:szCs w:val="18"/>
          <w:color w:val="auto"/>
        </w:rPr>
      </w:pPr>
    </w:p>
    <w:p>
      <w:pPr>
        <w:ind w:left="-535" w:right="3479" w:firstLine="535"/>
        <w:spacing w:after="0" w:line="249" w:lineRule="auto"/>
        <w:tabs>
          <w:tab w:leader="none" w:pos="413"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specifically amended hereby, the Credit Agreement and all related documents shall remain in full force and effect. This Letter Agreement may be executed in any number of counterparts and by the different parties hereto on separate counterparts, each of which when so executed and delivered shall be an original, but all the counterparts shall together constitute one and the same instrument. This Letter Agreement shall be governed by the laws of the Commonwealth of Massachusetts and shall be binding upon and inure to the benefit of the parties hereto and their respective successors and assigns.</w:t>
      </w:r>
    </w:p>
    <w:p>
      <w:pPr>
        <w:sectPr>
          <w:pgSz w:w="11900" w:h="16838" w:orient="portrait"/>
          <w:cols w:equalWidth="0" w:num="1">
            <w:col w:w="9684"/>
          </w:cols>
          <w:pgMar w:left="775" w:top="691" w:right="1440" w:bottom="1440" w:gutter="0" w:footer="0" w:header="0"/>
        </w:sectPr>
      </w:pPr>
    </w:p>
    <w:bookmarkStart w:id="74" w:name="page75"/>
    <w:bookmarkEnd w:id="74"/>
    <w:p>
      <w:pPr>
        <w:jc w:val="both"/>
        <w:ind w:right="3679" w:firstLine="527"/>
        <w:spacing w:after="0" w:line="274" w:lineRule="auto"/>
        <w:rPr>
          <w:sz w:val="20"/>
          <w:szCs w:val="20"/>
          <w:color w:val="auto"/>
        </w:rPr>
      </w:pPr>
      <w:r>
        <w:rPr>
          <w:rFonts w:ascii="Courier New" w:cs="Courier New" w:eastAsia="Courier New" w:hAnsi="Courier New"/>
          <w:sz w:val="18"/>
          <w:szCs w:val="18"/>
          <w:color w:val="auto"/>
        </w:rPr>
        <w:t>IN WITNESS WHEREOF, the Company and the Banks have caused this Letter Agreement to be executed and delivered as a sealed instrument, at Boston, Massachusetts, by their duly authorized officers, all as of the date first written above.</w:t>
      </w:r>
    </w:p>
    <w:p>
      <w:pPr>
        <w:spacing w:after="0" w:line="8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BAYBANK BOSTON, N.A.</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Judi N. Martin</w:t>
      </w:r>
    </w:p>
    <w:p>
      <w:pPr>
        <w:spacing w:after="0" w:line="29"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Judi N. Martin</w:t>
      </w:r>
    </w:p>
    <w:p>
      <w:pPr>
        <w:jc w:val="center"/>
        <w:ind w:right="79"/>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Andrew Bies</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Andrew Bies</w:t>
      </w:r>
    </w:p>
    <w:p>
      <w:pPr>
        <w:ind w:left="4320"/>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Joel H. Reichman</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Joel H. Reichman</w:t>
      </w:r>
    </w:p>
    <w:p>
      <w:pPr>
        <w:ind w:left="4320"/>
        <w:spacing w:after="0"/>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691" w:right="1440" w:bottom="1440" w:gutter="0" w:footer="0" w:header="0"/>
        </w:sectPr>
      </w:pPr>
    </w:p>
    <w:bookmarkStart w:id="75" w:name="page76"/>
    <w:bookmarkEnd w:id="75"/>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right="2179"/>
        <w:spacing w:after="0" w:line="260"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Sheets of Designs, Inc. as of July 29, 1995, July 30, 1994 and January 28, 1995 and Consolidated Statements of Income for the three months, six months and twelve months ending July 29, 1995 and July 30, 1994 and is qualified in its entirety by reference to such financial statements.</w:t>
      </w:r>
    </w:p>
    <w:p>
      <w:pPr>
        <w:spacing w:after="0" w:line="9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spacing w:after="0" w:line="29"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FEB-03-1996</w:t>
      </w:r>
    </w:p>
    <w:p>
      <w:pPr>
        <w:ind w:left="3020"/>
        <w:spacing w:after="0" w:line="238" w:lineRule="auto"/>
        <w:rPr>
          <w:sz w:val="20"/>
          <w:szCs w:val="20"/>
          <w:color w:val="auto"/>
        </w:rPr>
      </w:pPr>
      <w:r>
        <w:rPr>
          <w:rFonts w:ascii="Courier New" w:cs="Courier New" w:eastAsia="Courier New" w:hAnsi="Courier New"/>
          <w:sz w:val="18"/>
          <w:szCs w:val="18"/>
          <w:color w:val="auto"/>
        </w:rPr>
        <w:t>JAN-29-1995</w:t>
      </w:r>
    </w:p>
    <w:p>
      <w:pPr>
        <w:ind w:left="3240"/>
        <w:spacing w:after="0"/>
        <w:rPr>
          <w:sz w:val="20"/>
          <w:szCs w:val="20"/>
          <w:color w:val="auto"/>
        </w:rPr>
      </w:pPr>
      <w:r>
        <w:rPr>
          <w:rFonts w:ascii="Courier New" w:cs="Courier New" w:eastAsia="Courier New" w:hAnsi="Courier New"/>
          <w:sz w:val="18"/>
          <w:szCs w:val="18"/>
          <w:color w:val="auto"/>
        </w:rPr>
        <w:t>JUL-29-1995</w:t>
      </w:r>
    </w:p>
    <w:p>
      <w:pPr>
        <w:ind w:left="4500"/>
        <w:spacing w:after="0" w:line="238" w:lineRule="auto"/>
        <w:rPr>
          <w:sz w:val="20"/>
          <w:szCs w:val="20"/>
          <w:color w:val="auto"/>
        </w:rPr>
      </w:pPr>
      <w:r>
        <w:rPr>
          <w:rFonts w:ascii="Courier New" w:cs="Courier New" w:eastAsia="Courier New" w:hAnsi="Courier New"/>
          <w:sz w:val="18"/>
          <w:szCs w:val="18"/>
          <w:color w:val="auto"/>
        </w:rPr>
        <w:t>8,293</w:t>
      </w:r>
    </w:p>
    <w:p>
      <w:pPr>
        <w:ind w:left="4280"/>
        <w:spacing w:after="0"/>
        <w:rPr>
          <w:sz w:val="20"/>
          <w:szCs w:val="20"/>
          <w:color w:val="auto"/>
        </w:rPr>
      </w:pPr>
      <w:r>
        <w:rPr>
          <w:rFonts w:ascii="Courier New" w:cs="Courier New" w:eastAsia="Courier New" w:hAnsi="Courier New"/>
          <w:sz w:val="18"/>
          <w:szCs w:val="18"/>
          <w:color w:val="auto"/>
        </w:rPr>
        <w:t>0</w:t>
      </w:r>
    </w:p>
    <w:p>
      <w:pPr>
        <w:ind w:left="3980"/>
        <w:spacing w:after="0" w:line="238" w:lineRule="auto"/>
        <w:rPr>
          <w:sz w:val="20"/>
          <w:szCs w:val="20"/>
          <w:color w:val="auto"/>
        </w:rPr>
      </w:pPr>
      <w:r>
        <w:rPr>
          <w:rFonts w:ascii="Courier New" w:cs="Courier New" w:eastAsia="Courier New" w:hAnsi="Courier New"/>
          <w:sz w:val="18"/>
          <w:szCs w:val="18"/>
          <w:color w:val="auto"/>
        </w:rPr>
        <w:t>909</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8" w:lineRule="auto"/>
        <w:rPr>
          <w:sz w:val="20"/>
          <w:szCs w:val="20"/>
          <w:color w:val="auto"/>
        </w:rPr>
      </w:pPr>
      <w:r>
        <w:rPr>
          <w:rFonts w:ascii="Courier New" w:cs="Courier New" w:eastAsia="Courier New" w:hAnsi="Courier New"/>
          <w:sz w:val="18"/>
          <w:szCs w:val="18"/>
          <w:color w:val="auto"/>
        </w:rPr>
        <w:t>62,580</w:t>
      </w:r>
    </w:p>
    <w:p>
      <w:pPr>
        <w:ind w:left="3340"/>
        <w:spacing w:after="0"/>
        <w:rPr>
          <w:sz w:val="20"/>
          <w:szCs w:val="20"/>
          <w:color w:val="auto"/>
        </w:rPr>
      </w:pPr>
      <w:r>
        <w:rPr>
          <w:rFonts w:ascii="Courier New" w:cs="Courier New" w:eastAsia="Courier New" w:hAnsi="Courier New"/>
          <w:sz w:val="18"/>
          <w:szCs w:val="18"/>
          <w:color w:val="auto"/>
        </w:rPr>
        <w:t>74,743</w:t>
      </w:r>
    </w:p>
    <w:p>
      <w:pPr>
        <w:ind w:left="4400"/>
        <w:spacing w:after="0" w:line="238" w:lineRule="auto"/>
        <w:rPr>
          <w:sz w:val="20"/>
          <w:szCs w:val="20"/>
          <w:color w:val="auto"/>
        </w:rPr>
      </w:pPr>
      <w:r>
        <w:rPr>
          <w:rFonts w:ascii="Courier New" w:cs="Courier New" w:eastAsia="Courier New" w:hAnsi="Courier New"/>
          <w:sz w:val="18"/>
          <w:szCs w:val="18"/>
          <w:color w:val="auto"/>
        </w:rPr>
        <w:t>59,067</w:t>
      </w:r>
    </w:p>
    <w:p>
      <w:pPr>
        <w:ind w:left="3540"/>
        <w:spacing w:after="0"/>
        <w:rPr>
          <w:sz w:val="20"/>
          <w:szCs w:val="20"/>
          <w:color w:val="auto"/>
        </w:rPr>
      </w:pPr>
      <w:r>
        <w:rPr>
          <w:rFonts w:ascii="Courier New" w:cs="Courier New" w:eastAsia="Courier New" w:hAnsi="Courier New"/>
          <w:sz w:val="18"/>
          <w:szCs w:val="18"/>
          <w:color w:val="auto"/>
        </w:rPr>
        <w:t>26,019</w:t>
      </w:r>
    </w:p>
    <w:p>
      <w:pPr>
        <w:ind w:left="3440"/>
        <w:spacing w:after="0" w:line="238" w:lineRule="auto"/>
        <w:rPr>
          <w:sz w:val="20"/>
          <w:szCs w:val="20"/>
          <w:color w:val="auto"/>
        </w:rPr>
      </w:pPr>
      <w:r>
        <w:rPr>
          <w:rFonts w:ascii="Courier New" w:cs="Courier New" w:eastAsia="Courier New" w:hAnsi="Courier New"/>
          <w:sz w:val="18"/>
          <w:szCs w:val="18"/>
          <w:color w:val="auto"/>
        </w:rPr>
        <w:t>126,895</w:t>
      </w:r>
    </w:p>
    <w:p>
      <w:pPr>
        <w:ind w:left="2820"/>
        <w:spacing w:after="0"/>
        <w:rPr>
          <w:sz w:val="20"/>
          <w:szCs w:val="20"/>
          <w:color w:val="auto"/>
        </w:rPr>
      </w:pPr>
      <w:r>
        <w:rPr>
          <w:rFonts w:ascii="Courier New" w:cs="Courier New" w:eastAsia="Courier New" w:hAnsi="Courier New"/>
          <w:sz w:val="18"/>
          <w:szCs w:val="18"/>
          <w:color w:val="auto"/>
        </w:rPr>
        <w:t>22,635</w:t>
      </w:r>
    </w:p>
    <w:p>
      <w:pPr>
        <w:jc w:val="center"/>
        <w:ind w:right="439"/>
        <w:spacing w:after="0" w:line="238" w:lineRule="auto"/>
        <w:rPr>
          <w:sz w:val="20"/>
          <w:szCs w:val="20"/>
          <w:color w:val="auto"/>
        </w:rPr>
      </w:pPr>
      <w:r>
        <w:rPr>
          <w:rFonts w:ascii="Courier New" w:cs="Courier New" w:eastAsia="Courier New" w:hAnsi="Courier New"/>
          <w:sz w:val="18"/>
          <w:szCs w:val="18"/>
          <w:color w:val="auto"/>
        </w:rPr>
        <w:t>0</w:t>
      </w:r>
    </w:p>
    <w:p>
      <w:pPr>
        <w:ind w:left="4500"/>
        <w:spacing w:after="0"/>
        <w:rPr>
          <w:sz w:val="20"/>
          <w:szCs w:val="20"/>
          <w:color w:val="auto"/>
        </w:rPr>
      </w:pPr>
      <w:r>
        <w:rPr>
          <w:rFonts w:ascii="Courier New" w:cs="Courier New" w:eastAsia="Courier New" w:hAnsi="Courier New"/>
          <w:sz w:val="18"/>
          <w:szCs w:val="18"/>
          <w:color w:val="auto"/>
        </w:rPr>
        <w:t>158</w:t>
      </w:r>
    </w:p>
    <w:p>
      <w:pPr>
        <w:ind w:left="3340"/>
        <w:spacing w:after="0" w:line="238"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980"/>
        <w:spacing w:after="0" w:line="238" w:lineRule="auto"/>
        <w:rPr>
          <w:sz w:val="20"/>
          <w:szCs w:val="20"/>
          <w:color w:val="auto"/>
        </w:rPr>
      </w:pPr>
      <w:r>
        <w:rPr>
          <w:rFonts w:ascii="Courier New" w:cs="Courier New" w:eastAsia="Courier New" w:hAnsi="Courier New"/>
          <w:sz w:val="18"/>
          <w:szCs w:val="18"/>
          <w:color w:val="auto"/>
        </w:rPr>
        <w:t>98,794</w:t>
      </w:r>
    </w:p>
    <w:p>
      <w:pPr>
        <w:ind w:left="1960"/>
        <w:spacing w:after="0"/>
        <w:rPr>
          <w:sz w:val="20"/>
          <w:szCs w:val="20"/>
          <w:color w:val="auto"/>
        </w:rPr>
      </w:pPr>
      <w:r>
        <w:rPr>
          <w:rFonts w:ascii="Courier New" w:cs="Courier New" w:eastAsia="Courier New" w:hAnsi="Courier New"/>
          <w:sz w:val="18"/>
          <w:szCs w:val="18"/>
          <w:color w:val="auto"/>
        </w:rPr>
        <w:t>126,895</w:t>
      </w:r>
    </w:p>
    <w:p>
      <w:pPr>
        <w:ind w:left="4180"/>
        <w:spacing w:after="0" w:line="238" w:lineRule="auto"/>
        <w:rPr>
          <w:sz w:val="20"/>
          <w:szCs w:val="20"/>
          <w:color w:val="auto"/>
        </w:rPr>
      </w:pPr>
      <w:r>
        <w:rPr>
          <w:rFonts w:ascii="Courier New" w:cs="Courier New" w:eastAsia="Courier New" w:hAnsi="Courier New"/>
          <w:sz w:val="18"/>
          <w:szCs w:val="18"/>
          <w:color w:val="auto"/>
        </w:rPr>
        <w:t>124,329</w:t>
      </w:r>
    </w:p>
    <w:p>
      <w:pPr>
        <w:ind w:left="3240"/>
        <w:spacing w:after="0"/>
        <w:rPr>
          <w:sz w:val="20"/>
          <w:szCs w:val="20"/>
          <w:color w:val="auto"/>
        </w:rPr>
      </w:pPr>
      <w:r>
        <w:rPr>
          <w:rFonts w:ascii="Courier New" w:cs="Courier New" w:eastAsia="Courier New" w:hAnsi="Courier New"/>
          <w:sz w:val="18"/>
          <w:szCs w:val="18"/>
          <w:color w:val="auto"/>
        </w:rPr>
        <w:t>124,329</w:t>
      </w:r>
    </w:p>
    <w:p>
      <w:pPr>
        <w:ind w:left="4500"/>
        <w:spacing w:after="0" w:line="238" w:lineRule="auto"/>
        <w:rPr>
          <w:sz w:val="20"/>
          <w:szCs w:val="20"/>
          <w:color w:val="auto"/>
        </w:rPr>
      </w:pPr>
      <w:r>
        <w:rPr>
          <w:rFonts w:ascii="Courier New" w:cs="Courier New" w:eastAsia="Courier New" w:hAnsi="Courier New"/>
          <w:sz w:val="18"/>
          <w:szCs w:val="18"/>
          <w:color w:val="auto"/>
        </w:rPr>
        <w:t>88,255</w:t>
      </w:r>
    </w:p>
    <w:p>
      <w:pPr>
        <w:ind w:left="3660"/>
        <w:spacing w:after="0"/>
        <w:rPr>
          <w:sz w:val="20"/>
          <w:szCs w:val="20"/>
          <w:color w:val="auto"/>
        </w:rPr>
      </w:pPr>
      <w:r>
        <w:rPr>
          <w:rFonts w:ascii="Courier New" w:cs="Courier New" w:eastAsia="Courier New" w:hAnsi="Courier New"/>
          <w:sz w:val="18"/>
          <w:szCs w:val="18"/>
          <w:color w:val="auto"/>
        </w:rPr>
        <w:t>88,255</w:t>
      </w:r>
    </w:p>
    <w:p>
      <w:pPr>
        <w:ind w:left="3340"/>
        <w:spacing w:after="0" w:line="238" w:lineRule="auto"/>
        <w:rPr>
          <w:sz w:val="20"/>
          <w:szCs w:val="20"/>
          <w:color w:val="auto"/>
        </w:rPr>
      </w:pPr>
      <w:r>
        <w:rPr>
          <w:rFonts w:ascii="Courier New" w:cs="Courier New" w:eastAsia="Courier New" w:hAnsi="Courier New"/>
          <w:sz w:val="18"/>
          <w:szCs w:val="18"/>
          <w:color w:val="auto"/>
        </w:rPr>
        <w:t>31,862</w:t>
      </w:r>
    </w:p>
    <w:p>
      <w:pPr>
        <w:ind w:left="3860"/>
        <w:spacing w:after="0"/>
        <w:rPr>
          <w:sz w:val="20"/>
          <w:szCs w:val="20"/>
          <w:color w:val="auto"/>
        </w:rPr>
      </w:pPr>
      <w:r>
        <w:rPr>
          <w:rFonts w:ascii="Courier New" w:cs="Courier New" w:eastAsia="Courier New" w:hAnsi="Courier New"/>
          <w:sz w:val="18"/>
          <w:szCs w:val="18"/>
          <w:color w:val="auto"/>
        </w:rPr>
        <w:t>0</w:t>
      </w:r>
    </w:p>
    <w:p>
      <w:pPr>
        <w:ind w:left="3540"/>
        <w:spacing w:after="0" w:line="238" w:lineRule="auto"/>
        <w:rPr>
          <w:sz w:val="20"/>
          <w:szCs w:val="20"/>
          <w:color w:val="auto"/>
        </w:rPr>
      </w:pPr>
      <w:r>
        <w:rPr>
          <w:rFonts w:ascii="Courier New" w:cs="Courier New" w:eastAsia="Courier New" w:hAnsi="Courier New"/>
          <w:sz w:val="18"/>
          <w:szCs w:val="18"/>
          <w:color w:val="auto"/>
        </w:rPr>
        <w:t>87</w:t>
      </w:r>
    </w:p>
    <w:p>
      <w:pPr>
        <w:ind w:left="3540"/>
        <w:spacing w:after="0"/>
        <w:rPr>
          <w:sz w:val="20"/>
          <w:szCs w:val="20"/>
          <w:color w:val="auto"/>
        </w:rPr>
      </w:pPr>
      <w:r>
        <w:rPr>
          <w:rFonts w:ascii="Courier New" w:cs="Courier New" w:eastAsia="Courier New" w:hAnsi="Courier New"/>
          <w:sz w:val="18"/>
          <w:szCs w:val="18"/>
          <w:color w:val="auto"/>
        </w:rPr>
        <w:t>4,742</w:t>
      </w:r>
    </w:p>
    <w:p>
      <w:pPr>
        <w:ind w:left="3860"/>
        <w:spacing w:after="0" w:line="238" w:lineRule="auto"/>
        <w:rPr>
          <w:sz w:val="20"/>
          <w:szCs w:val="20"/>
          <w:color w:val="auto"/>
        </w:rPr>
      </w:pPr>
      <w:r>
        <w:rPr>
          <w:rFonts w:ascii="Courier New" w:cs="Courier New" w:eastAsia="Courier New" w:hAnsi="Courier New"/>
          <w:sz w:val="18"/>
          <w:szCs w:val="18"/>
          <w:color w:val="auto"/>
        </w:rPr>
        <w:t>1,952</w:t>
      </w:r>
    </w:p>
    <w:p>
      <w:pPr>
        <w:ind w:left="3120"/>
        <w:spacing w:after="0"/>
        <w:rPr>
          <w:sz w:val="20"/>
          <w:szCs w:val="20"/>
          <w:color w:val="auto"/>
        </w:rPr>
      </w:pPr>
      <w:r>
        <w:rPr>
          <w:rFonts w:ascii="Courier New" w:cs="Courier New" w:eastAsia="Courier New" w:hAnsi="Courier New"/>
          <w:sz w:val="18"/>
          <w:szCs w:val="18"/>
          <w:color w:val="auto"/>
        </w:rPr>
        <w:t>2,790</w:t>
      </w:r>
    </w:p>
    <w:p>
      <w:pPr>
        <w:ind w:left="4080"/>
        <w:spacing w:after="0" w:line="238"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8"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2,790</w:t>
      </w:r>
    </w:p>
    <w:p>
      <w:pPr>
        <w:ind w:left="3860"/>
        <w:spacing w:after="0" w:line="238" w:lineRule="auto"/>
        <w:rPr>
          <w:sz w:val="20"/>
          <w:szCs w:val="20"/>
          <w:color w:val="auto"/>
        </w:rPr>
      </w:pPr>
      <w:r>
        <w:rPr>
          <w:rFonts w:ascii="Courier New" w:cs="Courier New" w:eastAsia="Courier New" w:hAnsi="Courier New"/>
          <w:sz w:val="18"/>
          <w:szCs w:val="18"/>
          <w:color w:val="auto"/>
        </w:rPr>
        <w:t>0.18</w:t>
      </w:r>
    </w:p>
    <w:p>
      <w:pPr>
        <w:ind w:left="4180"/>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decimal"/>
      <w:start w:val="1"/>
    </w:lvl>
  </w:abstractNum>
  <w:abstractNum w:abstractNumId="1">
    <w:nsid w:val="2A487CB0"/>
    <w:multiLevelType w:val="hybridMultilevel"/>
    <w:lvl w:ilvl="0">
      <w:lvlJc w:val="left"/>
      <w:lvlText w:val="%1."/>
      <w:numFmt w:val="decimal"/>
      <w:start w:val="2"/>
    </w:lvl>
  </w:abstractNum>
  <w:abstractNum w:abstractNumId="2">
    <w:nsid w:val="1D4ED43B"/>
    <w:multiLevelType w:val="hybridMultilevel"/>
    <w:lvl w:ilvl="0">
      <w:lvlJc w:val="left"/>
      <w:lvlText w:val="%1."/>
      <w:numFmt w:val="decimal"/>
      <w:start w:val="3"/>
    </w:lvl>
  </w:abstractNum>
  <w:abstractNum w:abstractNumId="3">
    <w:nsid w:val="725A06FB"/>
    <w:multiLevelType w:val="hybridMultilevel"/>
    <w:lvl w:ilvl="0">
      <w:lvlJc w:val="left"/>
      <w:lvlText w:val="%1."/>
      <w:numFmt w:val="decimal"/>
      <w:start w:val="4"/>
    </w:lvl>
  </w:abstractNum>
  <w:abstractNum w:abstractNumId="4">
    <w:nsid w:val="2CD89A32"/>
    <w:multiLevelType w:val="hybridMultilevel"/>
    <w:lvl w:ilvl="0">
      <w:lvlJc w:val="left"/>
      <w:lvlText w:val="%1."/>
      <w:numFmt w:val="decimal"/>
      <w:start w:val="5"/>
    </w:lvl>
  </w:abstractNum>
  <w:abstractNum w:abstractNumId="5">
    <w:nsid w:val="57E4CCAF"/>
    <w:multiLevelType w:val="hybridMultilevel"/>
    <w:lvl w:ilvl="0">
      <w:lvlJc w:val="left"/>
      <w:lvlText w:val="%1."/>
      <w:numFmt w:val="decimal"/>
      <w:start w:val="6"/>
    </w:lvl>
  </w:abstractNum>
  <w:abstractNum w:abstractNumId="6">
    <w:nsid w:val="7A6D8D3C"/>
    <w:multiLevelType w:val="hybridMultilevel"/>
    <w:lvl w:ilvl="0">
      <w:lvlJc w:val="left"/>
      <w:lvlText w:val="%1."/>
      <w:numFmt w:val="upperLetter"/>
      <w:start w:val="1"/>
    </w:lvl>
  </w:abstractNum>
  <w:abstractNum w:abstractNumId="7">
    <w:nsid w:val="4B588F54"/>
    <w:multiLevelType w:val="hybridMultilevel"/>
    <w:lvl w:ilvl="0">
      <w:lvlJc w:val="left"/>
      <w:lvlText w:val="%1"/>
      <w:numFmt w:val="upperLetter"/>
      <w:start w:val="1"/>
    </w:lvl>
    <w:lvl w:ilvl="1">
      <w:lvlJc w:val="left"/>
      <w:lvlText w:val="(%2)"/>
      <w:numFmt w:val="lowerRoman"/>
      <w:start w:val="1"/>
    </w:lvl>
  </w:abstractNum>
  <w:abstractNum w:abstractNumId="8">
    <w:nsid w:val="542289EC"/>
    <w:multiLevelType w:val="hybridMultilevel"/>
    <w:lvl w:ilvl="0">
      <w:lvlJc w:val="left"/>
      <w:lvlText w:val="(%1)"/>
      <w:numFmt w:val="upperLetter"/>
      <w:start w:val="1"/>
    </w:lvl>
    <w:lvl w:ilvl="1">
      <w:lvlJc w:val="left"/>
      <w:lvlText w:val="%2"/>
      <w:numFmt w:val="lowerRoman"/>
      <w:start w:val="1"/>
    </w:lvl>
  </w:abstractNum>
  <w:abstractNum w:abstractNumId="9">
    <w:nsid w:val="6DE91B1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10">
    <w:nsid w:val="38437FD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9"/>
    </w:lvl>
  </w:abstractNum>
  <w:abstractNum w:abstractNumId="11">
    <w:nsid w:val="7644A45C"/>
    <w:multiLevelType w:val="hybridMultilevel"/>
    <w:lvl w:ilvl="0">
      <w:lvlJc w:val="left"/>
      <w:lvlText w:val="%1"/>
      <w:numFmt w:val="lowerRoman"/>
      <w:start w:val="1"/>
    </w:lvl>
    <w:lvl w:ilvl="1">
      <w:lvlJc w:val="left"/>
      <w:lvlText w:val="(%2)"/>
      <w:numFmt w:val="lowerRoman"/>
      <w:start w:val="1"/>
    </w:lvl>
  </w:abstractNum>
  <w:abstractNum w:abstractNumId="12">
    <w:nsid w:val="32FFF902"/>
    <w:multiLevelType w:val="hybridMultilevel"/>
    <w:lvl w:ilvl="0">
      <w:lvlJc w:val="left"/>
      <w:lvlText w:val="(%1)"/>
      <w:numFmt w:val="lowerRoman"/>
      <w:start w:val="7"/>
    </w:lvl>
    <w:lvl w:ilvl="1">
      <w:lvlJc w:val="left"/>
      <w:lvlText w:val="%2"/>
      <w:numFmt w:val="lowerRoman"/>
      <w:start w:val="1"/>
    </w:lvl>
  </w:abstractNum>
  <w:abstractNum w:abstractNumId="13">
    <w:nsid w:val="684A481A"/>
    <w:multiLevelType w:val="hybridMultilevel"/>
    <w:lvl w:ilvl="0">
      <w:lvlJc w:val="left"/>
      <w:lvlText w:val="(%1)"/>
      <w:numFmt w:val="lowerLetter"/>
      <w:start w:val="1"/>
    </w:lvl>
  </w:abstractNum>
  <w:abstractNum w:abstractNumId="14">
    <w:nsid w:val="579478FE"/>
    <w:multiLevelType w:val="hybridMultilevel"/>
    <w:lvl w:ilvl="0">
      <w:lvlJc w:val="left"/>
      <w:lvlText w:val="(%1)"/>
      <w:numFmt w:val="lowerLetter"/>
      <w:start w:val="1"/>
    </w:lvl>
  </w:abstractNum>
  <w:abstractNum w:abstractNumId="15">
    <w:nsid w:val="749ABB43"/>
    <w:multiLevelType w:val="hybridMultilevel"/>
    <w:lvl w:ilvl="0">
      <w:lvlJc w:val="left"/>
      <w:lvlText w:val="(%1)"/>
      <w:numFmt w:val="upperLetter"/>
      <w:start w:val="2"/>
    </w:lvl>
    <w:lvl w:ilvl="1">
      <w:lvlJc w:val="left"/>
      <w:lvlText w:val="(%2)"/>
      <w:numFmt w:val="lowerLetter"/>
      <w:start w:val="2"/>
    </w:lvl>
  </w:abstractNum>
  <w:abstractNum w:abstractNumId="16">
    <w:nsid w:val="3DC240FB"/>
    <w:multiLevelType w:val="hybridMultilevel"/>
    <w:lvl w:ilvl="0">
      <w:lvlJc w:val="left"/>
      <w:lvlText w:val="(%1)"/>
      <w:numFmt w:val="lowerRoman"/>
      <w:start w:val="1"/>
    </w:lvl>
  </w:abstractNum>
  <w:abstractNum w:abstractNumId="17">
    <w:nsid w:val="1BA026FA"/>
    <w:multiLevelType w:val="hybridMultilevel"/>
    <w:lvl w:ilvl="0">
      <w:lvlJc w:val="left"/>
      <w:lvlText w:val="(%1)"/>
      <w:numFmt w:val="lowerRoman"/>
      <w:start w:val="3"/>
    </w:lvl>
  </w:abstractNum>
  <w:abstractNum w:abstractNumId="18">
    <w:nsid w:val="79A1DEAA"/>
    <w:multiLevelType w:val="hybridMultilevel"/>
    <w:lvl w:ilvl="0">
      <w:lvlJc w:val="left"/>
      <w:lvlText w:val="(%1)"/>
      <w:numFmt w:val="upperLetter"/>
      <w:start w:val="2"/>
    </w:lvl>
  </w:abstractNum>
  <w:abstractNum w:abstractNumId="19">
    <w:nsid w:val="75C6C33A"/>
    <w:multiLevelType w:val="hybridMultilevel"/>
    <w:lvl w:ilvl="0">
      <w:lvlJc w:val="left"/>
      <w:lvlText w:val="(%1)"/>
      <w:numFmt w:val="lowerRoman"/>
      <w:start w:val="5"/>
    </w:lvl>
  </w:abstractNum>
  <w:abstractNum w:abstractNumId="20">
    <w:nsid w:val="12E685FB"/>
    <w:multiLevelType w:val="hybridMultilevel"/>
    <w:lvl w:ilvl="0">
      <w:lvlJc w:val="left"/>
      <w:lvlText w:val="(%1)"/>
      <w:numFmt w:val="lowerLetter"/>
      <w:start w:val="3"/>
    </w:lvl>
  </w:abstractNum>
  <w:abstractNum w:abstractNumId="21">
    <w:nsid w:val="70C6A529"/>
    <w:multiLevelType w:val="hybridMultilevel"/>
    <w:lvl w:ilvl="0">
      <w:lvlJc w:val="left"/>
      <w:lvlText w:val="(%1)"/>
      <w:numFmt w:val="lowerRoman"/>
      <w:start w:val="1"/>
    </w:lvl>
  </w:abstractNum>
  <w:abstractNum w:abstractNumId="22">
    <w:nsid w:val="520EEDD1"/>
    <w:multiLevelType w:val="hybridMultilevel"/>
    <w:lvl w:ilvl="0">
      <w:lvlJc w:val="left"/>
      <w:lvlText w:val="(%1)"/>
      <w:numFmt w:val="upperLetter"/>
      <w:start w:val="2"/>
    </w:lvl>
  </w:abstractNum>
  <w:abstractNum w:abstractNumId="23">
    <w:nsid w:val="374A3FE6"/>
    <w:multiLevelType w:val="hybridMultilevel"/>
    <w:lvl w:ilvl="0">
      <w:lvlJc w:val="left"/>
      <w:lvlText w:val="(%1)"/>
      <w:numFmt w:val="lowerRoman"/>
      <w:start w:val="4"/>
    </w:lvl>
  </w:abstractNum>
  <w:abstractNum w:abstractNumId="24">
    <w:nsid w:val="4F4EF005"/>
    <w:multiLevelType w:val="hybridMultilevel"/>
    <w:lvl w:ilvl="0">
      <w:lvlJc w:val="left"/>
      <w:lvlText w:val="(%1)"/>
      <w:numFmt w:val="lowerLetter"/>
      <w:start w:val="4"/>
    </w:lvl>
  </w:abstractNum>
  <w:abstractNum w:abstractNumId="25">
    <w:nsid w:val="23F9C13C"/>
    <w:multiLevelType w:val="hybridMultilevel"/>
    <w:lvl w:ilvl="0">
      <w:lvlJc w:val="left"/>
      <w:lvlText w:val="(%1)"/>
      <w:numFmt w:val="lowerRoman"/>
      <w:start w:val="1"/>
    </w:lvl>
  </w:abstractNum>
  <w:abstractNum w:abstractNumId="26">
    <w:nsid w:val="649BB77C"/>
    <w:multiLevelType w:val="hybridMultilevel"/>
    <w:lvl w:ilvl="0">
      <w:lvlJc w:val="left"/>
      <w:lvlText w:val="(%1)"/>
      <w:numFmt w:val="lowerRoman"/>
      <w:start w:val="2"/>
    </w:lvl>
  </w:abstractNum>
  <w:abstractNum w:abstractNumId="27">
    <w:nsid w:val="275AC794"/>
    <w:multiLevelType w:val="hybridMultilevel"/>
    <w:lvl w:ilvl="0">
      <w:lvlJc w:val="left"/>
      <w:lvlText w:val="&amp;"/>
      <w:numFmt w:val="bullet"/>
      <w:start w:val="1"/>
    </w:lvl>
  </w:abstractNum>
  <w:abstractNum w:abstractNumId="28">
    <w:nsid w:val="39386575"/>
    <w:multiLevelType w:val="hybridMultilevel"/>
    <w:lvl w:ilvl="0">
      <w:lvlJc w:val="left"/>
      <w:lvlText w:val="(%1)"/>
      <w:numFmt w:val="lowerLetter"/>
      <w:start w:val="1"/>
    </w:lvl>
  </w:abstractNum>
  <w:abstractNum w:abstractNumId="29">
    <w:nsid w:val="1CF10FD8"/>
    <w:multiLevelType w:val="hybridMultilevel"/>
    <w:lvl w:ilvl="0">
      <w:lvlJc w:val="left"/>
      <w:lvlText w:val="(%1)"/>
      <w:numFmt w:val="lowerLetter"/>
      <w:start w:val="1"/>
    </w:lvl>
  </w:abstractNum>
  <w:abstractNum w:abstractNumId="30">
    <w:nsid w:val="180115BE"/>
    <w:multiLevelType w:val="hybridMultilevel"/>
    <w:lvl w:ilvl="0">
      <w:lvlJc w:val="left"/>
      <w:lvlText w:val="(%1)"/>
      <w:numFmt w:val="lowerRoman"/>
      <w:start w:val="1"/>
    </w:lvl>
  </w:abstractNum>
  <w:abstractNum w:abstractNumId="31">
    <w:nsid w:val="235BA861"/>
    <w:multiLevelType w:val="hybridMultilevel"/>
    <w:lvl w:ilvl="0">
      <w:lvlJc w:val="left"/>
      <w:lvlText w:val="(%1)"/>
      <w:numFmt w:val="lowerRoman"/>
      <w:start w:val="3"/>
    </w:lvl>
  </w:abstractNum>
  <w:abstractNum w:abstractNumId="32">
    <w:nsid w:val="47398C89"/>
    <w:multiLevelType w:val="hybridMultilevel"/>
    <w:lvl w:ilvl="0">
      <w:lvlJc w:val="left"/>
      <w:lvlText w:val="(%1)"/>
      <w:numFmt w:val="lowerLetter"/>
      <w:start w:val="4"/>
    </w:lvl>
  </w:abstractNum>
  <w:abstractNum w:abstractNumId="33">
    <w:nsid w:val="354FE9F9"/>
    <w:multiLevelType w:val="hybridMultilevel"/>
    <w:lvl w:ilvl="0">
      <w:lvlJc w:val="left"/>
      <w:lvlText w:val="(%1)"/>
      <w:numFmt w:val="lowerLetter"/>
      <w:start w:val="1"/>
    </w:lvl>
  </w:abstractNum>
  <w:abstractNum w:abstractNumId="34">
    <w:nsid w:val="15B5AF5C"/>
    <w:multiLevelType w:val="hybridMultilevel"/>
    <w:lvl w:ilvl="0">
      <w:lvlJc w:val="left"/>
      <w:lvlText w:val="(%1)"/>
      <w:numFmt w:val="lowerLetter"/>
      <w:start w:val="1"/>
    </w:lvl>
  </w:abstractNum>
  <w:abstractNum w:abstractNumId="35">
    <w:nsid w:val="741226BB"/>
    <w:multiLevelType w:val="hybridMultilevel"/>
    <w:lvl w:ilvl="0">
      <w:lvlJc w:val="left"/>
      <w:lvlText w:val="(%1)"/>
      <w:numFmt w:val="lowerRoman"/>
      <w:start w:val="1"/>
    </w:lvl>
  </w:abstractNum>
  <w:abstractNum w:abstractNumId="36">
    <w:nsid w:val="D34B6A8"/>
    <w:multiLevelType w:val="hybridMultilevel"/>
    <w:lvl w:ilvl="0">
      <w:lvlJc w:val="left"/>
      <w:lvlText w:val="(%1)"/>
      <w:numFmt w:val="lowerLetter"/>
      <w:start w:val="2"/>
    </w:lvl>
  </w:abstractNum>
  <w:abstractNum w:abstractNumId="37">
    <w:nsid w:val="10233C99"/>
    <w:multiLevelType w:val="hybridMultilevel"/>
    <w:lvl w:ilvl="0">
      <w:lvlJc w:val="left"/>
      <w:lvlText w:val="(%1)"/>
      <w:numFmt w:val="lowerRoman"/>
      <w:start w:val="1"/>
    </w:lvl>
  </w:abstractNum>
  <w:abstractNum w:abstractNumId="38">
    <w:nsid w:val="3F6AB60F"/>
    <w:multiLevelType w:val="hybridMultilevel"/>
    <w:lvl w:ilvl="0">
      <w:lvlJc w:val="left"/>
      <w:lvlText w:val="(%1)"/>
      <w:numFmt w:val="lowerLetter"/>
      <w:start w:val="1"/>
    </w:lvl>
  </w:abstractNum>
  <w:abstractNum w:abstractNumId="39">
    <w:nsid w:val="61574095"/>
    <w:multiLevelType w:val="hybridMultilevel"/>
    <w:lvl w:ilvl="0">
      <w:lvlJc w:val="left"/>
      <w:lvlText w:val="(%1)"/>
      <w:numFmt w:val="lowerRoman"/>
      <w:start w:val="1"/>
    </w:lvl>
  </w:abstractNum>
  <w:abstractNum w:abstractNumId="40">
    <w:nsid w:val="7E0C57B1"/>
    <w:multiLevelType w:val="hybridMultilevel"/>
    <w:lvl w:ilvl="0">
      <w:lvlJc w:val="left"/>
      <w:lvlText w:val="(%1)"/>
      <w:numFmt w:val="upperLetter"/>
      <w:start w:val="1"/>
    </w:lvl>
  </w:abstractNum>
  <w:abstractNum w:abstractNumId="41">
    <w:nsid w:val="77AE35EB"/>
    <w:multiLevelType w:val="hybridMultilevel"/>
    <w:lvl w:ilvl="0">
      <w:lvlJc w:val="left"/>
      <w:lvlText w:val="(%1)"/>
      <w:numFmt w:val="lowerRoman"/>
      <w:start w:val="2"/>
    </w:lvl>
  </w:abstractNum>
  <w:abstractNum w:abstractNumId="42">
    <w:nsid w:val="579BE4F1"/>
    <w:multiLevelType w:val="hybridMultilevel"/>
    <w:lvl w:ilvl="0">
      <w:lvlJc w:val="left"/>
      <w:lvlText w:val="(%1)"/>
      <w:numFmt w:val="lowerLetter"/>
      <w:start w:val="3"/>
    </w:lvl>
  </w:abstractNum>
  <w:abstractNum w:abstractNumId="43">
    <w:nsid w:val="310C50B3"/>
    <w:multiLevelType w:val="hybridMultilevel"/>
    <w:lvl w:ilvl="0">
      <w:lvlJc w:val="left"/>
      <w:lvlText w:val="(%1)"/>
      <w:numFmt w:val="lowerLetter"/>
      <w:start w:val="1"/>
    </w:lvl>
  </w:abstractNum>
  <w:abstractNum w:abstractNumId="44">
    <w:nsid w:val="5FF87E05"/>
    <w:multiLevelType w:val="hybridMultilevel"/>
    <w:lvl w:ilvl="0">
      <w:lvlJc w:val="left"/>
      <w:lvlText w:val="(%1)"/>
      <w:numFmt w:val="lowerRoman"/>
      <w:start w:val="1"/>
    </w:lvl>
  </w:abstractNum>
  <w:abstractNum w:abstractNumId="45">
    <w:nsid w:val="2F305DEF"/>
    <w:multiLevelType w:val="hybridMultilevel"/>
    <w:lvl w:ilvl="0">
      <w:lvlJc w:val="left"/>
      <w:lvlText w:val="(%1)"/>
      <w:numFmt w:val="lowerLetter"/>
      <w:start w:val="2"/>
    </w:lvl>
  </w:abstractNum>
  <w:abstractNum w:abstractNumId="46">
    <w:nsid w:val="25A70BF7"/>
    <w:multiLevelType w:val="hybridMultilevel"/>
    <w:lvl w:ilvl="0">
      <w:lvlJc w:val="left"/>
      <w:lvlText w:val="(%1)"/>
      <w:numFmt w:val="lowerLetter"/>
      <w:start w:val="3"/>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1)"/>
      <w:numFmt w:val="lowerLetter"/>
      <w:start w:val="4"/>
    </w:lvl>
  </w:abstractNum>
  <w:abstractNum w:abstractNumId="49">
    <w:nsid w:val="1F48EAA1"/>
    <w:multiLevelType w:val="hybridMultilevel"/>
    <w:lvl w:ilvl="0">
      <w:lvlJc w:val="left"/>
      <w:lvlText w:val="(%1)"/>
      <w:numFmt w:val="lowerLetter"/>
      <w:start w:val="2"/>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lowerLetter"/>
      <w:start w:val="13"/>
    </w:lvl>
  </w:abstractNum>
  <w:abstractNum w:abstractNumId="52">
    <w:nsid w:val="100F8FCA"/>
    <w:multiLevelType w:val="hybridMultilevel"/>
    <w:lvl w:ilvl="0">
      <w:lvlJc w:val="left"/>
      <w:lvlText w:val="(%1)"/>
      <w:numFmt w:val="lowerLetter"/>
      <w:start w:val="1"/>
    </w:lvl>
  </w:abstractNum>
  <w:abstractNum w:abstractNumId="53">
    <w:nsid w:val="6590700B"/>
    <w:multiLevelType w:val="hybridMultilevel"/>
    <w:lvl w:ilvl="0">
      <w:lvlJc w:val="left"/>
      <w:lvlText w:val="(%1)"/>
      <w:numFmt w:val="lowerLetter"/>
      <w:start w:val="5"/>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lowerLetter"/>
      <w:start w:val="10"/>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1"/>
      <w:numFmt w:val="decimal"/>
      <w:start w:val="1"/>
    </w:lvl>
    <w:lvl w:ilvl="1">
      <w:lvlJc w:val="left"/>
      <w:lvlText w:val="(%2)"/>
      <w:numFmt w:val="lowerLetter"/>
      <w:start w:val="4"/>
    </w:lvl>
  </w:abstractNum>
  <w:abstractNum w:abstractNumId="58">
    <w:nsid w:val="6B94764"/>
    <w:multiLevelType w:val="hybridMultilevel"/>
    <w:lvl w:ilvl="0">
      <w:lvlJc w:val="left"/>
      <w:lvlText w:val="%1."/>
      <w:numFmt w:val="decimal"/>
      <w:start w:val="302"/>
    </w:lvl>
    <w:lvl w:ilvl="1">
      <w:lvlJc w:val="left"/>
      <w:lvlText w:val="(%2)"/>
      <w:numFmt w:val="lowerLetter"/>
      <w:start w:val="5"/>
    </w:lvl>
  </w:abstractNum>
  <w:abstractNum w:abstractNumId="59">
    <w:nsid w:val="42C296BD"/>
    <w:multiLevelType w:val="hybridMultilevel"/>
    <w:lvl w:ilvl="0">
      <w:lvlJc w:val="left"/>
      <w:lvlText w:val="(%1)"/>
      <w:numFmt w:val="lowerRoman"/>
      <w:start w:val="2"/>
    </w:lvl>
  </w:abstractNum>
  <w:abstractNum w:abstractNumId="60">
    <w:nsid w:val="168E121F"/>
    <w:multiLevelType w:val="hybridMultilevel"/>
    <w:lvl w:ilvl="0">
      <w:lvlJc w:val="left"/>
      <w:lvlText w:val="(%1)"/>
      <w:numFmt w:val="lowerLetter"/>
      <w:start w:val="1"/>
    </w:lvl>
  </w:abstractNum>
  <w:abstractNum w:abstractNumId="61">
    <w:nsid w:val="1EBA5D23"/>
    <w:multiLevelType w:val="hybridMultilevel"/>
    <w:lvl w:ilvl="0">
      <w:lvlJc w:val="left"/>
      <w:lvlText w:val="(%1)"/>
      <w:numFmt w:val="lowerLetter"/>
      <w:start w:val="61"/>
    </w:lvl>
    <w:lvl w:ilvl="1">
      <w:lvlJc w:val="left"/>
      <w:lvlText w:val="(%2)"/>
      <w:numFmt w:val="lowerLetter"/>
      <w:start w:val="3"/>
    </w:lvl>
  </w:abstractNum>
  <w:abstractNum w:abstractNumId="62">
    <w:nsid w:val="661E3F1E"/>
    <w:multiLevelType w:val="hybridMultilevel"/>
    <w:lvl w:ilvl="0">
      <w:lvlJc w:val="left"/>
      <w:lvlText w:val="(%1)"/>
      <w:numFmt w:val="lowerLetter"/>
      <w:start w:val="1"/>
    </w:lvl>
  </w:abstractNum>
  <w:abstractNum w:abstractNumId="63">
    <w:nsid w:val="5DC79EA8"/>
    <w:multiLevelType w:val="hybridMultilevel"/>
    <w:lvl w:ilvl="0">
      <w:lvlJc w:val="left"/>
      <w:lvlText w:val="(%1)"/>
      <w:numFmt w:val="lowerLetter"/>
      <w:start w:val="12"/>
    </w:lvl>
  </w:abstractNum>
  <w:abstractNum w:abstractNumId="64">
    <w:nsid w:val="540A471C"/>
    <w:multiLevelType w:val="hybridMultilevel"/>
    <w:lvl w:ilvl="0">
      <w:lvlJc w:val="left"/>
      <w:lvlText w:val="(%1)"/>
      <w:numFmt w:val="lowerLetter"/>
      <w:start w:val="1"/>
    </w:lvl>
  </w:abstractNum>
  <w:abstractNum w:abstractNumId="65">
    <w:nsid w:val="7BD3EE7B"/>
    <w:multiLevelType w:val="hybridMultilevel"/>
    <w:lvl w:ilvl="0">
      <w:lvlJc w:val="left"/>
      <w:lvlText w:val="(%1)"/>
      <w:numFmt w:val="lowerLetter"/>
      <w:start w:val="1"/>
    </w:lvl>
  </w:abstractNum>
  <w:abstractNum w:abstractNumId="66">
    <w:nsid w:val="51D9C564"/>
    <w:multiLevelType w:val="hybridMultilevel"/>
    <w:lvl w:ilvl="0">
      <w:lvlJc w:val="left"/>
      <w:lvlText w:val="(%1)"/>
      <w:numFmt w:val="lowerLetter"/>
      <w:start w:val="9"/>
    </w:lvl>
  </w:abstractNum>
  <w:abstractNum w:abstractNumId="67">
    <w:nsid w:val="613EFDC5"/>
    <w:multiLevelType w:val="hybridMultilevel"/>
    <w:lvl w:ilvl="0">
      <w:lvlJc w:val="left"/>
      <w:lvlText w:val="(%1)"/>
      <w:numFmt w:val="lowerRoman"/>
      <w:start w:val="1"/>
    </w:lvl>
  </w:abstractNum>
  <w:abstractNum w:abstractNumId="68">
    <w:nsid w:val="BF72B14"/>
    <w:multiLevelType w:val="hybridMultilevel"/>
    <w:lvl w:ilvl="0">
      <w:lvlJc w:val="left"/>
      <w:lvlText w:val="(%1)"/>
      <w:numFmt w:val="lowerLetter"/>
      <w:start w:val="1"/>
    </w:lvl>
  </w:abstractNum>
  <w:abstractNum w:abstractNumId="69">
    <w:nsid w:val="11447B73"/>
    <w:multiLevelType w:val="hybridMultilevel"/>
    <w:lvl w:ilvl="0">
      <w:lvlJc w:val="left"/>
      <w:lvlText w:val="(%1)"/>
      <w:numFmt w:val="lowerRoman"/>
      <w:start w:val="1"/>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lowerLetter"/>
      <w:start w:val="1"/>
    </w:lvl>
    <w:lvl w:ilvl="1">
      <w:lvlJc w:val="left"/>
      <w:lvlText w:val="(%2)"/>
      <w:numFmt w:val="lowerLetter"/>
      <w:start w:val="2"/>
    </w:lvl>
  </w:abstractNum>
  <w:abstractNum w:abstractNumId="73">
    <w:nsid w:val="1A32234B"/>
    <w:multiLevelType w:val="hybridMultilevel"/>
    <w:lvl w:ilvl="0">
      <w:lvlJc w:val="left"/>
      <w:lvlText w:val="(%1)"/>
      <w:numFmt w:val="lowerLetter"/>
      <w:start w:val="24"/>
    </w:lvl>
    <w:lvl w:ilvl="1">
      <w:lvlJc w:val="left"/>
      <w:lvlText w:val="(%2)"/>
      <w:numFmt w:val="lowerLetter"/>
      <w:start w:val="6"/>
    </w:lvl>
  </w:abstractNum>
  <w:abstractNum w:abstractNumId="74">
    <w:nsid w:val="3B0FD379"/>
    <w:multiLevelType w:val="hybridMultilevel"/>
    <w:lvl w:ilvl="0">
      <w:lvlJc w:val="left"/>
      <w:lvlText w:val="(%1)"/>
      <w:numFmt w:val="lowerLetter"/>
      <w:start w:val="1"/>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1)"/>
      <w:numFmt w:val="lowerLetter"/>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lowerLetter"/>
      <w:start w:val="4"/>
    </w:lvl>
  </w:abstractNum>
  <w:abstractNum w:abstractNumId="81">
    <w:nsid w:val="1A27709E"/>
    <w:multiLevelType w:val="hybridMultilevel"/>
    <w:lvl w:ilvl="0">
      <w:lvlJc w:val="left"/>
      <w:lvlText w:val="(%1)"/>
      <w:numFmt w:val="lowerLetter"/>
      <w:start w:val="6"/>
    </w:lvl>
  </w:abstractNum>
  <w:abstractNum w:abstractNumId="82">
    <w:nsid w:val="71EA1109"/>
    <w:multiLevelType w:val="hybridMultilevel"/>
    <w:lvl w:ilvl="0">
      <w:lvlJc w:val="left"/>
      <w:lvlText w:val="(%1)"/>
      <w:numFmt w:val="lowerRoman"/>
      <w:start w:val="1"/>
    </w:lvl>
  </w:abstractNum>
  <w:abstractNum w:abstractNumId="83">
    <w:nsid w:val="100F59D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2019-12-19T22:04:50Z</dcterms:created>
  <dcterms:modified xsi:type="dcterms:W3CDTF">2019-12-19T22:04:50Z</dcterms:modified>
</cp:coreProperties>
</file>