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spacing w:after="0" w:line="3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EXCHANGE ACT OF 1934</w:t>
      </w:r>
    </w:p>
    <w:p>
      <w:pPr>
        <w:spacing w:after="0" w:line="169" w:lineRule="exact"/>
        <w:rPr>
          <w:sz w:val="24"/>
          <w:szCs w:val="24"/>
          <w:color w:val="auto"/>
        </w:rPr>
      </w:pPr>
    </w:p>
    <w:p>
      <w:pPr>
        <w:ind w:left="7"/>
        <w:spacing w:after="0"/>
        <w:tabs>
          <w:tab w:leader="none" w:pos="3246" w:val="left"/>
        </w:tabs>
        <w:rPr>
          <w:sz w:val="20"/>
          <w:szCs w:val="20"/>
          <w:color w:val="auto"/>
        </w:rPr>
      </w:pPr>
      <w:r>
        <w:rPr>
          <w:rFonts w:ascii="Courier New" w:cs="Courier New" w:eastAsia="Courier New" w:hAnsi="Courier New"/>
          <w:sz w:val="18"/>
          <w:szCs w:val="18"/>
          <w:color w:val="auto"/>
        </w:rPr>
        <w:t>FILED BY THE REGISTRANT (X)</w:t>
      </w:r>
      <w:r>
        <w:rPr>
          <w:sz w:val="20"/>
          <w:szCs w:val="20"/>
          <w:color w:val="auto"/>
        </w:rPr>
        <w:tab/>
      </w:r>
      <w:r>
        <w:rPr>
          <w:rFonts w:ascii="Courier New" w:cs="Courier New" w:eastAsia="Courier New" w:hAnsi="Courier New"/>
          <w:sz w:val="16"/>
          <w:szCs w:val="16"/>
          <w:color w:val="auto"/>
        </w:rPr>
        <w:t>FILED BY A PARTY OTHER THAN THE REGISTRANT ( )</w:t>
      </w:r>
    </w:p>
    <w:p>
      <w:pPr>
        <w:spacing w:after="0" w:line="201"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Check the appropriate box:</w:t>
      </w:r>
    </w:p>
    <w:p>
      <w:pPr>
        <w:spacing w:after="0" w:line="31" w:lineRule="exact"/>
        <w:rPr>
          <w:sz w:val="24"/>
          <w:szCs w:val="24"/>
          <w:color w:val="auto"/>
        </w:rPr>
      </w:pPr>
    </w:p>
    <w:p>
      <w:pPr>
        <w:ind w:left="7" w:right="6739" w:hanging="7"/>
        <w:spacing w:after="0" w:line="268" w:lineRule="auto"/>
        <w:tabs>
          <w:tab w:leader="none" w:pos="53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 ( ) Definitive Proxy Statement</w:t>
      </w:r>
    </w:p>
    <w:p>
      <w:pPr>
        <w:ind w:left="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Definitive Additional Materials</w:t>
      </w:r>
    </w:p>
    <w:p>
      <w:pPr>
        <w:ind w:left="527" w:right="3779" w:hanging="52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Soliciting Material Pursuant to section240.14a-11(c) or section 240.14a-12</w:t>
      </w:r>
    </w:p>
    <w:p>
      <w:pPr>
        <w:spacing w:after="0" w:line="1" w:lineRule="exact"/>
        <w:rPr>
          <w:sz w:val="24"/>
          <w:szCs w:val="24"/>
          <w:color w:val="auto"/>
        </w:rPr>
      </w:pPr>
    </w:p>
    <w:p>
      <w:pPr>
        <w:ind w:left="1047" w:right="2619" w:hanging="1047"/>
        <w:spacing w:after="0" w:line="309" w:lineRule="auto"/>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Confidential, for Use of the Commission Only (as permitted by Rule 14a-6(e)(2))</w:t>
      </w:r>
    </w:p>
    <w:p>
      <w:pPr>
        <w:spacing w:after="0" w:line="253" w:lineRule="exact"/>
        <w:rPr>
          <w:sz w:val="24"/>
          <w:szCs w:val="24"/>
          <w:color w:val="auto"/>
        </w:rPr>
      </w:pPr>
    </w:p>
    <w:p>
      <w:pPr>
        <w:jc w:val="center"/>
        <w:ind w:right="2413"/>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2313"/>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07"/>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ind w:left="527" w:hanging="527"/>
        <w:spacing w:after="0"/>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527" w:right="2619" w:hanging="527"/>
        <w:spacing w:after="0" w:line="309"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50" w:lineRule="exact"/>
        <w:rPr>
          <w:rFonts w:ascii="Courier New" w:cs="Courier New" w:eastAsia="Courier New" w:hAnsi="Courier New"/>
          <w:sz w:val="18"/>
          <w:szCs w:val="18"/>
          <w:color w:val="auto"/>
        </w:rPr>
      </w:pPr>
    </w:p>
    <w:p>
      <w:pPr>
        <w:ind w:left="847" w:hanging="320"/>
        <w:spacing w:after="0"/>
        <w:tabs>
          <w:tab w:leader="none" w:pos="84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30" w:lineRule="exact"/>
        <w:rPr>
          <w:rFonts w:ascii="Courier New" w:cs="Courier New" w:eastAsia="Courier New" w:hAnsi="Courier New"/>
          <w:sz w:val="18"/>
          <w:szCs w:val="18"/>
          <w:color w:val="auto"/>
        </w:rPr>
      </w:pPr>
    </w:p>
    <w:p>
      <w:pPr>
        <w:ind w:left="847" w:hanging="320"/>
        <w:spacing w:after="0" w:line="238" w:lineRule="auto"/>
        <w:tabs>
          <w:tab w:leader="none" w:pos="84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ind w:left="847" w:right="2419" w:hanging="320"/>
        <w:spacing w:after="0" w:line="268" w:lineRule="auto"/>
        <w:tabs>
          <w:tab w:leader="none" w:pos="847"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ind w:left="847" w:hanging="320"/>
        <w:spacing w:after="0" w:line="238" w:lineRule="auto"/>
        <w:tabs>
          <w:tab w:leader="none" w:pos="84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ind w:left="847" w:hanging="320"/>
        <w:spacing w:after="0"/>
        <w:tabs>
          <w:tab w:leader="none" w:pos="847"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169" w:lineRule="exact"/>
        <w:rPr>
          <w:sz w:val="24"/>
          <w:szCs w:val="24"/>
          <w:color w:val="auto"/>
        </w:rPr>
      </w:pPr>
    </w:p>
    <w:p>
      <w:pPr>
        <w:ind w:left="7"/>
        <w:spacing w:after="0"/>
        <w:tabs>
          <w:tab w:leader="none" w:pos="506"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527" w:right="3039" w:hanging="527"/>
        <w:spacing w:after="0" w:line="26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9" w:lineRule="exact"/>
        <w:rPr>
          <w:rFonts w:ascii="Courier New" w:cs="Courier New" w:eastAsia="Courier New" w:hAnsi="Courier New"/>
          <w:sz w:val="18"/>
          <w:szCs w:val="18"/>
          <w:color w:val="auto"/>
        </w:rPr>
      </w:pPr>
    </w:p>
    <w:p>
      <w:pPr>
        <w:ind w:left="847" w:hanging="320"/>
        <w:spacing w:after="0"/>
        <w:tabs>
          <w:tab w:leader="none" w:pos="84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30" w:lineRule="exact"/>
        <w:rPr>
          <w:rFonts w:ascii="Courier New" w:cs="Courier New" w:eastAsia="Courier New" w:hAnsi="Courier New"/>
          <w:sz w:val="18"/>
          <w:szCs w:val="18"/>
          <w:color w:val="auto"/>
        </w:rPr>
      </w:pPr>
    </w:p>
    <w:p>
      <w:pPr>
        <w:ind w:left="847" w:hanging="320"/>
        <w:spacing w:after="0" w:line="238" w:lineRule="auto"/>
        <w:tabs>
          <w:tab w:leader="none" w:pos="84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847" w:hanging="320"/>
        <w:spacing w:after="0" w:line="238" w:lineRule="auto"/>
        <w:tabs>
          <w:tab w:leader="none" w:pos="84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847" w:hanging="320"/>
        <w:spacing w:after="0"/>
        <w:tabs>
          <w:tab w:leader="none" w:pos="84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374" w:lineRule="exact"/>
        <w:rPr>
          <w:sz w:val="24"/>
          <w:szCs w:val="24"/>
          <w:color w:val="auto"/>
        </w:rPr>
      </w:pPr>
    </w:p>
    <w:p>
      <w:pPr>
        <w:ind w:left="3167"/>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4"/>
          <w:szCs w:val="24"/>
          <w:color w:val="auto"/>
        </w:rPr>
      </w:pPr>
    </w:p>
    <w:p>
      <w:pPr>
        <w:ind w:left="3267"/>
        <w:spacing w:after="0"/>
        <w:rPr>
          <w:sz w:val="20"/>
          <w:szCs w:val="20"/>
          <w:color w:val="auto"/>
        </w:rPr>
      </w:pPr>
      <w:r>
        <w:rPr>
          <w:rFonts w:ascii="Courier New" w:cs="Courier New" w:eastAsia="Courier New" w:hAnsi="Courier New"/>
          <w:sz w:val="18"/>
          <w:szCs w:val="18"/>
          <w:color w:val="auto"/>
        </w:rPr>
        <w:t>66 B Street</w:t>
      </w:r>
    </w:p>
    <w:p>
      <w:pPr>
        <w:ind w:left="2427"/>
        <w:spacing w:after="0"/>
        <w:rPr>
          <w:sz w:val="20"/>
          <w:szCs w:val="20"/>
          <w:color w:val="auto"/>
        </w:rPr>
      </w:pPr>
      <w:r>
        <w:rPr>
          <w:rFonts w:ascii="Courier New" w:cs="Courier New" w:eastAsia="Courier New" w:hAnsi="Courier New"/>
          <w:sz w:val="18"/>
          <w:szCs w:val="18"/>
          <w:color w:val="auto"/>
        </w:rPr>
        <w:t>Needham, Massachusetts 02494</w:t>
      </w:r>
    </w:p>
    <w:p>
      <w:pPr>
        <w:spacing w:after="0" w:line="169" w:lineRule="exact"/>
        <w:rPr>
          <w:sz w:val="24"/>
          <w:szCs w:val="24"/>
          <w:color w:val="auto"/>
        </w:rPr>
      </w:pPr>
    </w:p>
    <w:p>
      <w:pPr>
        <w:ind w:left="6107"/>
        <w:spacing w:after="0"/>
        <w:rPr>
          <w:sz w:val="20"/>
          <w:szCs w:val="20"/>
          <w:color w:val="auto"/>
        </w:rPr>
      </w:pPr>
      <w:r>
        <w:rPr>
          <w:rFonts w:ascii="Courier New" w:cs="Courier New" w:eastAsia="Courier New" w:hAnsi="Courier New"/>
          <w:sz w:val="18"/>
          <w:szCs w:val="18"/>
          <w:color w:val="auto"/>
        </w:rPr>
        <w:t>__________, 1999</w:t>
      </w:r>
    </w:p>
    <w:p>
      <w:pPr>
        <w:spacing w:after="0" w:line="201" w:lineRule="exact"/>
        <w:rPr>
          <w:sz w:val="24"/>
          <w:szCs w:val="24"/>
          <w:color w:val="auto"/>
        </w:rPr>
      </w:pPr>
    </w:p>
    <w:p>
      <w:pPr>
        <w:ind w:left="7"/>
        <w:spacing w:after="0"/>
        <w:rPr>
          <w:sz w:val="20"/>
          <w:szCs w:val="20"/>
          <w:color w:val="auto"/>
        </w:rPr>
      </w:pPr>
      <w:r>
        <w:rPr>
          <w:rFonts w:ascii="Courier New" w:cs="Courier New" w:eastAsia="Courier New" w:hAnsi="Courier New"/>
          <w:sz w:val="18"/>
          <w:szCs w:val="18"/>
          <w:color w:val="auto"/>
        </w:rPr>
        <w:t>Dear Stockholder,</w:t>
      </w:r>
    </w:p>
    <w:p>
      <w:pPr>
        <w:spacing w:after="0" w:line="201" w:lineRule="exact"/>
        <w:rPr>
          <w:sz w:val="24"/>
          <w:szCs w:val="24"/>
          <w:color w:val="auto"/>
        </w:rPr>
      </w:pPr>
    </w:p>
    <w:p>
      <w:pPr>
        <w:ind w:left="7" w:right="2419" w:firstLine="527"/>
        <w:spacing w:after="0" w:line="260" w:lineRule="auto"/>
        <w:rPr>
          <w:sz w:val="20"/>
          <w:szCs w:val="20"/>
          <w:color w:val="auto"/>
        </w:rPr>
      </w:pPr>
      <w:r>
        <w:rPr>
          <w:rFonts w:ascii="Courier New" w:cs="Courier New" w:eastAsia="Courier New" w:hAnsi="Courier New"/>
          <w:sz w:val="18"/>
          <w:szCs w:val="18"/>
          <w:color w:val="auto"/>
        </w:rPr>
        <w:t>We are pleased to invite you to attend the 1999 Annual Meeting of Stockholders of Designs, Inc., which will be held on Wednesday, September 22, 1999, at 1:00 p.m., local time, at One Post Office Square, Boston, Massachusetts 02109. The items to be considered and voted upon at the Annual Meeting are described in the notice of Annual Meeting of Stockholders and Proxy Statement accompanying this letter.</w:t>
      </w:r>
    </w:p>
    <w:p>
      <w:pPr>
        <w:spacing w:after="0" w:line="93" w:lineRule="exact"/>
        <w:rPr>
          <w:sz w:val="24"/>
          <w:szCs w:val="24"/>
          <w:color w:val="auto"/>
        </w:rPr>
      </w:pPr>
    </w:p>
    <w:p>
      <w:pPr>
        <w:ind w:left="7" w:right="2199" w:firstLine="527"/>
        <w:spacing w:after="0" w:line="256" w:lineRule="auto"/>
        <w:rPr>
          <w:sz w:val="20"/>
          <w:szCs w:val="20"/>
          <w:color w:val="auto"/>
        </w:rPr>
      </w:pPr>
      <w:r>
        <w:rPr>
          <w:rFonts w:ascii="Courier New" w:cs="Courier New" w:eastAsia="Courier New" w:hAnsi="Courier New"/>
          <w:sz w:val="18"/>
          <w:szCs w:val="18"/>
          <w:color w:val="auto"/>
        </w:rPr>
        <w:t>Your vote is important, regardless of the size of your holdings. Whether or not you plan to attend the Annual Meeting and vote in person, please take a moment and complete, sign and date our enclosed BLUE proxy card and return it in the enclosed postage-paid envelope. Instructions for voting are contained on the BLUE proxy card. Voting in advance of the Annual Meeting will not limit your right to vote in person should you wish to attend the Annual Meeting.</w:t>
      </w:r>
    </w:p>
    <w:p>
      <w:pPr>
        <w:spacing w:after="0" w:line="98" w:lineRule="exact"/>
        <w:rPr>
          <w:sz w:val="24"/>
          <w:szCs w:val="24"/>
          <w:color w:val="auto"/>
        </w:rPr>
      </w:pPr>
    </w:p>
    <w:p>
      <w:pPr>
        <w:ind w:left="7" w:right="2419" w:firstLine="527"/>
        <w:spacing w:after="0" w:line="408" w:lineRule="auto"/>
        <w:rPr>
          <w:sz w:val="20"/>
          <w:szCs w:val="20"/>
          <w:color w:val="auto"/>
        </w:rPr>
      </w:pPr>
      <w:r>
        <w:rPr>
          <w:rFonts w:ascii="Courier New" w:cs="Courier New" w:eastAsia="Courier New" w:hAnsi="Courier New"/>
          <w:sz w:val="16"/>
          <w:szCs w:val="16"/>
          <w:color w:val="auto"/>
        </w:rPr>
        <w:t>We understand that you may receive proxy solicitation materials from dissident stockholder Seymour Holtzman and certain entities controlled by</w:t>
      </w:r>
    </w:p>
    <w:p>
      <w:pPr>
        <w:sectPr>
          <w:pgSz w:w="11900" w:h="17038" w:orient="portrait"/>
          <w:cols w:equalWidth="0" w:num="1">
            <w:col w:w="10106"/>
          </w:cols>
          <w:pgMar w:left="353" w:top="826" w:right="1440" w:bottom="0" w:gutter="0" w:footer="0" w:header="0"/>
        </w:sectPr>
      </w:pPr>
    </w:p>
    <w:bookmarkStart w:id="1" w:name="page2"/>
    <w:bookmarkEnd w:id="1"/>
    <w:p>
      <w:pPr>
        <w:ind w:right="2199"/>
        <w:spacing w:after="0" w:line="256" w:lineRule="auto"/>
        <w:rPr>
          <w:sz w:val="20"/>
          <w:szCs w:val="20"/>
          <w:color w:val="auto"/>
        </w:rPr>
      </w:pPr>
      <w:r>
        <w:rPr>
          <w:rFonts w:ascii="Courier New" w:cs="Courier New" w:eastAsia="Courier New" w:hAnsi="Courier New"/>
          <w:sz w:val="18"/>
          <w:szCs w:val="18"/>
          <w:color w:val="auto"/>
        </w:rPr>
        <w:t>him, including Jewelcor Management, Inc., in connection with items Mr. Holtzman intends to present at the Annual Meeting. These items are a slate of director nominees chosen by Mr. Holtzman and a proposal relating to the Company's Shareholder Rights Plan. Your Board of Directors believes that these proposals are not in the best interests of the Company and its stockholders and urges you to reject his solicitation and not sign any of his white proxy cards.</w:t>
      </w:r>
    </w:p>
    <w:p>
      <w:pPr>
        <w:spacing w:after="0" w:line="98"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YOUR VOTE IS IMPORTANT. WE ENCOURAGE YOU TO VOTE YOUR SHARES AS SOON AS POSSIBLE. IF YOU HAVE ANY QUESTIONS OR NEED ASSISTANCE IN VOTING YOUR SHARES, PLEASE CALL OUR PROXY SOLICITOR, INNISFREE M&amp;A INCORPORATED, TOLL FREE AT 1-888-750-5834.</w:t>
      </w:r>
    </w:p>
    <w:p>
      <w:pPr>
        <w:spacing w:after="0" w:line="82"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Thank you for your support, and we look forward to seeing you at the Annual Meeting.</w:t>
      </w:r>
    </w:p>
    <w:p>
      <w:pPr>
        <w:spacing w:after="0" w:line="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Joel H. Reichman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NOTICE OF ANNUAL MEETING OF STOCKHOLDERS AND PROXY STATEMENT</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_________, 1999</w:t>
      </w:r>
    </w:p>
    <w:p>
      <w:pPr>
        <w:spacing w:after="0" w:line="200" w:lineRule="exact"/>
        <w:rPr>
          <w:sz w:val="20"/>
          <w:szCs w:val="20"/>
          <w:color w:val="auto"/>
        </w:rPr>
      </w:pPr>
    </w:p>
    <w:p>
      <w:pPr>
        <w:spacing w:after="0" w:line="204" w:lineRule="exact"/>
        <w:rPr>
          <w:sz w:val="20"/>
          <w:szCs w:val="20"/>
          <w:color w:val="auto"/>
        </w:rPr>
      </w:pPr>
    </w:p>
    <w:p>
      <w:pPr>
        <w:ind w:right="2419" w:firstLine="527"/>
        <w:spacing w:after="0" w:line="274" w:lineRule="auto"/>
        <w:rPr>
          <w:sz w:val="20"/>
          <w:szCs w:val="20"/>
          <w:color w:val="auto"/>
        </w:rPr>
      </w:pPr>
      <w:r>
        <w:rPr>
          <w:rFonts w:ascii="Courier New" w:cs="Courier New" w:eastAsia="Courier New" w:hAnsi="Courier New"/>
          <w:sz w:val="18"/>
          <w:szCs w:val="18"/>
          <w:color w:val="auto"/>
        </w:rPr>
        <w:t>The Annual Meeting of Stockholders of Designs, Inc. (the "Company") will be held at One Post Office Square, Boston, Massachusetts 02109, at 1:00 p.m., local time, on Wednesday, September 22, 1999 for the following purposes:</w:t>
      </w:r>
    </w:p>
    <w:p>
      <w:pPr>
        <w:spacing w:after="0" w:line="82" w:lineRule="exact"/>
        <w:rPr>
          <w:sz w:val="20"/>
          <w:szCs w:val="20"/>
          <w:color w:val="auto"/>
        </w:rPr>
      </w:pPr>
    </w:p>
    <w:p>
      <w:pPr>
        <w:ind w:left="1040" w:right="2419" w:hanging="520"/>
        <w:spacing w:after="0" w:line="260" w:lineRule="auto"/>
        <w:tabs>
          <w:tab w:leader="none" w:pos="10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five directors to serve on the Company's Board of Directors until the 2000 Annual Meeting of Stockholders of the Company. The Board of Directors recommends a vote FOR the election of each of the existing director nominees proposed for reelection by the Company, as further described in the accompanying Proxy Statement.</w:t>
      </w:r>
    </w:p>
    <w:p>
      <w:pPr>
        <w:spacing w:after="0" w:line="92" w:lineRule="exact"/>
        <w:rPr>
          <w:rFonts w:ascii="Courier New" w:cs="Courier New" w:eastAsia="Courier New" w:hAnsi="Courier New"/>
          <w:sz w:val="18"/>
          <w:szCs w:val="18"/>
          <w:color w:val="auto"/>
        </w:rPr>
      </w:pPr>
    </w:p>
    <w:p>
      <w:pPr>
        <w:ind w:left="1040" w:right="2319" w:hanging="520"/>
        <w:spacing w:after="0" w:line="265" w:lineRule="auto"/>
        <w:tabs>
          <w:tab w:leader="none" w:pos="10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a stockholder proposal by dissident stockholder Jewelcor Management, Inc., and its indirect controlling stockholder, Mr. Seymour Holtzman, if properly presented, relating to the Company's Shareholder Rights Plan. The Board of Directors recommends a vote AGAINST this proposal.</w:t>
      </w:r>
    </w:p>
    <w:p>
      <w:pPr>
        <w:spacing w:after="0" w:line="89" w:lineRule="exact"/>
        <w:rPr>
          <w:rFonts w:ascii="Courier New" w:cs="Courier New" w:eastAsia="Courier New" w:hAnsi="Courier New"/>
          <w:sz w:val="18"/>
          <w:szCs w:val="18"/>
          <w:color w:val="auto"/>
        </w:rPr>
      </w:pPr>
    </w:p>
    <w:p>
      <w:pPr>
        <w:ind w:left="1040" w:right="2199" w:hanging="520"/>
        <w:spacing w:after="0" w:line="402" w:lineRule="auto"/>
        <w:tabs>
          <w:tab w:leader="none" w:pos="10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further business as may properly come before the Annual Meeting and at any adjournments or postponements thereof.</w:t>
      </w:r>
    </w:p>
    <w:p>
      <w:pPr>
        <w:spacing w:after="0" w:line="1" w:lineRule="exact"/>
        <w:rPr>
          <w:sz w:val="20"/>
          <w:szCs w:val="20"/>
          <w:color w:val="auto"/>
        </w:rPr>
      </w:pPr>
    </w:p>
    <w:p>
      <w:pPr>
        <w:ind w:right="2319" w:firstLine="527"/>
        <w:spacing w:after="0" w:line="252" w:lineRule="auto"/>
        <w:rPr>
          <w:sz w:val="20"/>
          <w:szCs w:val="20"/>
          <w:color w:val="auto"/>
        </w:rPr>
      </w:pPr>
      <w:r>
        <w:rPr>
          <w:rFonts w:ascii="Courier New" w:cs="Courier New" w:eastAsia="Courier New" w:hAnsi="Courier New"/>
          <w:sz w:val="18"/>
          <w:szCs w:val="18"/>
          <w:color w:val="auto"/>
        </w:rPr>
        <w:t>The Board of Directors has fixed the close of business on August 5, 1999 as the record date for the determination of stockholders entitled to notice of, and to vote at, the Annual Meeting. Accordingly, only stockholders of record at the close of business on that date will be entitled to vote at the Annual Meeting. A list of the stockholders of record as of the close of business on August 5, 1999 will be available for inspection by any stockholder of record at the Annual Meeting and, beginning on September 12, 1999, at One Post Office Square, Boston, Massachusetts 02109. The transfer books will not be closed.</w:t>
      </w:r>
    </w:p>
    <w:p>
      <w:pPr>
        <w:spacing w:after="0" w:line="99"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The Proxy Statement which follows contains more detailed information as to the matters described above. This Notice of Annual Meeting of Stockholders is first being mailed to stockholders on or about __________, 1999.</w:t>
      </w:r>
    </w:p>
    <w:p>
      <w:pPr>
        <w:spacing w:after="0" w:line="82" w:lineRule="exact"/>
        <w:rPr>
          <w:sz w:val="20"/>
          <w:szCs w:val="20"/>
          <w:color w:val="auto"/>
        </w:rPr>
      </w:pPr>
    </w:p>
    <w:p>
      <w:pPr>
        <w:ind w:right="2419" w:firstLine="527"/>
        <w:spacing w:after="0" w:line="274" w:lineRule="auto"/>
        <w:rPr>
          <w:sz w:val="20"/>
          <w:szCs w:val="20"/>
          <w:color w:val="auto"/>
        </w:rPr>
      </w:pPr>
      <w:r>
        <w:rPr>
          <w:rFonts w:ascii="Courier New" w:cs="Courier New" w:eastAsia="Courier New" w:hAnsi="Courier New"/>
          <w:sz w:val="18"/>
          <w:szCs w:val="18"/>
          <w:color w:val="auto"/>
        </w:rPr>
        <w:t>PLEASE SIGN, DATE AND RETURN THE ENCLOSED BLUE PROXY CARD IN THE ENCLOSED POSTAGE-PAID ENVELOPE. IF YOU HAVE RECEIVED A WHITE PROXY CARD FROM A DISSIDENT GROUP OF STOCKHOLDERS, WE URGE YOU NOT TO SIGN OR RETURN ANY WHITE PROXY CARD SENT TO YOU.</w:t>
      </w:r>
    </w:p>
    <w:p>
      <w:pPr>
        <w:spacing w:after="0" w:line="200" w:lineRule="exact"/>
        <w:rPr>
          <w:sz w:val="20"/>
          <w:szCs w:val="20"/>
          <w:color w:val="auto"/>
        </w:rPr>
      </w:pPr>
    </w:p>
    <w:p>
      <w:pPr>
        <w:spacing w:after="0" w:line="2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SCOTT N. SEMEL</w:t>
      </w:r>
    </w:p>
    <w:p>
      <w:pPr>
        <w:spacing w:after="0" w:line="31"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099"/>
          </w:cols>
          <w:pgMar w:left="360" w:top="110" w:right="1440" w:bottom="0" w:gutter="0" w:footer="0" w:header="0"/>
        </w:sectPr>
      </w:pPr>
    </w:p>
    <w:bookmarkStart w:id="2" w:name="page3"/>
    <w:bookmarkEnd w:id="2"/>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Needham,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 1999</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66 B STREET</w:t>
      </w:r>
    </w:p>
    <w:p>
      <w:pPr>
        <w:ind w:left="2420"/>
        <w:spacing w:after="0" w:line="238" w:lineRule="auto"/>
        <w:rPr>
          <w:sz w:val="20"/>
          <w:szCs w:val="20"/>
          <w:color w:val="auto"/>
        </w:rPr>
      </w:pPr>
      <w:r>
        <w:rPr>
          <w:rFonts w:ascii="Courier New" w:cs="Courier New" w:eastAsia="Courier New" w:hAnsi="Courier New"/>
          <w:sz w:val="18"/>
          <w:szCs w:val="18"/>
          <w:color w:val="auto"/>
        </w:rPr>
        <w:t>NEEDHAM, MASSACHUSETTS 02494</w:t>
      </w:r>
    </w:p>
    <w:p>
      <w:pPr>
        <w:ind w:left="3160"/>
        <w:spacing w:after="0"/>
        <w:rPr>
          <w:sz w:val="20"/>
          <w:szCs w:val="20"/>
          <w:color w:val="auto"/>
        </w:rPr>
      </w:pPr>
      <w:r>
        <w:rPr>
          <w:rFonts w:ascii="Courier New" w:cs="Courier New" w:eastAsia="Courier New" w:hAnsi="Courier New"/>
          <w:sz w:val="18"/>
          <w:szCs w:val="18"/>
          <w:color w:val="auto"/>
        </w:rPr>
        <w:t>(781) 444-7222</w:t>
      </w:r>
    </w:p>
    <w:p>
      <w:pPr>
        <w:spacing w:after="0" w:line="169"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PROXY STATEMENT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ANNUAL MEETING OF STOCKHOLDERS</w:t>
      </w:r>
    </w:p>
    <w:p>
      <w:pPr>
        <w:spacing w:after="0" w:line="169"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SEPTEMBER 22, 1999</w:t>
      </w:r>
    </w:p>
    <w:p>
      <w:pPr>
        <w:spacing w:after="0" w:line="200" w:lineRule="exact"/>
        <w:rPr>
          <w:sz w:val="20"/>
          <w:szCs w:val="20"/>
          <w:color w:val="auto"/>
        </w:rPr>
      </w:pPr>
    </w:p>
    <w:p>
      <w:pPr>
        <w:spacing w:after="0" w:line="204" w:lineRule="exact"/>
        <w:rPr>
          <w:sz w:val="20"/>
          <w:szCs w:val="20"/>
          <w:color w:val="auto"/>
        </w:rPr>
      </w:pPr>
    </w:p>
    <w:p>
      <w:pPr>
        <w:ind w:right="2319" w:firstLine="527"/>
        <w:spacing w:after="0" w:line="282" w:lineRule="auto"/>
        <w:rPr>
          <w:sz w:val="20"/>
          <w:szCs w:val="20"/>
          <w:color w:val="auto"/>
        </w:rPr>
      </w:pPr>
      <w:r>
        <w:rPr>
          <w:rFonts w:ascii="Courier New" w:cs="Courier New" w:eastAsia="Courier New" w:hAnsi="Courier New"/>
          <w:sz w:val="16"/>
          <w:szCs w:val="16"/>
          <w:color w:val="auto"/>
        </w:rPr>
        <w:t>This Proxy Statement and the enclosed form of proxy are first being mailed to stockholders of Designs, Inc. (the "Company" or "Designs") on or about __________, 1999 in connection with the solicitation by the Board of</w:t>
      </w:r>
    </w:p>
    <w:p>
      <w:pPr>
        <w:spacing w:after="0" w:line="1" w:lineRule="exact"/>
        <w:rPr>
          <w:sz w:val="20"/>
          <w:szCs w:val="20"/>
          <w:color w:val="auto"/>
        </w:rPr>
      </w:pPr>
    </w:p>
    <w:p>
      <w:pPr>
        <w:ind w:right="2319"/>
        <w:spacing w:after="0" w:line="246" w:lineRule="auto"/>
        <w:rPr>
          <w:sz w:val="20"/>
          <w:szCs w:val="20"/>
          <w:color w:val="auto"/>
        </w:rPr>
      </w:pPr>
      <w:r>
        <w:rPr>
          <w:rFonts w:ascii="Courier New" w:cs="Courier New" w:eastAsia="Courier New" w:hAnsi="Courier New"/>
          <w:sz w:val="18"/>
          <w:szCs w:val="18"/>
          <w:color w:val="auto"/>
        </w:rPr>
        <w:t>Directors of Designs of proxies to be used at the Annual Meeting of Stockholders to be held on September 22, 1999, and at any and all adjournments or postponements thereof (the "Annual Meeting"). You are urged to sign and date the enclosed BLUE proxy card and return it in the enclosed prepaid envelope whether or not you plan to attend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6" w:lineRule="exact"/>
        <w:rPr>
          <w:sz w:val="20"/>
          <w:szCs w:val="20"/>
          <w:color w:val="auto"/>
        </w:rPr>
      </w:pPr>
    </w:p>
    <w:p>
      <w:pPr>
        <w:ind w:right="2419" w:firstLine="527"/>
        <w:spacing w:after="0" w:line="282" w:lineRule="auto"/>
        <w:rPr>
          <w:sz w:val="20"/>
          <w:szCs w:val="20"/>
          <w:color w:val="auto"/>
        </w:rPr>
      </w:pPr>
      <w:r>
        <w:rPr>
          <w:rFonts w:ascii="Courier New" w:cs="Courier New" w:eastAsia="Courier New" w:hAnsi="Courier New"/>
          <w:sz w:val="16"/>
          <w:szCs w:val="16"/>
          <w:color w:val="auto"/>
        </w:rPr>
        <w:t>At the close of business on August 5, 1999, the record date for the Annual Meeting (the "Record Date"), the Company's outstanding voting securities consisted of _______________ shares of common stock, par value</w:t>
      </w:r>
    </w:p>
    <w:p>
      <w:pPr>
        <w:spacing w:after="0" w:line="1" w:lineRule="exact"/>
        <w:rPr>
          <w:sz w:val="20"/>
          <w:szCs w:val="20"/>
          <w:color w:val="auto"/>
        </w:rPr>
      </w:pPr>
    </w:p>
    <w:p>
      <w:pPr>
        <w:ind w:right="2199"/>
        <w:spacing w:after="0" w:line="248" w:lineRule="auto"/>
        <w:rPr>
          <w:sz w:val="20"/>
          <w:szCs w:val="20"/>
          <w:color w:val="auto"/>
        </w:rPr>
      </w:pPr>
      <w:r>
        <w:rPr>
          <w:rFonts w:ascii="Courier New" w:cs="Courier New" w:eastAsia="Courier New" w:hAnsi="Courier New"/>
          <w:sz w:val="18"/>
          <w:szCs w:val="18"/>
          <w:color w:val="auto"/>
        </w:rPr>
        <w:t>$.01 per share ("Common Stock"). Each share of Common Stock is entitled to one vote on all matters properly brought before the Annual Meeting. With respect to the election of directors, a stockholder may: (i) vote for the election of all named director nominees, (ii) withhold authority to vote for all named director nominees or (iii) vote for the election of all named director nominees other than any nominee(s) with respect to whom the stockholder withholds authority to vote by so indicating in the appropriate space on the BLUE proxy card.</w:t>
      </w:r>
    </w:p>
    <w:p>
      <w:pPr>
        <w:spacing w:after="0" w:line="106" w:lineRule="exact"/>
        <w:rPr>
          <w:sz w:val="20"/>
          <w:szCs w:val="20"/>
          <w:color w:val="auto"/>
        </w:rPr>
      </w:pPr>
    </w:p>
    <w:p>
      <w:pPr>
        <w:ind w:right="2199" w:firstLine="527"/>
        <w:spacing w:after="0" w:line="245" w:lineRule="auto"/>
        <w:rPr>
          <w:sz w:val="20"/>
          <w:szCs w:val="20"/>
          <w:color w:val="auto"/>
        </w:rPr>
      </w:pPr>
      <w:r>
        <w:rPr>
          <w:rFonts w:ascii="Courier New" w:cs="Courier New" w:eastAsia="Courier New" w:hAnsi="Courier New"/>
          <w:sz w:val="18"/>
          <w:szCs w:val="18"/>
          <w:color w:val="auto"/>
        </w:rPr>
        <w:t>Seymour Holtzman, a dissident stockholder of the Company, his wife Evelyn Holtzman, and certain entities controlled by them, including Jewelcor Management, Inc. (collectively, the "Holtzman Group"), have proposed their own slate of nominees for election to the Board of Directors in opposition to the Company's nominees. The Holtzman Group also has stated that it intends to present a proposal concerning a non-binding recommendation that the Company's Board of Directors terminate the Company's Shareholder Rights Plan (the "Holtzman Proposal"). The Board of Directors is soliciting votes FOR the Company's slate of nominees for election to the Board of Directors and AGAINST the Holtzman Proposal. Unless contrary instructions are indicated on the BLUE proxy card, all shares represented by valid proxies received pursuant to this solicitation (and not revoked) will be voted FOR the election of all of the Company's nominees for directors named in this Proxy Statement and AGAINST the Holtzman Proposal. If you specify a different choice on the proxy card, your shares will be voted as specified.</w:t>
      </w:r>
    </w:p>
    <w:p>
      <w:pPr>
        <w:spacing w:after="0" w:line="113" w:lineRule="exact"/>
        <w:rPr>
          <w:sz w:val="20"/>
          <w:szCs w:val="20"/>
          <w:color w:val="auto"/>
        </w:rPr>
      </w:pPr>
    </w:p>
    <w:p>
      <w:pPr>
        <w:ind w:right="2319" w:firstLine="527"/>
        <w:spacing w:after="0" w:line="247" w:lineRule="auto"/>
        <w:rPr>
          <w:sz w:val="20"/>
          <w:szCs w:val="20"/>
          <w:color w:val="auto"/>
        </w:rPr>
      </w:pPr>
      <w:r>
        <w:rPr>
          <w:rFonts w:ascii="Courier New" w:cs="Courier New" w:eastAsia="Courier New" w:hAnsi="Courier New"/>
          <w:sz w:val="18"/>
          <w:szCs w:val="18"/>
          <w:color w:val="auto"/>
        </w:rPr>
        <w:t>A quorum is necessary to hold a valid meeting of stockholders. If stockholders holding at least a majority of the shares of Common Stock outstanding as of the Record Date are present in person or by proxy, a quorum will exist for purposes of transacting business at the Annual Meeting, other than a vote to adjourn (for which a quorum need not be present). Any stockholder who attends the Annual Meeting may not withhold such stockholder's shares from the quorum count by declaring such shares absent from the Annual Meeting. Abstentions and shares of Common Stock as to which a nominee (such as a broker holding shares in street name for a beneficial owner) has not received voting instructions from the beneficial owner thereof and does not have discretionary authority with respect to a particular matter ("broker non-votes") will be counted as present for the purpose of establishing a quorum.</w:t>
      </w:r>
    </w:p>
    <w:p>
      <w:pPr>
        <w:spacing w:after="0" w:line="108" w:lineRule="exact"/>
        <w:rPr>
          <w:sz w:val="20"/>
          <w:szCs w:val="20"/>
          <w:color w:val="auto"/>
        </w:rPr>
      </w:pPr>
    </w:p>
    <w:p>
      <w:pPr>
        <w:ind w:right="2419" w:firstLine="527"/>
        <w:spacing w:after="0" w:line="306" w:lineRule="auto"/>
        <w:rPr>
          <w:sz w:val="20"/>
          <w:szCs w:val="20"/>
          <w:color w:val="auto"/>
        </w:rPr>
      </w:pPr>
      <w:r>
        <w:rPr>
          <w:rFonts w:ascii="Courier New" w:cs="Courier New" w:eastAsia="Courier New" w:hAnsi="Courier New"/>
          <w:sz w:val="16"/>
          <w:szCs w:val="16"/>
          <w:color w:val="auto"/>
        </w:rPr>
        <w:t>The Company's By-Laws provide that directors shall be elected by a plurality of the votes of the shares of Common Stock properly cast. The affirmative vote of a majority of the votes properly cast at the Annual Meeting on the Holtzman Proposal will be required to approve the Holtzman Proposal. Abstentions and broker-non votes with respect to any proposal</w:t>
      </w:r>
    </w:p>
    <w:p>
      <w:pPr>
        <w:sectPr>
          <w:pgSz w:w="11900" w:h="16862" w:orient="portrait"/>
          <w:cols w:equalWidth="0" w:num="1">
            <w:col w:w="10099"/>
          </w:cols>
          <w:pgMar w:left="360" w:top="515" w:right="1440" w:bottom="0" w:gutter="0" w:footer="0" w:header="0"/>
        </w:sectPr>
      </w:pPr>
    </w:p>
    <w:bookmarkStart w:id="3" w:name="page4"/>
    <w:bookmarkEnd w:id="3"/>
    <w:p>
      <w:pPr>
        <w:ind w:right="2519"/>
        <w:spacing w:after="0" w:line="344" w:lineRule="auto"/>
        <w:rPr>
          <w:sz w:val="20"/>
          <w:szCs w:val="20"/>
          <w:color w:val="auto"/>
        </w:rPr>
      </w:pPr>
      <w:r>
        <w:rPr>
          <w:rFonts w:ascii="Courier New" w:cs="Courier New" w:eastAsia="Courier New" w:hAnsi="Courier New"/>
          <w:sz w:val="16"/>
          <w:szCs w:val="16"/>
          <w:color w:val="auto"/>
        </w:rPr>
        <w:t>will not be counted as votes cast on such proposal. Proxies withholding authority with respect to the election of one or more director nominees will not be counted as votes cast for those individual nominees.</w:t>
      </w:r>
    </w:p>
    <w:p>
      <w:pPr>
        <w:spacing w:after="0" w:line="31" w:lineRule="exact"/>
        <w:rPr>
          <w:sz w:val="20"/>
          <w:szCs w:val="20"/>
          <w:color w:val="auto"/>
        </w:rPr>
      </w:pPr>
    </w:p>
    <w:p>
      <w:pPr>
        <w:ind w:right="2739" w:firstLine="527"/>
        <w:spacing w:after="0" w:line="292" w:lineRule="auto"/>
        <w:rPr>
          <w:sz w:val="20"/>
          <w:szCs w:val="20"/>
          <w:color w:val="auto"/>
        </w:rPr>
      </w:pPr>
      <w:r>
        <w:rPr>
          <w:rFonts w:ascii="Courier New" w:cs="Courier New" w:eastAsia="Courier New" w:hAnsi="Courier New"/>
          <w:sz w:val="18"/>
          <w:szCs w:val="18"/>
          <w:color w:val="auto"/>
        </w:rPr>
        <w:t>YOUR VOTE AT THIS YEAR'S ANNUAL MEETING IS ESPECIALLY IMPORTANT. PLEASE SIGN AND DATE THE ENCLOSED BLUE PROXY CARD AND RETURN IT IN THE ENCLOSED ENVELOPE PROMPTLY.</w:t>
      </w:r>
    </w:p>
    <w:p>
      <w:pPr>
        <w:spacing w:after="0" w:line="66"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WE URGE YOU NOT TO SIGN OR RETURN ANY PROXY CARD THAT MAY BE SENT TO YOU BY THE HOLTZMAN GROUP, EVEN AS A PROTEST VOTE AGAINST THE HOLTZMAN GROUP. If you previously voted on a Holtzman Group proxy card, you have every legal right to change your vote. You can do so simply by signing, dating and returning the enclosed BLUE proxy card. ONLY YOUR LATEST DATED PROXY CARD WILL COUNT.</w:t>
      </w:r>
    </w:p>
    <w:p>
      <w:pPr>
        <w:spacing w:after="0" w:line="93" w:lineRule="exact"/>
        <w:rPr>
          <w:sz w:val="20"/>
          <w:szCs w:val="20"/>
          <w:color w:val="auto"/>
        </w:rPr>
      </w:pPr>
    </w:p>
    <w:p>
      <w:pPr>
        <w:ind w:right="2199" w:firstLine="527"/>
        <w:spacing w:after="0" w:line="250" w:lineRule="auto"/>
        <w:rPr>
          <w:sz w:val="20"/>
          <w:szCs w:val="20"/>
          <w:color w:val="auto"/>
        </w:rPr>
      </w:pPr>
      <w:r>
        <w:rPr>
          <w:rFonts w:ascii="Courier New" w:cs="Courier New" w:eastAsia="Courier New" w:hAnsi="Courier New"/>
          <w:sz w:val="18"/>
          <w:szCs w:val="18"/>
          <w:color w:val="auto"/>
        </w:rPr>
        <w:t>IMPORTANT: If your shares of Common Stock are held in the name of a brokerage firm, bank, nominee or other institution, only it can sign a BLUE proxy card with respect to your shares and only upon specific instructions from you. Please contact the person responsible for your account and give instructions for a BLUE proxy card to be signed representing your shares of Common Stock. We urge you to confirm in writing your instructions to the person responsible for your account and to provide a copy of such instructions to the Company's proxy solicitor, Innisfree, M&amp;A Incorporated, at the address indicated below so that Innisfree can attempt to ensure that your instructions are followed.</w:t>
      </w:r>
    </w:p>
    <w:p>
      <w:pPr>
        <w:spacing w:after="0" w:line="104"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If you have any questions about executing your proxy or require assistance, please contact:</w:t>
      </w:r>
    </w:p>
    <w:p>
      <w:pPr>
        <w:spacing w:after="0" w:line="22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INNISFREE M&amp;A INCORPORATED</w:t>
      </w:r>
    </w:p>
    <w:p>
      <w:pPr>
        <w:spacing w:after="0" w:line="2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501 Madison Avenue, 20th Floor</w:t>
      </w:r>
    </w:p>
    <w:p>
      <w:pPr>
        <w:jc w:val="center"/>
        <w:ind w:right="2319"/>
        <w:spacing w:after="0" w:line="238" w:lineRule="auto"/>
        <w:rPr>
          <w:sz w:val="20"/>
          <w:szCs w:val="20"/>
          <w:color w:val="auto"/>
        </w:rPr>
      </w:pPr>
      <w:r>
        <w:rPr>
          <w:rFonts w:ascii="Courier New" w:cs="Courier New" w:eastAsia="Courier New" w:hAnsi="Courier New"/>
          <w:sz w:val="18"/>
          <w:szCs w:val="18"/>
          <w:color w:val="auto"/>
        </w:rPr>
        <w:t>New York, New York 10022</w:t>
      </w:r>
    </w:p>
    <w:p>
      <w:pPr>
        <w:jc w:val="center"/>
        <w:ind w:right="2319"/>
        <w:spacing w:after="0"/>
        <w:rPr>
          <w:sz w:val="20"/>
          <w:szCs w:val="20"/>
          <w:color w:val="auto"/>
        </w:rPr>
      </w:pPr>
      <w:r>
        <w:rPr>
          <w:rFonts w:ascii="Courier New" w:cs="Courier New" w:eastAsia="Courier New" w:hAnsi="Courier New"/>
          <w:sz w:val="18"/>
          <w:szCs w:val="18"/>
          <w:color w:val="auto"/>
        </w:rPr>
        <w:t>Call Toll Free: (888) 750-5834</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Banks and Brokerage Firms please call collect: (212)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1" w:lineRule="exact"/>
        <w:rPr>
          <w:sz w:val="20"/>
          <w:szCs w:val="20"/>
          <w:color w:val="auto"/>
        </w:rPr>
      </w:pPr>
    </w:p>
    <w:p>
      <w:pPr>
        <w:ind w:right="2199" w:firstLine="527"/>
        <w:spacing w:after="0" w:line="249" w:lineRule="auto"/>
        <w:rPr>
          <w:sz w:val="20"/>
          <w:szCs w:val="20"/>
          <w:color w:val="auto"/>
        </w:rPr>
      </w:pPr>
      <w:r>
        <w:rPr>
          <w:rFonts w:ascii="Courier New" w:cs="Courier New" w:eastAsia="Courier New" w:hAnsi="Courier New"/>
          <w:sz w:val="18"/>
          <w:szCs w:val="18"/>
          <w:color w:val="auto"/>
        </w:rPr>
        <w:t>The Board of Directors has determined, in accordance with the By-Laws of the Company, as amended (the "By-Laws"), that the Board of Directors to be elected at the Annual Meeting shall consist of five members. The Board of Directors has nominated five persons, each of whom currently serves as a member of the Board of Directors of the Company, for election to serve on the Board until the 2000 Annual Meeting of Stockholders or Special Meeting in lieu thereof. Although management expects all nominees to accept nomination and to serve if elected, the persons designated as proxies on the enclosed proxy card will have full discretion to vote the shares represented by proxies held by them for a substitute if a nominee is unable to serve at the time of election.</w:t>
      </w:r>
    </w:p>
    <w:p>
      <w:pPr>
        <w:spacing w:after="0" w:line="1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The nominees for directors are:</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204"/>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AGE</w:t>
            </w:r>
          </w:p>
        </w:tc>
        <w:tc>
          <w:tcPr>
            <w:tcW w:w="3200" w:type="dxa"/>
            <w:vAlign w:val="bottom"/>
            <w:vMerge w:val="restart"/>
          </w:tcPr>
          <w:p>
            <w:pPr>
              <w:ind w:left="940"/>
              <w:spacing w:after="0"/>
              <w:rPr>
                <w:sz w:val="20"/>
                <w:szCs w:val="20"/>
                <w:color w:val="auto"/>
              </w:rPr>
            </w:pPr>
            <w:r>
              <w:rPr>
                <w:rFonts w:ascii="Courier New" w:cs="Courier New" w:eastAsia="Courier New" w:hAnsi="Courier New"/>
                <w:sz w:val="18"/>
                <w:szCs w:val="18"/>
                <w:color w:val="auto"/>
              </w:rPr>
              <w:t>POSITION</w:t>
            </w:r>
          </w:p>
        </w:tc>
        <w:tc>
          <w:tcPr>
            <w:tcW w:w="1120" w:type="dxa"/>
            <w:vAlign w:val="bottom"/>
          </w:tcPr>
          <w:p>
            <w:pPr>
              <w:ind w:left="280"/>
              <w:spacing w:after="0"/>
              <w:rPr>
                <w:sz w:val="20"/>
                <w:szCs w:val="20"/>
                <w:color w:val="auto"/>
              </w:rPr>
            </w:pPr>
            <w:r>
              <w:rPr>
                <w:rFonts w:ascii="Courier New" w:cs="Courier New" w:eastAsia="Courier New" w:hAnsi="Courier New"/>
                <w:sz w:val="18"/>
                <w:szCs w:val="18"/>
                <w:color w:val="auto"/>
                <w:w w:val="94"/>
              </w:rPr>
              <w:t>DIRECTOR</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SINCE</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H. Reichman .....</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Chief Executive</w:t>
            </w: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1987</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James G. Groninger ...</w:t>
            </w:r>
          </w:p>
        </w:tc>
        <w:tc>
          <w:tcPr>
            <w:tcW w:w="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55</w:t>
            </w:r>
          </w:p>
        </w:tc>
        <w:tc>
          <w:tcPr>
            <w:tcW w:w="3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120" w:type="dxa"/>
            <w:vAlign w:val="bottom"/>
            <w:vMerge w:val="restart"/>
          </w:tcPr>
          <w:p>
            <w:pPr>
              <w:jc w:val="center"/>
              <w:ind w:left="172"/>
              <w:spacing w:after="0"/>
              <w:rPr>
                <w:sz w:val="20"/>
                <w:szCs w:val="20"/>
                <w:color w:val="auto"/>
              </w:rPr>
            </w:pPr>
            <w:r>
              <w:rPr>
                <w:rFonts w:ascii="Courier New" w:cs="Courier New" w:eastAsia="Courier New" w:hAnsi="Courier New"/>
                <w:sz w:val="18"/>
                <w:szCs w:val="18"/>
                <w:color w:val="auto"/>
                <w:w w:val="97"/>
              </w:rPr>
              <w:t>1987</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Director</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M. Manuel ....</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w:t>
            </w: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Director</w:t>
            </w: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1990</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Melvin I. Shapiro ....</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w:t>
            </w: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Director</w:t>
            </w:r>
          </w:p>
        </w:tc>
        <w:tc>
          <w:tcPr>
            <w:tcW w:w="11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1990</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Peter L. Thigpen .....</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w:t>
            </w:r>
          </w:p>
        </w:tc>
        <w:tc>
          <w:tcPr>
            <w:tcW w:w="320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112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1994</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Board of Directors recommends that you vote FOR the election of the five individuals named above as directors of the Company.</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1"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The following named persons were the only persons or entities believed by the Company to be the beneficial owners of more than five percent of the issued and outstanding shares of Common Stock as of July 16, 1999. The Company is informed that, except as indicated, all of them have sole voting and investment power with respect to all shares of Common Stock shown as beneficially owned by them, subject to community property laws where applicable.</w:t>
      </w:r>
    </w:p>
    <w:p>
      <w:pPr>
        <w:spacing w:after="0" w:line="98" w:lineRule="exact"/>
        <w:rPr>
          <w:sz w:val="20"/>
          <w:szCs w:val="20"/>
          <w:color w:val="auto"/>
        </w:rPr>
      </w:pPr>
    </w:p>
    <w:p>
      <w:pPr>
        <w:jc w:val="right"/>
        <w:ind w:right="1999"/>
        <w:spacing w:after="0"/>
        <w:tabs>
          <w:tab w:leader="none" w:pos="166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Percentage(1) of</w:t>
      </w:r>
    </w:p>
    <w:p>
      <w:pPr>
        <w:sectPr>
          <w:pgSz w:w="11900" w:h="16838" w:orient="portrait"/>
          <w:cols w:equalWidth="0" w:num="1">
            <w:col w:w="10099"/>
          </w:cols>
          <w:pgMar w:left="360" w:top="110" w:right="1440" w:bottom="0" w:gutter="0" w:footer="0" w:header="0"/>
        </w:sectPr>
      </w:pPr>
    </w:p>
    <w:bookmarkStart w:id="4" w:name="page5"/>
    <w:bookmarkEnd w:id="4"/>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Name and Address of Beneficial Owner</w:t>
            </w:r>
          </w:p>
        </w:tc>
        <w:tc>
          <w:tcPr>
            <w:tcW w:w="2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Beneficially Owned</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Common Stock</w:t>
            </w:r>
          </w:p>
        </w:tc>
        <w:tc>
          <w:tcPr>
            <w:tcW w:w="0" w:type="dxa"/>
            <w:vAlign w:val="bottom"/>
          </w:tcPr>
          <w:p>
            <w:pPr>
              <w:spacing w:after="0"/>
              <w:rPr>
                <w:sz w:val="1"/>
                <w:szCs w:val="1"/>
                <w:color w:val="auto"/>
              </w:rPr>
            </w:pPr>
          </w:p>
        </w:tc>
      </w:tr>
      <w:tr>
        <w:trPr>
          <w:trHeight w:val="296"/>
        </w:trPr>
        <w:tc>
          <w:tcPr>
            <w:tcW w:w="620" w:type="dxa"/>
            <w:vAlign w:val="bottom"/>
            <w:vMerge w:val="restart"/>
          </w:tcPr>
          <w:p>
            <w:pPr>
              <w:spacing w:after="0"/>
              <w:rPr>
                <w:sz w:val="20"/>
                <w:szCs w:val="20"/>
                <w:color w:val="auto"/>
              </w:rPr>
            </w:pPr>
            <w:r>
              <w:rPr>
                <w:rFonts w:ascii="Courier New" w:cs="Courier New" w:eastAsia="Courier New" w:hAnsi="Courier New"/>
                <w:sz w:val="6"/>
                <w:szCs w:val="6"/>
                <w:color w:val="auto"/>
                <w:w w:val="78"/>
                <w:vertAlign w:val="subscript"/>
              </w:rPr>
              <w:t>Grace</w:t>
            </w:r>
            <w:r>
              <w:rPr>
                <w:rFonts w:ascii="Courier New" w:cs="Courier New" w:eastAsia="Courier New" w:hAnsi="Courier New"/>
                <w:sz w:val="3"/>
                <w:szCs w:val="3"/>
                <w:color w:val="auto"/>
                <w:w w:val="78"/>
              </w:rPr>
              <w:t>------------------------------------</w:t>
            </w:r>
          </w:p>
        </w:tc>
        <w:tc>
          <w:tcPr>
            <w:tcW w:w="3540" w:type="dxa"/>
            <w:vAlign w:val="bottom"/>
            <w:vMerge w:val="restart"/>
          </w:tcPr>
          <w:p>
            <w:pPr>
              <w:spacing w:after="0"/>
              <w:rPr>
                <w:sz w:val="20"/>
                <w:szCs w:val="20"/>
                <w:color w:val="auto"/>
              </w:rPr>
            </w:pPr>
            <w:r>
              <w:rPr>
                <w:rFonts w:ascii="Courier New" w:cs="Courier New" w:eastAsia="Courier New" w:hAnsi="Courier New"/>
                <w:sz w:val="18"/>
                <w:szCs w:val="18"/>
                <w:color w:val="auto"/>
              </w:rPr>
              <w:t>&amp; White, Inc.</w:t>
            </w:r>
          </w:p>
        </w:tc>
        <w:tc>
          <w:tcPr>
            <w:tcW w:w="2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20" w:type="dxa"/>
            <w:vAlign w:val="bottom"/>
            <w:vMerge w:val="continue"/>
          </w:tcPr>
          <w:p>
            <w:pPr>
              <w:spacing w:after="0"/>
              <w:rPr>
                <w:sz w:val="9"/>
                <w:szCs w:val="9"/>
                <w:color w:val="auto"/>
              </w:rPr>
            </w:pPr>
          </w:p>
        </w:tc>
        <w:tc>
          <w:tcPr>
            <w:tcW w:w="35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515</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Madison Avenue</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2,057,100(2)</w:t>
            </w:r>
          </w:p>
        </w:tc>
        <w:tc>
          <w:tcPr>
            <w:tcW w:w="18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12.9%</w:t>
            </w:r>
          </w:p>
        </w:tc>
        <w:tc>
          <w:tcPr>
            <w:tcW w:w="0" w:type="dxa"/>
            <w:vAlign w:val="bottom"/>
          </w:tcPr>
          <w:p>
            <w:pPr>
              <w:spacing w:after="0"/>
              <w:rPr>
                <w:sz w:val="1"/>
                <w:szCs w:val="1"/>
                <w:color w:val="auto"/>
              </w:rPr>
            </w:pPr>
          </w:p>
        </w:tc>
      </w:tr>
      <w:tr>
        <w:trPr>
          <w:trHeight w:val="296"/>
        </w:trPr>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New</w:t>
            </w:r>
          </w:p>
        </w:tc>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York, New York 10022 ............</w:t>
            </w:r>
          </w:p>
        </w:tc>
        <w:tc>
          <w:tcPr>
            <w:tcW w:w="21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777</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Mariners Island Boulevard</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1,900,000(3)</w:t>
            </w:r>
          </w:p>
        </w:tc>
        <w:tc>
          <w:tcPr>
            <w:tcW w:w="1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11.9</w:t>
            </w:r>
          </w:p>
        </w:tc>
        <w:tc>
          <w:tcPr>
            <w:tcW w:w="0" w:type="dxa"/>
            <w:vAlign w:val="bottom"/>
          </w:tcPr>
          <w:p>
            <w:pPr>
              <w:spacing w:after="0"/>
              <w:rPr>
                <w:sz w:val="1"/>
                <w:szCs w:val="1"/>
                <w:color w:val="auto"/>
              </w:rPr>
            </w:pPr>
          </w:p>
        </w:tc>
      </w:tr>
      <w:tr>
        <w:trPr>
          <w:trHeight w:val="296"/>
        </w:trPr>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San</w:t>
            </w:r>
          </w:p>
        </w:tc>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Mateo, California 94403 .........</w:t>
            </w:r>
          </w:p>
        </w:tc>
        <w:tc>
          <w:tcPr>
            <w:tcW w:w="21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Jewelcor Management, Inc.</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Wilkes-Barre Boulevard</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1,570,200(4)</w:t>
            </w:r>
          </w:p>
        </w:tc>
        <w:tc>
          <w:tcPr>
            <w:tcW w:w="1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9.9</w:t>
            </w:r>
          </w:p>
        </w:tc>
        <w:tc>
          <w:tcPr>
            <w:tcW w:w="0" w:type="dxa"/>
            <w:vAlign w:val="bottom"/>
          </w:tcPr>
          <w:p>
            <w:pPr>
              <w:spacing w:after="0"/>
              <w:rPr>
                <w:sz w:val="1"/>
                <w:szCs w:val="1"/>
                <w:color w:val="auto"/>
              </w:rPr>
            </w:pPr>
          </w:p>
        </w:tc>
      </w:tr>
      <w:tr>
        <w:trPr>
          <w:trHeight w:val="296"/>
        </w:trPr>
        <w:tc>
          <w:tcPr>
            <w:tcW w:w="4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Wilkes-Barre, PA 18702 ..............</w:t>
            </w:r>
          </w:p>
        </w:tc>
        <w:tc>
          <w:tcPr>
            <w:tcW w:w="21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Stanley I. Berger</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Essex Road</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1,205,437(5)</w:t>
            </w:r>
          </w:p>
        </w:tc>
        <w:tc>
          <w:tcPr>
            <w:tcW w:w="1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96"/>
        </w:trPr>
        <w:tc>
          <w:tcPr>
            <w:tcW w:w="4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Chestnut Hill, Massachusetts 02467 ..</w:t>
            </w:r>
          </w:p>
        </w:tc>
        <w:tc>
          <w:tcPr>
            <w:tcW w:w="21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Dimensional Fund Advisors Inc.</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1299 Ocean Avenue, 11th Floor</w:t>
            </w:r>
          </w:p>
        </w:tc>
        <w:tc>
          <w:tcPr>
            <w:tcW w:w="2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838,400(6)</w:t>
            </w:r>
          </w:p>
        </w:tc>
        <w:tc>
          <w:tcPr>
            <w:tcW w:w="184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5.3</w:t>
            </w:r>
          </w:p>
        </w:tc>
        <w:tc>
          <w:tcPr>
            <w:tcW w:w="0" w:type="dxa"/>
            <w:vAlign w:val="bottom"/>
          </w:tcPr>
          <w:p>
            <w:pPr>
              <w:spacing w:after="0"/>
              <w:rPr>
                <w:sz w:val="1"/>
                <w:szCs w:val="1"/>
                <w:color w:val="auto"/>
              </w:rPr>
            </w:pPr>
          </w:p>
        </w:tc>
      </w:tr>
      <w:tr>
        <w:trPr>
          <w:trHeight w:val="296"/>
        </w:trPr>
        <w:tc>
          <w:tcPr>
            <w:tcW w:w="4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Santa Monica, California 90401 ......</w:t>
            </w:r>
          </w:p>
        </w:tc>
        <w:tc>
          <w:tcPr>
            <w:tcW w:w="21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31" w:lineRule="exact"/>
        <w:rPr>
          <w:sz w:val="20"/>
          <w:szCs w:val="20"/>
          <w:color w:val="auto"/>
        </w:rPr>
      </w:pPr>
    </w:p>
    <w:p>
      <w:pPr>
        <w:ind w:left="640" w:right="2199" w:hanging="527"/>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Securities and Exchange Commission (the "SEC") and generally includes voting or investment power with respect to securities. Except as indicated, each person possesses sole 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September 14, 1999 (60 days after July 16, 1999), are deemed outstanding. Such shares, however, are not deemed outstanding for the purpose of computing the percentage ownership of any other person. Percentage ownership is based on 15,963,948 shares of Common Stock outstanding on July 16, 1999, plus securities deemed to be outstanding with respect to individual stockholders pursuant to Rule 13d-3(d)(1) under the Securities Exchange Act of 1934, as amended (the "Exchange Act"). The information as to each person has been furnished by such person.</w:t>
      </w:r>
    </w:p>
    <w:p>
      <w:pPr>
        <w:spacing w:after="0" w:line="6" w:lineRule="exact"/>
        <w:rPr>
          <w:rFonts w:ascii="Courier New" w:cs="Courier New" w:eastAsia="Courier New" w:hAnsi="Courier New"/>
          <w:sz w:val="18"/>
          <w:szCs w:val="18"/>
          <w:color w:val="auto"/>
        </w:rPr>
      </w:pPr>
    </w:p>
    <w:p>
      <w:pPr>
        <w:ind w:left="640" w:right="2199" w:hanging="527"/>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an Amendment No. 1 to Schedule 13G dated February 8, 1999, stating that Grace &amp; White, Inc. ("Grace &amp; White") was the beneficial owner of the number of shares of Common Stock set forth opposite its name in the table above. The report indicates that at December 31, 1998 Grace &amp; White had sole voting power with respect to 194,000 shares and that Grace &amp; White may be deemed to beneficially own, within the meaning of Rule 13d-3 of the Exchange Act, 2,057,100 shares over which it had sole dispositive power. The report indicates that the shares were acquired in the ordinary course of Grace &amp; White's investment advisory business and not with the purpose of changing or influencing the control of the Company.</w:t>
      </w:r>
    </w:p>
    <w:p>
      <w:pPr>
        <w:spacing w:after="0" w:line="4" w:lineRule="exact"/>
        <w:rPr>
          <w:rFonts w:ascii="Courier New" w:cs="Courier New" w:eastAsia="Courier New" w:hAnsi="Courier New"/>
          <w:sz w:val="18"/>
          <w:szCs w:val="18"/>
          <w:color w:val="auto"/>
        </w:rPr>
      </w:pPr>
    </w:p>
    <w:p>
      <w:pPr>
        <w:ind w:left="640" w:right="2199" w:hanging="527"/>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 report on Schedule 13G/A dated May 8, 1999 and filed jointly by Franklin Resources, Inc. ("FRI"), Franklin Advisory Services, Inc. ("FASI"), Charles B. Johnson and Rupert H. Johnson, Jr. FASI is an investment adviser; FRI is the parent holding company of FASI; and Charles B. Johnson and Rupert H. Johnson, Jr. each own in excess of 10% of the outstanding stock, and are the principal stockholders, of FRI. The report states that FASI had sole voting power and sole dispositive power over 1,900,000 shares as of that date. The report further states that the shares were beneficially owned by one or more open or closed-end investment companies or other managed accounts which are advised by direct and indirect investment adviser subsidiaries of FRI. The report indicates that the shares were acquired in the ordinary course of business and not with the purpose of changing or influencing the control of the Company. The report describes the relationship among Franklin, FASI, Charles B. Johnson and Rupert H. Johnson, Jr., but it does not affirm the existence of a "group" as that term is used in Section 13(d)(3) of the Exchange Act; nevertheless, the Company believes that FRI, FASI, Charles B. Johnson and Rupert H. Johnson, Jr. may be deemed to constitute a group under Section 13(d)(3) of the Exchange Act and that such group may be deemed to be the beneficial owner of the shares described in this footnote.</w:t>
      </w:r>
    </w:p>
    <w:p>
      <w:pPr>
        <w:spacing w:after="0" w:line="8" w:lineRule="exact"/>
        <w:rPr>
          <w:rFonts w:ascii="Courier New" w:cs="Courier New" w:eastAsia="Courier New" w:hAnsi="Courier New"/>
          <w:sz w:val="18"/>
          <w:szCs w:val="18"/>
          <w:color w:val="auto"/>
        </w:rPr>
      </w:pPr>
    </w:p>
    <w:p>
      <w:pPr>
        <w:ind w:left="640" w:right="2319" w:hanging="527"/>
        <w:spacing w:after="0" w:line="286" w:lineRule="auto"/>
        <w:tabs>
          <w:tab w:leader="none" w:pos="6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received reports on Schedule 13D, initially dated as of November 27, 1998 and amended through July 19, 1999 and filed jointly on behalf of Jewelcor Management, Inc. ("JMI"), Jewelcor, Inc., S.H. Holdings, Inc., Seymour Holtzman and Evelyn Holtzman. JMI is a wholly-owned subsidiary of Jewelcor, Inc. Jewelcor, Inc. is a wholly-owned subsidiary of S.H. Holdings, Inc. Seymour Holtzman and Evelyn Holtzman own, as tenants by the entirety, a controlling</w:t>
      </w:r>
    </w:p>
    <w:p>
      <w:pPr>
        <w:sectPr>
          <w:pgSz w:w="11900" w:h="16845" w:orient="portrait"/>
          <w:cols w:equalWidth="0" w:num="1">
            <w:col w:w="10219"/>
          </w:cols>
          <w:pgMar w:left="240" w:top="108" w:right="1440" w:bottom="0" w:gutter="0" w:footer="0" w:header="0"/>
        </w:sectPr>
      </w:pPr>
    </w:p>
    <w:bookmarkStart w:id="5" w:name="page6"/>
    <w:bookmarkEnd w:id="5"/>
    <w:p>
      <w:pPr>
        <w:ind w:left="527" w:right="2199"/>
        <w:spacing w:after="0" w:line="241" w:lineRule="auto"/>
        <w:rPr>
          <w:sz w:val="20"/>
          <w:szCs w:val="20"/>
          <w:color w:val="auto"/>
        </w:rPr>
      </w:pPr>
      <w:r>
        <w:rPr>
          <w:rFonts w:ascii="Courier New" w:cs="Courier New" w:eastAsia="Courier New" w:hAnsi="Courier New"/>
          <w:sz w:val="18"/>
          <w:szCs w:val="18"/>
          <w:color w:val="auto"/>
        </w:rPr>
        <w:t>interest of S.H. Holdings, Inc. The last report filed before the date of this table, filed as of July 19, 1999, states that JMI had sole voting power and sole dispositive power over 1,570,200 shares as of that date. The report describes the relationship among JMI, Jewelcor, Inc., S.H. Holdings, Inc., Seymour Holtzman and Evelyn Holtzman, but it does not affirm the existence of a "group" as that term is used in Section 13(d)(3) of the Exchange Act; nevertheless, the Company believes that JMI, Jewelcor, Inc., S.H. Holdings, Inc., Seymour Holtzman and Evelyn Holtzman may be deemed to constitute a group under Section 13(d)(3) of the Exchange Act and that such group may be deemed to be the beneficial owner of the shares described in this footnote.</w:t>
      </w:r>
    </w:p>
    <w:p>
      <w:pPr>
        <w:spacing w:after="0" w:line="6" w:lineRule="exact"/>
        <w:rPr>
          <w:sz w:val="20"/>
          <w:szCs w:val="20"/>
          <w:color w:val="auto"/>
        </w:rPr>
      </w:pPr>
    </w:p>
    <w:p>
      <w:pPr>
        <w:ind w:left="527" w:right="2199" w:hanging="527"/>
        <w:spacing w:after="0" w:line="268"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241,500 shares issuable pursuant to outstanding stock options exercisable within 60 days of July 16,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spacing w:after="0" w:line="1" w:lineRule="exact"/>
        <w:rPr>
          <w:rFonts w:ascii="Courier New" w:cs="Courier New" w:eastAsia="Courier New" w:hAnsi="Courier New"/>
          <w:sz w:val="16"/>
          <w:szCs w:val="16"/>
          <w:color w:val="auto"/>
        </w:rPr>
      </w:pPr>
    </w:p>
    <w:p>
      <w:pPr>
        <w:ind w:left="527" w:right="2199" w:hanging="527"/>
        <w:spacing w:after="0" w:line="270"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1999 stating that Dimensional Fund Advisors Inc. ("DFAI") was reporting the beneficial ownership of an aggregate of 838,400 shares by four investment companies to which DFAI furnishes investment advice and certain other investment vehicles to which DFAI serves as an investment adviser. These investment companies and other investment vehicles are referred to as the "Portfolios" in the Schedule 13G filed by DFAI. The Schedule 13G states that all securities reported in the Schedule 13G are owned by advisory clients of DFAI, none of which, to DFAI's knowledge, owns more than five percent of the outstanding shares of Common Stock of the Company. The report on Schedule 13G indicates that at December 31, 1998 DFAI had sole voting power and with respect to all 838,400 shares reported and that DFAI may be deemed to beneficially own such shares within the meaning of Rule</w:t>
      </w:r>
    </w:p>
    <w:p>
      <w:pPr>
        <w:spacing w:after="0" w:line="185" w:lineRule="exact"/>
        <w:rPr>
          <w:rFonts w:ascii="Courier New" w:cs="Courier New" w:eastAsia="Courier New" w:hAnsi="Courier New"/>
          <w:sz w:val="16"/>
          <w:szCs w:val="16"/>
          <w:color w:val="auto"/>
        </w:rPr>
      </w:pPr>
    </w:p>
    <w:p>
      <w:pPr>
        <w:ind w:left="527" w:right="2199"/>
        <w:spacing w:after="0" w:line="24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13d-3 of the Exchange Act in that it had sole dispositive power over them. The report indicates that the shares were acquired in the ordinary course of business and not with the purpose of changing or influencing the control of the Company. The report describes the relationship among DFAI and its advisory clients but does not affirm the existence of a "group" as that term is used in Section 13(d)(3) of the Exchange Act. DFAI disclaims beneficial ownership of the shares; nevertheless, the Company believes that DFAI and its advisory clients may be deemed to constitute a group under Section 13(d)(3) of the Exchange Act and that such group may be deemed to be the beneficial owner of the shares described in this footnote.</w:t>
      </w:r>
    </w:p>
    <w:p>
      <w:pPr>
        <w:spacing w:after="0" w:line="31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1" w:lineRule="exact"/>
        <w:rPr>
          <w:sz w:val="20"/>
          <w:szCs w:val="20"/>
          <w:color w:val="auto"/>
        </w:rPr>
      </w:pPr>
    </w:p>
    <w:p>
      <w:pPr>
        <w:ind w:left="7" w:right="2199" w:firstLine="527"/>
        <w:spacing w:after="0" w:line="256" w:lineRule="auto"/>
        <w:rPr>
          <w:sz w:val="20"/>
          <w:szCs w:val="20"/>
          <w:color w:val="auto"/>
        </w:rPr>
      </w:pPr>
      <w:r>
        <w:rPr>
          <w:rFonts w:ascii="Courier New" w:cs="Courier New" w:eastAsia="Courier New" w:hAnsi="Courier New"/>
          <w:sz w:val="18"/>
          <w:szCs w:val="18"/>
          <w:color w:val="auto"/>
        </w:rPr>
        <w:t>As of July 16, 1999, the following directors of the Company, the Named Executive Officers (as defined below) and the directors and Named Executive Officers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97"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420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 Shares of</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Percentage of</w:t>
            </w:r>
          </w:p>
        </w:tc>
        <w:tc>
          <w:tcPr>
            <w:tcW w:w="0" w:type="dxa"/>
            <w:vAlign w:val="bottom"/>
          </w:tcPr>
          <w:p>
            <w:pPr>
              <w:spacing w:after="0"/>
              <w:rPr>
                <w:sz w:val="1"/>
                <w:szCs w:val="1"/>
                <w:color w:val="auto"/>
              </w:rPr>
            </w:pPr>
          </w:p>
        </w:tc>
      </w:tr>
      <w:tr>
        <w:trPr>
          <w:trHeight w:val="203"/>
        </w:trPr>
        <w:tc>
          <w:tcPr>
            <w:tcW w:w="420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Title of Beneficial Owner</w:t>
            </w:r>
          </w:p>
        </w:tc>
        <w:tc>
          <w:tcPr>
            <w:tcW w:w="2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Common Stock</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Common Stock</w:t>
            </w:r>
          </w:p>
        </w:tc>
        <w:tc>
          <w:tcPr>
            <w:tcW w:w="0" w:type="dxa"/>
            <w:vAlign w:val="bottom"/>
          </w:tcPr>
          <w:p>
            <w:pPr>
              <w:spacing w:after="0"/>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Outstanding (1)</w:t>
            </w:r>
          </w:p>
        </w:tc>
        <w:tc>
          <w:tcPr>
            <w:tcW w:w="0" w:type="dxa"/>
            <w:vAlign w:val="bottom"/>
          </w:tcPr>
          <w:p>
            <w:pPr>
              <w:spacing w:after="0"/>
              <w:rPr>
                <w:sz w:val="1"/>
                <w:szCs w:val="1"/>
                <w:color w:val="auto"/>
              </w:rPr>
            </w:pPr>
          </w:p>
        </w:tc>
      </w:tr>
      <w:tr>
        <w:trPr>
          <w:trHeight w:val="296"/>
        </w:trPr>
        <w:tc>
          <w:tcPr>
            <w:tcW w:w="4200" w:type="dxa"/>
            <w:vAlign w:val="bottom"/>
            <w:vMerge w:val="restart"/>
          </w:tcPr>
          <w:p>
            <w:pPr>
              <w:spacing w:after="0"/>
              <w:rPr>
                <w:sz w:val="20"/>
                <w:szCs w:val="20"/>
                <w:color w:val="auto"/>
              </w:rPr>
            </w:pPr>
            <w:r>
              <w:rPr>
                <w:rFonts w:ascii="Courier New" w:cs="Courier New" w:eastAsia="Courier New" w:hAnsi="Courier New"/>
                <w:sz w:val="35"/>
                <w:szCs w:val="35"/>
                <w:color w:val="auto"/>
                <w:w w:val="72"/>
                <w:vertAlign w:val="subscript"/>
              </w:rPr>
              <w:t>Stanley</w:t>
            </w:r>
            <w:r>
              <w:rPr>
                <w:rFonts w:ascii="Courier New" w:cs="Courier New" w:eastAsia="Courier New" w:hAnsi="Courier New"/>
                <w:sz w:val="18"/>
                <w:szCs w:val="18"/>
                <w:color w:val="auto"/>
                <w:w w:val="72"/>
              </w:rPr>
              <w:t>----------------------------------</w:t>
            </w:r>
            <w:r>
              <w:rPr>
                <w:rFonts w:ascii="Courier New" w:cs="Courier New" w:eastAsia="Courier New" w:hAnsi="Courier New"/>
                <w:sz w:val="35"/>
                <w:szCs w:val="35"/>
                <w:color w:val="auto"/>
                <w:w w:val="72"/>
                <w:vertAlign w:val="subscript"/>
              </w:rPr>
              <w:t>I.Berger</w:t>
            </w:r>
          </w:p>
        </w:tc>
        <w:tc>
          <w:tcPr>
            <w:tcW w:w="2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4200" w:type="dxa"/>
            <w:vAlign w:val="bottom"/>
            <w:vMerge w:val="continue"/>
          </w:tcPr>
          <w:p>
            <w:pPr>
              <w:spacing w:after="0"/>
              <w:rPr>
                <w:sz w:val="9"/>
                <w:szCs w:val="9"/>
                <w:color w:val="auto"/>
              </w:rPr>
            </w:pP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1,205,437(2)</w:t>
            </w:r>
          </w:p>
        </w:tc>
        <w:tc>
          <w:tcPr>
            <w:tcW w:w="17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Chairman of the Board and Director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Chief Executive Officer</w:t>
            </w: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416,455(3)</w:t>
            </w:r>
          </w:p>
        </w:tc>
        <w:tc>
          <w:tcPr>
            <w:tcW w:w="1740" w:type="dxa"/>
            <w:vAlign w:val="bottom"/>
            <w:vMerge w:val="restart"/>
          </w:tcPr>
          <w:p>
            <w:pPr>
              <w:jc w:val="center"/>
              <w:ind w:left="92"/>
              <w:spacing w:after="0"/>
              <w:rPr>
                <w:sz w:val="20"/>
                <w:szCs w:val="20"/>
                <w:color w:val="auto"/>
              </w:rPr>
            </w:pPr>
            <w:r>
              <w:rPr>
                <w:rFonts w:ascii="Courier New" w:cs="Courier New" w:eastAsia="Courier New" w:hAnsi="Courier New"/>
                <w:sz w:val="18"/>
                <w:szCs w:val="18"/>
                <w:color w:val="auto"/>
                <w:w w:val="98"/>
              </w:rPr>
              <w:t>2.6</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and Director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Executive Vice President, General</w:t>
            </w: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310,537(4)</w:t>
            </w:r>
          </w:p>
        </w:tc>
        <w:tc>
          <w:tcPr>
            <w:tcW w:w="1740" w:type="dxa"/>
            <w:vAlign w:val="bottom"/>
            <w:vMerge w:val="restart"/>
          </w:tcPr>
          <w:p>
            <w:pPr>
              <w:jc w:val="center"/>
              <w:ind w:left="92"/>
              <w:spacing w:after="0"/>
              <w:rPr>
                <w:sz w:val="20"/>
                <w:szCs w:val="20"/>
                <w:color w:val="auto"/>
              </w:rPr>
            </w:pPr>
            <w:r>
              <w:rPr>
                <w:rFonts w:ascii="Courier New" w:cs="Courier New" w:eastAsia="Courier New" w:hAnsi="Courier New"/>
                <w:sz w:val="18"/>
                <w:szCs w:val="18"/>
                <w:color w:val="auto"/>
                <w:w w:val="98"/>
              </w:rPr>
              <w:t>1.9</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Counsel and Secretary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2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 President, Chief Financial</w:t>
            </w: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80,000(5)</w:t>
            </w:r>
          </w:p>
        </w:tc>
        <w:tc>
          <w:tcPr>
            <w:tcW w:w="174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Officer and Treasurer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80,765(6)</w:t>
            </w:r>
          </w:p>
        </w:tc>
        <w:tc>
          <w:tcPr>
            <w:tcW w:w="174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Director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0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21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65,187(7)</w:t>
            </w:r>
          </w:p>
        </w:tc>
        <w:tc>
          <w:tcPr>
            <w:tcW w:w="174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96"/>
        </w:trPr>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w w:val="96"/>
              </w:rPr>
              <w:t>Director .............................</w:t>
            </w:r>
          </w:p>
        </w:tc>
        <w:tc>
          <w:tcPr>
            <w:tcW w:w="2160" w:type="dxa"/>
            <w:vAlign w:val="bottom"/>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6"/>
          </w:cols>
          <w:pgMar w:left="353" w:top="110" w:right="1440" w:bottom="0" w:gutter="0" w:footer="0" w:header="0"/>
        </w:sectPr>
      </w:pPr>
    </w:p>
    <w:bookmarkStart w:id="6" w:name="page7"/>
    <w:bookmarkEnd w:id="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Bernard M.</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Manuel</w:t>
            </w:r>
          </w:p>
        </w:tc>
        <w:tc>
          <w:tcPr>
            <w:tcW w:w="20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90,885(8)</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gridSpan w:val="2"/>
          </w:tcPr>
          <w:p>
            <w:pPr>
              <w:spacing w:after="0"/>
              <w:rPr>
                <w:sz w:val="20"/>
                <w:szCs w:val="20"/>
                <w:color w:val="auto"/>
              </w:rPr>
            </w:pPr>
            <w:r>
              <w:rPr>
                <w:rFonts w:ascii="Courier New" w:cs="Courier New" w:eastAsia="Courier New" w:hAnsi="Courier New"/>
                <w:sz w:val="18"/>
                <w:szCs w:val="18"/>
                <w:color w:val="auto"/>
              </w:rPr>
              <w:t>Peter L. Thigpen</w:t>
            </w:r>
          </w:p>
        </w:tc>
        <w:tc>
          <w:tcPr>
            <w:tcW w:w="20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61,551(9)</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0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20" w:type="dxa"/>
            <w:vAlign w:val="bottom"/>
            <w:gridSpan w:val="2"/>
          </w:tcPr>
          <w:p>
            <w:pPr>
              <w:spacing w:after="0"/>
              <w:rPr>
                <w:sz w:val="20"/>
                <w:szCs w:val="20"/>
                <w:color w:val="auto"/>
              </w:rPr>
            </w:pPr>
            <w:r>
              <w:rPr>
                <w:rFonts w:ascii="Courier New" w:cs="Courier New" w:eastAsia="Courier New" w:hAnsi="Courier New"/>
                <w:sz w:val="18"/>
                <w:szCs w:val="18"/>
                <w:color w:val="auto"/>
              </w:rPr>
              <w:t>All directors and executive</w:t>
            </w:r>
          </w:p>
        </w:tc>
        <w:tc>
          <w:tcPr>
            <w:tcW w:w="20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2,310,817(10)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13.5%</w:t>
            </w:r>
          </w:p>
        </w:tc>
        <w:tc>
          <w:tcPr>
            <w:tcW w:w="0" w:type="dxa"/>
            <w:vAlign w:val="bottom"/>
          </w:tcPr>
          <w:p>
            <w:pPr>
              <w:spacing w:after="0"/>
              <w:rPr>
                <w:sz w:val="1"/>
                <w:szCs w:val="1"/>
                <w:color w:val="auto"/>
              </w:rPr>
            </w:pPr>
          </w:p>
        </w:tc>
      </w:tr>
      <w:tr>
        <w:trPr>
          <w:trHeight w:val="296"/>
        </w:trPr>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officers</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as a group (8 persons) ......</w:t>
            </w:r>
          </w:p>
        </w:tc>
        <w:tc>
          <w:tcPr>
            <w:tcW w:w="200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9" w:lineRule="exact"/>
        <w:rPr>
          <w:sz w:val="20"/>
          <w:szCs w:val="20"/>
          <w:color w:val="auto"/>
        </w:rPr>
      </w:pPr>
    </w:p>
    <w:p>
      <w:pPr>
        <w:ind w:left="640" w:hanging="527"/>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1.0%.</w:t>
      </w:r>
    </w:p>
    <w:p>
      <w:pPr>
        <w:ind w:left="640" w:right="2199" w:hanging="527"/>
        <w:spacing w:after="0" w:line="268"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SEC and generally includes voting or investment power with respect to securities. Except as indicated, each person possesses sole 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September 14, 1999 (60 days after July 16, 1999), are deemed outstanding. Such shares, however, are not deemed outstanding for the purpose of computing the percentage ownership of any other person. Percentage ownership is based on 15,963,948 shares of Common Stock outstanding as of July 16, 1999, plus securities deemed to be outstanding with respect to individual stockholders pursuant to Rule 13d-3(d)(1) under the Exchange Act. The information as to each person has been furnished by such person.</w:t>
      </w:r>
    </w:p>
    <w:p>
      <w:pPr>
        <w:spacing w:after="0" w:line="2" w:lineRule="exact"/>
        <w:rPr>
          <w:rFonts w:ascii="Courier New" w:cs="Courier New" w:eastAsia="Courier New" w:hAnsi="Courier New"/>
          <w:sz w:val="16"/>
          <w:szCs w:val="16"/>
          <w:color w:val="auto"/>
        </w:rPr>
      </w:pPr>
    </w:p>
    <w:p>
      <w:pPr>
        <w:ind w:left="640" w:right="2199" w:hanging="527"/>
        <w:spacing w:after="0" w:line="268"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241,500 shares issuable pursuant to outstanding stock options exercisable within 60 days of July 16,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spacing w:after="0" w:line="1" w:lineRule="exact"/>
        <w:rPr>
          <w:rFonts w:ascii="Courier New" w:cs="Courier New" w:eastAsia="Courier New" w:hAnsi="Courier New"/>
          <w:sz w:val="16"/>
          <w:szCs w:val="16"/>
          <w:color w:val="auto"/>
        </w:rPr>
      </w:pPr>
    </w:p>
    <w:p>
      <w:pPr>
        <w:ind w:left="640" w:right="219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370,500 shares issuable pursuant to outstanding stock options exercisable within 60 days of July 16, 1999, as well as 280 shares owned by Mr. Reichman's wife and 427 shares owned by Mr. Reichman's children, as to which 707 shares Mr. Reichman disclaims beneficial ownership.</w:t>
      </w:r>
    </w:p>
    <w:p>
      <w:pPr>
        <w:spacing w:after="0" w:line="1" w:lineRule="exact"/>
        <w:rPr>
          <w:rFonts w:ascii="Courier New" w:cs="Courier New" w:eastAsia="Courier New" w:hAnsi="Courier New"/>
          <w:sz w:val="18"/>
          <w:szCs w:val="18"/>
          <w:color w:val="auto"/>
        </w:rPr>
      </w:pPr>
    </w:p>
    <w:p>
      <w:pPr>
        <w:ind w:left="640" w:right="219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272,500 shares issuable pursuant to outstanding stock options exercisable within 60 days of July 16, 1999, as well as 450 shares owned by Mr. Semel's daughter, as to which he disclaims beneficial ownership.</w:t>
      </w:r>
    </w:p>
    <w:p>
      <w:pPr>
        <w:spacing w:after="0" w:line="1" w:lineRule="exact"/>
        <w:rPr>
          <w:rFonts w:ascii="Courier New" w:cs="Courier New" w:eastAsia="Courier New" w:hAnsi="Courier New"/>
          <w:sz w:val="18"/>
          <w:szCs w:val="18"/>
          <w:color w:val="auto"/>
        </w:rPr>
      </w:pPr>
    </w:p>
    <w:p>
      <w:pPr>
        <w:ind w:left="640" w:right="231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67,000 shares issuable pursuant to outstanding stock options exercisable within 60 days of July 16, 1999, as well as 12,000 shares beneficially owned by Mrs. Faulkner's husband, as to which she disclaims beneficial ownership.</w:t>
      </w:r>
    </w:p>
    <w:p>
      <w:pPr>
        <w:spacing w:after="0" w:line="1" w:lineRule="exact"/>
        <w:rPr>
          <w:rFonts w:ascii="Courier New" w:cs="Courier New" w:eastAsia="Courier New" w:hAnsi="Courier New"/>
          <w:sz w:val="18"/>
          <w:szCs w:val="18"/>
          <w:color w:val="auto"/>
        </w:rPr>
      </w:pPr>
    </w:p>
    <w:p>
      <w:pPr>
        <w:ind w:left="640" w:right="231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July 16, 1999.</w:t>
      </w:r>
    </w:p>
    <w:p>
      <w:pPr>
        <w:ind w:left="640" w:right="2319" w:hanging="527"/>
        <w:spacing w:after="0" w:line="268"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43,500 shares issuable pursuant to outstanding stock options exercisable within 60 days of July 16, 1999 and 450 shares owned by Mr. Shapiro's wife as to which he disclaims beneficial ownership.</w:t>
      </w:r>
    </w:p>
    <w:p>
      <w:pPr>
        <w:ind w:left="640" w:right="231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43,500 shares issuable pursuant to outstanding stock options exercisable within 60 days of July 16, 1999.</w:t>
      </w:r>
    </w:p>
    <w:p>
      <w:pPr>
        <w:ind w:left="640" w:right="2319"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22,000 shares issuable pursuant to outstanding stock options exercisable within 60 days of July 16, 1999.</w:t>
      </w:r>
    </w:p>
    <w:p>
      <w:pPr>
        <w:ind w:left="640" w:hanging="527"/>
        <w:spacing w:after="0" w:line="238"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1,104,000 shares issuable pursuant to outstanding stock</w:t>
      </w:r>
    </w:p>
    <w:p>
      <w:pPr>
        <w:ind w:left="640" w:right="2199"/>
        <w:spacing w:after="0" w:line="238" w:lineRule="auto"/>
        <w:rPr>
          <w:sz w:val="20"/>
          <w:szCs w:val="20"/>
          <w:color w:val="auto"/>
        </w:rPr>
      </w:pPr>
      <w:r>
        <w:rPr>
          <w:rFonts w:ascii="Courier New" w:cs="Courier New" w:eastAsia="Courier New" w:hAnsi="Courier New"/>
          <w:sz w:val="18"/>
          <w:szCs w:val="18"/>
          <w:color w:val="auto"/>
        </w:rPr>
        <w:t>options exercisable within 60 days of July 16, 1999. See also Notes 2 through 9 above for further details concerning such options.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w:t>
      </w:r>
    </w:p>
    <w:p>
      <w:pPr>
        <w:spacing w:after="0" w:line="37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left="120" w:right="2199" w:firstLine="527"/>
        <w:spacing w:after="0" w:line="283" w:lineRule="auto"/>
        <w:rPr>
          <w:sz w:val="20"/>
          <w:szCs w:val="20"/>
          <w:color w:val="auto"/>
        </w:rPr>
      </w:pPr>
      <w:r>
        <w:rPr>
          <w:rFonts w:ascii="Courier New" w:cs="Courier New" w:eastAsia="Courier New" w:hAnsi="Courier New"/>
          <w:sz w:val="16"/>
          <w:szCs w:val="16"/>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SEC regulations to furnish the Company with copies of all Section 16(a) forms they file. Based solely upon a review of Forms 3 and 4 and amendments thereto furnished to the Company during fiscal year 1998 and Forms 5 and amendments thereto furnished to the Company with respect to fiscal year 1998, the Company believes that all Section 16(a) filing requirements applicable to its officers, directors and greater-than-10% stockholders were fulfilled in a timely manner.</w:t>
      </w:r>
    </w:p>
    <w:p>
      <w:pPr>
        <w:spacing w:after="0" w:line="2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NOMINEES FOR DIRECTOR AND EXECUTIVE OFFICERS</w:t>
      </w:r>
    </w:p>
    <w:p>
      <w:pPr>
        <w:sectPr>
          <w:pgSz w:w="11900" w:h="16838" w:orient="portrait"/>
          <w:cols w:equalWidth="0" w:num="1">
            <w:col w:w="10219"/>
          </w:cols>
          <w:pgMar w:left="240" w:top="311" w:right="1440" w:bottom="0" w:gutter="0" w:footer="0" w:header="0"/>
        </w:sectPr>
      </w:pPr>
    </w:p>
    <w:bookmarkStart w:id="7" w:name="page8"/>
    <w:bookmarkEnd w:id="7"/>
    <w:p>
      <w:pPr>
        <w:ind w:left="520"/>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Joel H. Reichman has been President and Chief Executive Officer of the Company since December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98" w:lineRule="exact"/>
        <w:rPr>
          <w:sz w:val="20"/>
          <w:szCs w:val="20"/>
          <w:color w:val="auto"/>
        </w:rPr>
      </w:pPr>
    </w:p>
    <w:p>
      <w:pPr>
        <w:ind w:right="2199" w:firstLine="527"/>
        <w:spacing w:after="0" w:line="252" w:lineRule="auto"/>
        <w:rPr>
          <w:sz w:val="20"/>
          <w:szCs w:val="20"/>
          <w:color w:val="auto"/>
        </w:rPr>
      </w:pPr>
      <w:r>
        <w:rPr>
          <w:rFonts w:ascii="Courier New" w:cs="Courier New" w:eastAsia="Courier New" w:hAnsi="Courier New"/>
          <w:sz w:val="18"/>
          <w:szCs w:val="18"/>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99"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90"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82" w:lineRule="exact"/>
        <w:rPr>
          <w:sz w:val="20"/>
          <w:szCs w:val="20"/>
          <w:color w:val="auto"/>
        </w:rPr>
      </w:pPr>
    </w:p>
    <w:p>
      <w:pPr>
        <w:ind w:right="2199" w:firstLine="527"/>
        <w:spacing w:after="0" w:line="249" w:lineRule="auto"/>
        <w:rPr>
          <w:sz w:val="20"/>
          <w:szCs w:val="20"/>
          <w:color w:val="auto"/>
        </w:rPr>
      </w:pPr>
      <w:r>
        <w:rPr>
          <w:rFonts w:ascii="Courier New" w:cs="Courier New" w:eastAsia="Courier New" w:hAnsi="Courier New"/>
          <w:sz w:val="18"/>
          <w:szCs w:val="18"/>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("Levi Strauss") covering a period of more than 23 years, including the position of Senior Vice President, U.S. Operations. Mr. Thigpen has been a lecturer at the Haas School of Business at the University of California, Berkeley since 1992. Mr. Thigpen is presently a member of the Board of Directors of Radica Games Limited, a developer, manufacturer and distributor of electronic handheld and table top games.</w:t>
      </w:r>
    </w:p>
    <w:p>
      <w:pPr>
        <w:spacing w:after="0" w:line="104" w:lineRule="exact"/>
        <w:rPr>
          <w:sz w:val="20"/>
          <w:szCs w:val="20"/>
          <w:color w:val="auto"/>
        </w:rPr>
      </w:pPr>
    </w:p>
    <w:p>
      <w:pPr>
        <w:ind w:right="2419" w:firstLine="527"/>
        <w:spacing w:after="0" w:line="292" w:lineRule="auto"/>
        <w:rPr>
          <w:sz w:val="20"/>
          <w:szCs w:val="20"/>
          <w:color w:val="auto"/>
        </w:rPr>
      </w:pPr>
      <w:r>
        <w:rPr>
          <w:rFonts w:ascii="Courier New" w:cs="Courier New" w:eastAsia="Courier New" w:hAnsi="Courier New"/>
          <w:sz w:val="18"/>
          <w:szCs w:val="18"/>
          <w:color w:val="auto"/>
        </w:rPr>
        <w:t>All directors hold office until the next Annual Meeting of Stockholders or Special Meeting in lieu thereof. Executive officers, once elected, serve at the discretion of the Board of Directors.</w:t>
      </w:r>
    </w:p>
    <w:p>
      <w:pPr>
        <w:spacing w:after="0" w:line="6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ind w:right="2419" w:firstLine="527"/>
        <w:spacing w:after="0" w:line="265" w:lineRule="auto"/>
        <w:rPr>
          <w:sz w:val="20"/>
          <w:szCs w:val="20"/>
          <w:color w:val="auto"/>
        </w:rPr>
      </w:pPr>
      <w:r>
        <w:rPr>
          <w:rFonts w:ascii="Courier New" w:cs="Courier New" w:eastAsia="Courier New" w:hAnsi="Courier New"/>
          <w:sz w:val="18"/>
          <w:szCs w:val="18"/>
          <w:color w:val="auto"/>
        </w:rPr>
        <w:t>Scott N. Semel, 43,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90" w:lineRule="exact"/>
        <w:rPr>
          <w:sz w:val="20"/>
          <w:szCs w:val="20"/>
          <w:color w:val="auto"/>
        </w:rPr>
      </w:pPr>
    </w:p>
    <w:p>
      <w:pPr>
        <w:ind w:right="2319" w:firstLine="527"/>
        <w:spacing w:after="0" w:line="293" w:lineRule="auto"/>
        <w:rPr>
          <w:sz w:val="20"/>
          <w:szCs w:val="20"/>
          <w:color w:val="auto"/>
        </w:rPr>
      </w:pPr>
      <w:r>
        <w:rPr>
          <w:rFonts w:ascii="Courier New" w:cs="Courier New" w:eastAsia="Courier New" w:hAnsi="Courier New"/>
          <w:sz w:val="16"/>
          <w:szCs w:val="16"/>
          <w:color w:val="auto"/>
        </w:rPr>
        <w:t>Carolyn R. Faulkner, 37, joined the Company as its Controller in June 1993. In March 1994, Mrs. Faulkner was elected as a Vice President of the Company. In July 1996, Mrs. Faulkner was elected Chief Financial Officer. On January 20, 1998, Mrs. Faulkner was elected Treasurer of the Company. Prior to joining the Company, from 1985 through May 1993, Mrs. Faulkner held various positions with Coopers &amp; Lybrand L.L.P., an independent accounting firm, including the position of Business Assurance Manager.</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1" w:lineRule="exact"/>
        <w:rPr>
          <w:sz w:val="20"/>
          <w:szCs w:val="20"/>
          <w:color w:val="auto"/>
        </w:rPr>
      </w:pPr>
    </w:p>
    <w:p>
      <w:pPr>
        <w:ind w:right="2199" w:firstLine="527"/>
        <w:spacing w:after="0" w:line="245" w:lineRule="auto"/>
        <w:rPr>
          <w:sz w:val="20"/>
          <w:szCs w:val="20"/>
          <w:color w:val="auto"/>
        </w:rPr>
      </w:pPr>
      <w:r>
        <w:rPr>
          <w:rFonts w:ascii="Courier New" w:cs="Courier New" w:eastAsia="Courier New" w:hAnsi="Courier New"/>
          <w:sz w:val="18"/>
          <w:szCs w:val="18"/>
          <w:color w:val="auto"/>
        </w:rPr>
        <w:t>During the Company's fiscal year ended January 30, 1999 ("fiscal year 1998"), non-employee directors of the Company were, and during the fiscal year ending January 29, 2000 ("fiscal year 1999") such directors will continue to be, eligible to participate in the Company's 1992 Stock Incentive Plan, as amended (the "1992 Stock Incentive Plan"). The 1992 Stock Incentive Plan provides that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of such stock options becomes exercisable in three equal annual installments commencing twelve months following the date of grant and has a ten year term.</w:t>
      </w:r>
    </w:p>
    <w:p>
      <w:pPr>
        <w:sectPr>
          <w:pgSz w:w="11900" w:h="16838" w:orient="portrait"/>
          <w:cols w:equalWidth="0" w:num="1">
            <w:col w:w="10099"/>
          </w:cols>
          <w:pgMar w:left="360" w:top="110" w:right="1440" w:bottom="0" w:gutter="0" w:footer="0" w:header="0"/>
        </w:sectPr>
      </w:pPr>
    </w:p>
    <w:bookmarkStart w:id="8" w:name="page9"/>
    <w:bookmarkEnd w:id="8"/>
    <w:p>
      <w:pPr>
        <w:spacing w:after="0" w:line="14" w:lineRule="exact"/>
        <w:rPr>
          <w:sz w:val="20"/>
          <w:szCs w:val="20"/>
          <w:color w:val="auto"/>
        </w:rPr>
      </w:pPr>
    </w:p>
    <w:p>
      <w:pPr>
        <w:ind w:left="120" w:right="2199" w:firstLine="527"/>
        <w:spacing w:after="0" w:line="242" w:lineRule="auto"/>
        <w:rPr>
          <w:sz w:val="20"/>
          <w:szCs w:val="20"/>
          <w:color w:val="auto"/>
        </w:rPr>
      </w:pPr>
      <w:r>
        <w:rPr>
          <w:rFonts w:ascii="Courier New" w:cs="Courier New" w:eastAsia="Courier New" w:hAnsi="Courier New"/>
          <w:sz w:val="18"/>
          <w:szCs w:val="18"/>
          <w:color w:val="auto"/>
        </w:rPr>
        <w:t>During fiscal year 1998, non-employee directors of the Company were entitled to receive, in addition to reimbursement of expenses, fees for each meeting of the Board of Directors or committees of the Board in which they participated, as follows: $3,000 for each meeting of the Board of Directors; $3,000 for each Compensation Committee meeting; $1,500 for each Audit Committee meeting; $1,500 for each Corporate Governance Committee meeting; and $3,000 for each meeting of the Special Committee.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Non-employee directors who are members of the Audit Committee received cash payments as their full compensation for two Audit Committee meetings in fiscal year 1998 that occurred before April 13, 1998.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was applicable to meetings of the Board of Directors and its committees held on April 13, 1998 and thereafter through the end of calendar year 1998. All non-employee directors elected to receive one-half of their directors' fees (excluding reimbursement of expenses) in shares of Unrestricted Stock for meetings of the Board of Directors and its committees in which they participated in fiscal year 1998, beginning with the meetings held on April 13, 1998.</w:t>
      </w:r>
    </w:p>
    <w:p>
      <w:pPr>
        <w:spacing w:after="0" w:line="31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ind w:left="120" w:right="2319" w:firstLine="527"/>
        <w:spacing w:after="0" w:line="256" w:lineRule="auto"/>
        <w:rPr>
          <w:sz w:val="20"/>
          <w:szCs w:val="20"/>
          <w:color w:val="auto"/>
        </w:rPr>
      </w:pPr>
      <w:r>
        <w:rPr>
          <w:rFonts w:ascii="Courier New" w:cs="Courier New" w:eastAsia="Courier New" w:hAnsi="Courier New"/>
          <w:sz w:val="18"/>
          <w:szCs w:val="18"/>
          <w:color w:val="auto"/>
        </w:rPr>
        <w:t>The following Summary Compensation Table sets forth certain information regarding compensation paid or accrued by the Company with respect to the Chief Executive Officer of the Company during fiscal year 1998 and the other two executive officers of the Company as of January 30, 1999 (collectively, the "Named Executive Officers"), for fiscal year 1998 and the fiscal years ended January 31, 1998 ("fiscal year 1997") and February 1, 1997 ("fiscal year 1996").</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Annual</w:t>
            </w:r>
          </w:p>
        </w:tc>
        <w:tc>
          <w:tcPr>
            <w:tcW w:w="1000" w:type="dxa"/>
            <w:vAlign w:val="bottom"/>
          </w:tcPr>
          <w:p>
            <w:pPr>
              <w:spacing w:after="0"/>
              <w:rPr>
                <w:sz w:val="17"/>
                <w:szCs w:val="17"/>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Long-Term</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Compensation(1)</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Awards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3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Name and</w:t>
            </w:r>
          </w:p>
        </w:tc>
        <w:tc>
          <w:tcPr>
            <w:tcW w:w="9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8"/>
              </w:rPr>
              <w:t>Fiscal</w:t>
            </w: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Securities</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480" w:type="dxa"/>
            <w:vAlign w:val="bottom"/>
            <w:gridSpan w:val="2"/>
            <w:vMerge w:val="restart"/>
          </w:tcPr>
          <w:p>
            <w:pPr>
              <w:ind w:left="220"/>
              <w:spacing w:after="0"/>
              <w:rPr>
                <w:sz w:val="20"/>
                <w:szCs w:val="20"/>
                <w:color w:val="auto"/>
              </w:rPr>
            </w:pPr>
            <w:r>
              <w:rPr>
                <w:rFonts w:ascii="Courier New" w:cs="Courier New" w:eastAsia="Courier New" w:hAnsi="Courier New"/>
                <w:sz w:val="18"/>
                <w:szCs w:val="18"/>
                <w:color w:val="auto"/>
              </w:rPr>
              <w:t>Salary($)   Bonus($)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Underlying</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Year</w:t>
            </w:r>
          </w:p>
        </w:tc>
        <w:tc>
          <w:tcPr>
            <w:tcW w:w="2480" w:type="dxa"/>
            <w:vAlign w:val="bottom"/>
            <w:gridSpan w:val="2"/>
            <w:vMerge w:val="continue"/>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sation($)(2)</w:t>
            </w:r>
          </w:p>
        </w:tc>
        <w:tc>
          <w:tcPr>
            <w:tcW w:w="0" w:type="dxa"/>
            <w:vAlign w:val="bottom"/>
          </w:tcPr>
          <w:p>
            <w:pPr>
              <w:spacing w:after="0"/>
              <w:rPr>
                <w:sz w:val="1"/>
                <w:szCs w:val="1"/>
                <w:color w:val="auto"/>
              </w:rPr>
            </w:pPr>
          </w:p>
        </w:tc>
      </w:tr>
      <w:tr>
        <w:trPr>
          <w:trHeight w:val="296"/>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w w:val="99"/>
              </w:rPr>
              <w:t>Joel H. Reichman .............</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$3,671</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3,621</w:t>
            </w:r>
          </w:p>
        </w:tc>
        <w:tc>
          <w:tcPr>
            <w:tcW w:w="0" w:type="dxa"/>
            <w:vAlign w:val="bottom"/>
          </w:tcPr>
          <w:p>
            <w:pPr>
              <w:spacing w:after="0"/>
              <w:rPr>
                <w:sz w:val="1"/>
                <w:szCs w:val="1"/>
                <w:color w:val="auto"/>
              </w:rPr>
            </w:pPr>
          </w:p>
        </w:tc>
      </w:tr>
      <w:tr>
        <w:trPr>
          <w:trHeight w:val="296"/>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Executive Officer</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375,000</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2,451</w:t>
            </w:r>
          </w:p>
        </w:tc>
        <w:tc>
          <w:tcPr>
            <w:tcW w:w="0" w:type="dxa"/>
            <w:vAlign w:val="bottom"/>
          </w:tcPr>
          <w:p>
            <w:pPr>
              <w:spacing w:after="0"/>
              <w:rPr>
                <w:sz w:val="1"/>
                <w:szCs w:val="1"/>
                <w:color w:val="auto"/>
              </w:rPr>
            </w:pPr>
          </w:p>
        </w:tc>
      </w:tr>
      <w:tr>
        <w:trPr>
          <w:trHeight w:val="311"/>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w w:val="99"/>
              </w:rPr>
              <w:t>Scott N. Semel ...............</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$3,610</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3,566</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290,000</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3,472</w:t>
            </w:r>
          </w:p>
        </w:tc>
        <w:tc>
          <w:tcPr>
            <w:tcW w:w="0" w:type="dxa"/>
            <w:vAlign w:val="bottom"/>
          </w:tcPr>
          <w:p>
            <w:pPr>
              <w:spacing w:after="0"/>
              <w:rPr>
                <w:sz w:val="1"/>
                <w:szCs w:val="1"/>
                <w:color w:val="auto"/>
              </w:rPr>
            </w:pPr>
          </w:p>
        </w:tc>
      </w:tr>
      <w:tr>
        <w:trPr>
          <w:trHeight w:val="296"/>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Secretary(3)</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Carolyn R. Faulkner ...........</w:t>
            </w:r>
          </w:p>
        </w:tc>
        <w:tc>
          <w:tcPr>
            <w:tcW w:w="940" w:type="dxa"/>
            <w:vAlign w:val="bottom"/>
          </w:tcPr>
          <w:p>
            <w:pPr>
              <w:jc w:val="center"/>
              <w:ind w:right="12"/>
              <w:spacing w:after="0"/>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$210,000</w:t>
            </w:r>
          </w:p>
        </w:tc>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$3,497</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Vice President, Chief</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210,000</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3,453</w:t>
            </w:r>
          </w:p>
        </w:tc>
        <w:tc>
          <w:tcPr>
            <w:tcW w:w="0" w:type="dxa"/>
            <w:vAlign w:val="bottom"/>
          </w:tcPr>
          <w:p>
            <w:pPr>
              <w:spacing w:after="0"/>
              <w:rPr>
                <w:sz w:val="1"/>
                <w:szCs w:val="1"/>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 and</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158,808</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2,412</w:t>
            </w:r>
          </w:p>
        </w:tc>
        <w:tc>
          <w:tcPr>
            <w:tcW w:w="0" w:type="dxa"/>
            <w:vAlign w:val="bottom"/>
          </w:tcPr>
          <w:p>
            <w:pPr>
              <w:spacing w:after="0"/>
              <w:rPr>
                <w:sz w:val="1"/>
                <w:szCs w:val="1"/>
                <w:color w:val="auto"/>
              </w:rPr>
            </w:pPr>
          </w:p>
        </w:tc>
      </w:tr>
      <w:tr>
        <w:trPr>
          <w:trHeight w:val="296"/>
        </w:trPr>
        <w:tc>
          <w:tcPr>
            <w:tcW w:w="3380" w:type="dxa"/>
            <w:vAlign w:val="bottom"/>
          </w:tcPr>
          <w:p>
            <w:pPr>
              <w:ind w:left="320"/>
              <w:spacing w:after="0"/>
              <w:rPr>
                <w:sz w:val="20"/>
                <w:szCs w:val="20"/>
                <w:color w:val="auto"/>
              </w:rPr>
            </w:pPr>
            <w:r>
              <w:rPr>
                <w:rFonts w:ascii="Courier New" w:cs="Courier New" w:eastAsia="Courier New" w:hAnsi="Courier New"/>
                <w:sz w:val="18"/>
                <w:szCs w:val="18"/>
                <w:color w:val="auto"/>
              </w:rPr>
              <w:t>Treasurer(4)</w:t>
            </w: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______________________</w:t>
      </w:r>
    </w:p>
    <w:p>
      <w:pPr>
        <w:spacing w:after="0" w:line="31" w:lineRule="exact"/>
        <w:rPr>
          <w:sz w:val="20"/>
          <w:szCs w:val="20"/>
          <w:color w:val="auto"/>
        </w:rPr>
      </w:pPr>
    </w:p>
    <w:p>
      <w:pPr>
        <w:ind w:left="640" w:right="2199" w:hanging="527"/>
        <w:spacing w:after="0" w:line="238"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described in this table or the footnotes to this table, the Company did not pay any Named Executive Officer any compensation, including incidental personal benefits, in excess of 10% of such Named Executive Officer's base salary.</w:t>
      </w:r>
    </w:p>
    <w:p>
      <w:pPr>
        <w:spacing w:after="0" w:line="1" w:lineRule="exact"/>
        <w:rPr>
          <w:rFonts w:ascii="Courier New" w:cs="Courier New" w:eastAsia="Courier New" w:hAnsi="Courier New"/>
          <w:sz w:val="18"/>
          <w:szCs w:val="18"/>
          <w:color w:val="auto"/>
        </w:rPr>
      </w:pPr>
    </w:p>
    <w:p>
      <w:pPr>
        <w:ind w:left="640" w:right="2319" w:hanging="527"/>
        <w:spacing w:after="0" w:line="295" w:lineRule="auto"/>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disclosed in this column covering fiscal year 1998 represent: (i) payments by the Company of insurance premiums for term life insurance for the benefit of the executive officers (Mr. Reichman, $471; Mr. Semel, $410; and Mrs. Faulkner, $297); and (ii) matching contributions equal to $3,200 that were made by the Company</w:t>
      </w:r>
    </w:p>
    <w:p>
      <w:pPr>
        <w:sectPr>
          <w:pgSz w:w="11900" w:h="16852" w:orient="portrait"/>
          <w:cols w:equalWidth="0" w:num="1">
            <w:col w:w="10219"/>
          </w:cols>
          <w:pgMar w:left="240" w:top="312" w:right="1440" w:bottom="0" w:gutter="0" w:footer="0" w:header="0"/>
        </w:sectPr>
      </w:pPr>
    </w:p>
    <w:bookmarkStart w:id="9" w:name="page10"/>
    <w:bookmarkEnd w:id="9"/>
    <w:p>
      <w:pPr>
        <w:ind w:left="640" w:right="2319"/>
        <w:spacing w:after="0" w:line="247" w:lineRule="auto"/>
        <w:rPr>
          <w:sz w:val="20"/>
          <w:szCs w:val="20"/>
          <w:color w:val="auto"/>
        </w:rPr>
      </w:pPr>
      <w:r>
        <w:rPr>
          <w:rFonts w:ascii="Courier New" w:cs="Courier New" w:eastAsia="Courier New" w:hAnsi="Courier New"/>
          <w:sz w:val="18"/>
          <w:szCs w:val="18"/>
          <w:color w:val="auto"/>
        </w:rPr>
        <w:t>for the benefit of each of the Named Executive Officers to the Company's retirement plan (the "401(k) Plan") established pursuant to Section 401(k) of the Internal Revenue Code of 1986, as amended (the "Internal Revenue Code").</w:t>
      </w:r>
    </w:p>
    <w:p>
      <w:pPr>
        <w:spacing w:after="0" w:line="3" w:lineRule="exact"/>
        <w:rPr>
          <w:sz w:val="20"/>
          <w:szCs w:val="20"/>
          <w:color w:val="auto"/>
        </w:rPr>
      </w:pPr>
    </w:p>
    <w:p>
      <w:pPr>
        <w:ind w:left="640" w:right="2199" w:hanging="527"/>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Semel was elected Executive Vice President of the Company on April 17, 1996.</w:t>
      </w:r>
    </w:p>
    <w:p>
      <w:pPr>
        <w:ind w:left="640" w:right="2319" w:hanging="527"/>
        <w:spacing w:after="0" w:line="273"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Faulkner was elected Chief Financial Officer of the Company on July 16, 1996 and was elected Treasurer of the Company on January 20, 1998.</w:t>
      </w:r>
    </w:p>
    <w:p>
      <w:pPr>
        <w:spacing w:after="0" w:line="2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OPTIONS/SAR GRANTS</w:t>
      </w:r>
    </w:p>
    <w:p>
      <w:pPr>
        <w:spacing w:after="0" w:line="201" w:lineRule="exact"/>
        <w:rPr>
          <w:sz w:val="20"/>
          <w:szCs w:val="20"/>
          <w:color w:val="auto"/>
        </w:rPr>
      </w:pPr>
    </w:p>
    <w:p>
      <w:pPr>
        <w:ind w:left="120" w:right="2199" w:firstLine="527"/>
        <w:spacing w:after="0" w:line="347" w:lineRule="auto"/>
        <w:rPr>
          <w:sz w:val="20"/>
          <w:szCs w:val="20"/>
          <w:color w:val="auto"/>
        </w:rPr>
      </w:pPr>
      <w:r>
        <w:rPr>
          <w:rFonts w:ascii="Courier New" w:cs="Courier New" w:eastAsia="Courier New" w:hAnsi="Courier New"/>
          <w:sz w:val="18"/>
          <w:szCs w:val="18"/>
          <w:color w:val="auto"/>
        </w:rPr>
        <w:t>The Company did not grant any stock options during fiscal year 1998 to any of the Named Executive Officers.</w:t>
      </w:r>
    </w:p>
    <w:p>
      <w:pPr>
        <w:spacing w:after="0" w:line="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 EXERCISES AND FISCAL YEAR-END VALUES</w:t>
      </w:r>
    </w:p>
    <w:p>
      <w:pPr>
        <w:spacing w:after="0" w:line="201" w:lineRule="exact"/>
        <w:rPr>
          <w:sz w:val="20"/>
          <w:szCs w:val="20"/>
          <w:color w:val="auto"/>
        </w:rPr>
      </w:pPr>
    </w:p>
    <w:p>
      <w:pPr>
        <w:ind w:left="120" w:right="2419" w:firstLine="527"/>
        <w:spacing w:after="0" w:line="274" w:lineRule="auto"/>
        <w:rPr>
          <w:sz w:val="20"/>
          <w:szCs w:val="20"/>
          <w:color w:val="auto"/>
        </w:rPr>
      </w:pPr>
      <w:r>
        <w:rPr>
          <w:rFonts w:ascii="Courier New" w:cs="Courier New" w:eastAsia="Courier New" w:hAnsi="Courier New"/>
          <w:sz w:val="18"/>
          <w:szCs w:val="18"/>
          <w:color w:val="auto"/>
        </w:rPr>
        <w:t>The following Fiscal Year-End Option Table sets forth certain information regarding stock options held as of January 30, 1999 by the Named Executive Officers. None of the Named Executive Officers exercised any stock options during fiscal year 1998:</w:t>
      </w:r>
    </w:p>
    <w:p>
      <w:pPr>
        <w:spacing w:after="0" w:line="8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306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Common Stock</w:t>
            </w:r>
          </w:p>
        </w:tc>
        <w:tc>
          <w:tcPr>
            <w:tcW w:w="294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Value of Unexercised</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Underlying Unexercised</w:t>
            </w:r>
          </w:p>
        </w:tc>
        <w:tc>
          <w:tcPr>
            <w:tcW w:w="2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Options Held at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In-the-Money Options Held</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30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Fiscal Year-End(1)</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 Fiscal Year-End($) (2)</w:t>
            </w:r>
          </w:p>
        </w:tc>
        <w:tc>
          <w:tcPr>
            <w:tcW w:w="0" w:type="dxa"/>
            <w:vAlign w:val="bottom"/>
          </w:tcPr>
          <w:p>
            <w:pPr>
              <w:spacing w:after="0"/>
              <w:rPr>
                <w:sz w:val="1"/>
                <w:szCs w:val="1"/>
                <w:color w:val="auto"/>
              </w:rPr>
            </w:pPr>
          </w:p>
        </w:tc>
      </w:tr>
      <w:tr>
        <w:trPr>
          <w:trHeight w:val="203"/>
        </w:trPr>
        <w:tc>
          <w:tcPr>
            <w:tcW w:w="21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0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Exercisable</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Unexercisable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Exercisable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Unexercisable</w:t>
            </w: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H. Reichman</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303,166</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229,334</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N. Semel</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229,166</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133,334</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42,333</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73,667</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31" w:lineRule="exact"/>
        <w:rPr>
          <w:sz w:val="20"/>
          <w:szCs w:val="20"/>
          <w:color w:val="auto"/>
        </w:rPr>
      </w:pPr>
    </w:p>
    <w:p>
      <w:pPr>
        <w:ind w:left="640" w:right="2199" w:hanging="527"/>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270,000, 150,000 and 80,000 options for Mr. Reichman, Mr. Semel and Mrs. Faulkner, respectively, which are subject to forfeiture if the per share price of Common Stock does not close at or above $12.00 for at least five trading days ending on or prior to April 28, 2002.</w:t>
      </w:r>
    </w:p>
    <w:p>
      <w:pPr>
        <w:spacing w:after="0" w:line="1" w:lineRule="exact"/>
        <w:rPr>
          <w:rFonts w:ascii="Courier New" w:cs="Courier New" w:eastAsia="Courier New" w:hAnsi="Courier New"/>
          <w:sz w:val="18"/>
          <w:szCs w:val="18"/>
          <w:color w:val="auto"/>
        </w:rPr>
      </w:pPr>
    </w:p>
    <w:p>
      <w:pPr>
        <w:ind w:left="640" w:right="2199" w:hanging="527"/>
        <w:spacing w:after="0" w:line="25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means the difference between the option exercise price and the market value, as of the fiscal year-end, of the shares of Common Stock acquired upon exercise. Based on the last sale price of Common Stock ($2.81 per share) on Friday, January 29, 1999, as reported by The Nasdaq Stock Market, less the applicable option exercise price, no option held by a Named Executive Officer was "in the money" as of the end of fiscal year 1998.</w:t>
      </w:r>
    </w:p>
    <w:p>
      <w:pPr>
        <w:spacing w:after="0" w:line="3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ind w:left="120" w:right="2199" w:firstLine="527"/>
        <w:spacing w:after="0" w:line="283" w:lineRule="auto"/>
        <w:rPr>
          <w:sz w:val="20"/>
          <w:szCs w:val="20"/>
          <w:color w:val="auto"/>
        </w:rPr>
      </w:pPr>
      <w:r>
        <w:rPr>
          <w:rFonts w:ascii="Courier New" w:cs="Courier New" w:eastAsia="Courier New" w:hAnsi="Courier New"/>
          <w:sz w:val="16"/>
          <w:szCs w:val="16"/>
          <w:color w:val="auto"/>
        </w:rPr>
        <w:t>The Company entered into employment agreements, effective as of October 16, 1995, with each of Joel H. Reichman and Scott N. Semel for three-year terms ending October 15, 1998, and an employment agreement, effective as of May 9, 1997, with Carolyn R. Faulkner for a three-year term ending May 8, 2000. Each of these employment agreements (collectively, the "Employment Agreements") provides for automatic renewal for successive one-year terms unless either party notifies the other to the contrary at least 90 days prior to expiration of the then current term. Each of Mr. Reichman's and Mr. Semel's employment agreements renewed pursuant to this automatic renewal provision as of October 15, 1998 and will renew again pursuant to such provision on October 15, 1999.</w:t>
      </w:r>
    </w:p>
    <w:p>
      <w:pPr>
        <w:spacing w:after="0" w:line="29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Employment Agreements require each executive officer to devote</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substantially all of the executive officer's time and attention to the</w:t>
      </w:r>
    </w:p>
    <w:p>
      <w:pPr>
        <w:ind w:left="120"/>
        <w:spacing w:after="0"/>
        <w:rPr>
          <w:sz w:val="20"/>
          <w:szCs w:val="20"/>
          <w:color w:val="auto"/>
        </w:rPr>
      </w:pPr>
      <w:r>
        <w:rPr>
          <w:rFonts w:ascii="Courier New" w:cs="Courier New" w:eastAsia="Courier New" w:hAnsi="Courier New"/>
          <w:sz w:val="16"/>
          <w:szCs w:val="16"/>
          <w:color w:val="auto"/>
        </w:rPr>
        <w:t>business of the Company as necessary to fulfill his or her duties. Pursuant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 the Employment Agreements, Messrs. Reichman and Semel and Mrs. Faulkner</w:t>
      </w:r>
    </w:p>
    <w:p>
      <w:pPr>
        <w:ind w:left="120"/>
        <w:spacing w:after="0" w:line="238" w:lineRule="auto"/>
        <w:rPr>
          <w:sz w:val="20"/>
          <w:szCs w:val="20"/>
          <w:color w:val="auto"/>
        </w:rPr>
      </w:pPr>
      <w:r>
        <w:rPr>
          <w:rFonts w:ascii="Courier New" w:cs="Courier New" w:eastAsia="Courier New" w:hAnsi="Courier New"/>
          <w:sz w:val="18"/>
          <w:szCs w:val="18"/>
          <w:color w:val="auto"/>
        </w:rPr>
        <w:t>were initially entitled to be paid base salary at an annual rate of</w:t>
      </w:r>
    </w:p>
    <w:p>
      <w:pPr>
        <w:ind w:left="120"/>
        <w:spacing w:after="0"/>
        <w:tabs>
          <w:tab w:leader="none" w:pos="5140" w:val="left"/>
        </w:tabs>
        <w:rPr>
          <w:sz w:val="20"/>
          <w:szCs w:val="20"/>
          <w:color w:val="auto"/>
        </w:rPr>
      </w:pPr>
      <w:r>
        <w:rPr>
          <w:rFonts w:ascii="Courier New" w:cs="Courier New" w:eastAsia="Courier New" w:hAnsi="Courier New"/>
          <w:sz w:val="18"/>
          <w:szCs w:val="18"/>
          <w:color w:val="auto"/>
        </w:rPr>
        <w:t>$375,000, $255,000 and $210,000, respectively.</w:t>
      </w:r>
      <w:r>
        <w:rPr>
          <w:sz w:val="20"/>
          <w:szCs w:val="20"/>
          <w:color w:val="auto"/>
        </w:rPr>
        <w:tab/>
      </w:r>
      <w:r>
        <w:rPr>
          <w:rFonts w:ascii="Courier New" w:cs="Courier New" w:eastAsia="Courier New" w:hAnsi="Courier New"/>
          <w:sz w:val="16"/>
          <w:szCs w:val="16"/>
          <w:color w:val="auto"/>
        </w:rPr>
        <w:t>The Employment Agreements</w:t>
      </w:r>
    </w:p>
    <w:p>
      <w:pPr>
        <w:ind w:left="120"/>
        <w:spacing w:after="0" w:line="238" w:lineRule="auto"/>
        <w:rPr>
          <w:sz w:val="20"/>
          <w:szCs w:val="20"/>
          <w:color w:val="auto"/>
        </w:rPr>
      </w:pPr>
      <w:r>
        <w:rPr>
          <w:rFonts w:ascii="Courier New" w:cs="Courier New" w:eastAsia="Courier New" w:hAnsi="Courier New"/>
          <w:sz w:val="18"/>
          <w:szCs w:val="18"/>
          <w:color w:val="auto"/>
        </w:rPr>
        <w:t>provide that the executive officers' annual rate of base salary for the</w:t>
      </w:r>
    </w:p>
    <w:p>
      <w:pPr>
        <w:ind w:left="120"/>
        <w:spacing w:after="0"/>
        <w:rPr>
          <w:sz w:val="20"/>
          <w:szCs w:val="20"/>
          <w:color w:val="auto"/>
        </w:rPr>
      </w:pPr>
      <w:r>
        <w:rPr>
          <w:rFonts w:ascii="Courier New" w:cs="Courier New" w:eastAsia="Courier New" w:hAnsi="Courier New"/>
          <w:sz w:val="18"/>
          <w:szCs w:val="18"/>
          <w:color w:val="auto"/>
        </w:rPr>
        <w:t>remaining years of employment may be increased by the Compensation</w:t>
      </w:r>
    </w:p>
    <w:p>
      <w:pPr>
        <w:ind w:left="120"/>
        <w:spacing w:after="0"/>
        <w:tabs>
          <w:tab w:leader="none" w:pos="3780" w:val="left"/>
        </w:tabs>
        <w:rPr>
          <w:sz w:val="20"/>
          <w:szCs w:val="20"/>
          <w:color w:val="auto"/>
        </w:rPr>
      </w:pPr>
      <w:r>
        <w:rPr>
          <w:rFonts w:ascii="Courier New" w:cs="Courier New" w:eastAsia="Courier New" w:hAnsi="Courier New"/>
          <w:sz w:val="18"/>
          <w:szCs w:val="18"/>
          <w:color w:val="auto"/>
        </w:rPr>
        <w:t>Committee in its sole discretion.</w:t>
      </w:r>
      <w:r>
        <w:rPr>
          <w:sz w:val="20"/>
          <w:szCs w:val="20"/>
          <w:color w:val="auto"/>
        </w:rPr>
        <w:tab/>
      </w:r>
      <w:r>
        <w:rPr>
          <w:rFonts w:ascii="Courier New" w:cs="Courier New" w:eastAsia="Courier New" w:hAnsi="Courier New"/>
          <w:sz w:val="16"/>
          <w:szCs w:val="16"/>
          <w:color w:val="auto"/>
        </w:rPr>
        <w:t>The Employment Agreements further</w:t>
      </w:r>
    </w:p>
    <w:p>
      <w:pPr>
        <w:ind w:left="120"/>
        <w:spacing w:after="0"/>
        <w:rPr>
          <w:sz w:val="20"/>
          <w:szCs w:val="20"/>
          <w:color w:val="auto"/>
        </w:rPr>
      </w:pPr>
      <w:r>
        <w:rPr>
          <w:rFonts w:ascii="Courier New" w:cs="Courier New" w:eastAsia="Courier New" w:hAnsi="Courier New"/>
          <w:sz w:val="18"/>
          <w:szCs w:val="18"/>
          <w:color w:val="auto"/>
        </w:rPr>
        <w:t>provide that, effective as of the first day of each fiscal year of the</w:t>
      </w:r>
    </w:p>
    <w:p>
      <w:pPr>
        <w:ind w:left="120"/>
        <w:spacing w:after="0" w:line="238" w:lineRule="auto"/>
        <w:rPr>
          <w:sz w:val="20"/>
          <w:szCs w:val="20"/>
          <w:color w:val="auto"/>
        </w:rPr>
      </w:pPr>
      <w:r>
        <w:rPr>
          <w:rFonts w:ascii="Courier New" w:cs="Courier New" w:eastAsia="Courier New" w:hAnsi="Courier New"/>
          <w:sz w:val="18"/>
          <w:szCs w:val="18"/>
          <w:color w:val="auto"/>
        </w:rPr>
        <w:t>Company, each executive officer's annual rate of base salary will be</w:t>
      </w:r>
    </w:p>
    <w:p>
      <w:pPr>
        <w:ind w:left="120"/>
        <w:spacing w:after="0"/>
        <w:rPr>
          <w:sz w:val="20"/>
          <w:szCs w:val="20"/>
          <w:color w:val="auto"/>
        </w:rPr>
      </w:pPr>
      <w:r>
        <w:rPr>
          <w:rFonts w:ascii="Courier New" w:cs="Courier New" w:eastAsia="Courier New" w:hAnsi="Courier New"/>
          <w:sz w:val="18"/>
          <w:szCs w:val="18"/>
          <w:color w:val="auto"/>
        </w:rPr>
        <w:t>increased by at least the percentage increase in the cost of living in</w:t>
      </w:r>
    </w:p>
    <w:p>
      <w:pPr>
        <w:ind w:left="120"/>
        <w:spacing w:after="0"/>
        <w:tabs>
          <w:tab w:leader="none" w:pos="26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Each of Messrs. Reichman and Semel and Mrs.</w:t>
      </w:r>
    </w:p>
    <w:p>
      <w:pPr>
        <w:ind w:left="120"/>
        <w:spacing w:after="0"/>
        <w:tabs>
          <w:tab w:leader="none" w:pos="7580" w:val="left"/>
        </w:tabs>
        <w:rPr>
          <w:sz w:val="20"/>
          <w:szCs w:val="20"/>
          <w:color w:val="auto"/>
        </w:rPr>
      </w:pPr>
      <w:r>
        <w:rPr>
          <w:rFonts w:ascii="Courier New" w:cs="Courier New" w:eastAsia="Courier New" w:hAnsi="Courier New"/>
          <w:sz w:val="18"/>
          <w:szCs w:val="18"/>
          <w:color w:val="auto"/>
        </w:rPr>
        <w:t>Faulkner waived their right to receive this increase for fiscal 1998.</w:t>
      </w:r>
      <w:r>
        <w:rPr>
          <w:sz w:val="20"/>
          <w:szCs w:val="20"/>
          <w:color w:val="auto"/>
        </w:rPr>
        <w:tab/>
      </w:r>
      <w:r>
        <w:rPr>
          <w:rFonts w:ascii="Courier New" w:cs="Courier New" w:eastAsia="Courier New" w:hAnsi="Courier New"/>
          <w:sz w:val="16"/>
          <w:szCs w:val="16"/>
          <w:color w:val="auto"/>
        </w:rPr>
        <w:t>The</w:t>
      </w:r>
    </w:p>
    <w:p>
      <w:pPr>
        <w:ind w:left="120"/>
        <w:spacing w:after="0" w:line="238" w:lineRule="auto"/>
        <w:rPr>
          <w:sz w:val="20"/>
          <w:szCs w:val="20"/>
          <w:color w:val="auto"/>
        </w:rPr>
      </w:pPr>
      <w:r>
        <w:rPr>
          <w:rFonts w:ascii="Courier New" w:cs="Courier New" w:eastAsia="Courier New" w:hAnsi="Courier New"/>
          <w:sz w:val="18"/>
          <w:szCs w:val="18"/>
          <w:color w:val="auto"/>
        </w:rPr>
        <w:t>Employment Agreements also provide for the payment of bonuses in such</w:t>
      </w:r>
    </w:p>
    <w:p>
      <w:pPr>
        <w:ind w:left="120"/>
        <w:spacing w:after="0"/>
        <w:tabs>
          <w:tab w:leader="none" w:pos="6520" w:val="left"/>
        </w:tabs>
        <w:rPr>
          <w:sz w:val="20"/>
          <w:szCs w:val="20"/>
          <w:color w:val="auto"/>
        </w:rPr>
      </w:pPr>
      <w:r>
        <w:rPr>
          <w:rFonts w:ascii="Courier New" w:cs="Courier New" w:eastAsia="Courier New" w:hAnsi="Courier New"/>
          <w:sz w:val="18"/>
          <w:szCs w:val="18"/>
          <w:color w:val="auto"/>
        </w:rPr>
        <w:t>amounts as may be determined by the Compensation Committee.</w:t>
      </w:r>
      <w:r>
        <w:rPr>
          <w:sz w:val="20"/>
          <w:szCs w:val="20"/>
          <w:color w:val="auto"/>
        </w:rPr>
        <w:tab/>
      </w:r>
      <w:r>
        <w:rPr>
          <w:rFonts w:ascii="Courier New" w:cs="Courier New" w:eastAsia="Courier New" w:hAnsi="Courier New"/>
          <w:sz w:val="16"/>
          <w:szCs w:val="16"/>
          <w:color w:val="auto"/>
        </w:rPr>
        <w:t>While an</w:t>
      </w:r>
    </w:p>
    <w:p>
      <w:pPr>
        <w:ind w:left="120"/>
        <w:spacing w:after="0" w:line="238" w:lineRule="auto"/>
        <w:rPr>
          <w:sz w:val="20"/>
          <w:szCs w:val="20"/>
          <w:color w:val="auto"/>
        </w:rPr>
      </w:pPr>
      <w:r>
        <w:rPr>
          <w:rFonts w:ascii="Courier New" w:cs="Courier New" w:eastAsia="Courier New" w:hAnsi="Courier New"/>
          <w:sz w:val="18"/>
          <w:szCs w:val="18"/>
          <w:color w:val="auto"/>
        </w:rPr>
        <w:t>executive officer is employed by the Company, the Company provides the</w:t>
      </w:r>
    </w:p>
    <w:p>
      <w:pPr>
        <w:ind w:left="120"/>
        <w:spacing w:after="0"/>
        <w:rPr>
          <w:sz w:val="20"/>
          <w:szCs w:val="20"/>
          <w:color w:val="auto"/>
        </w:rPr>
      </w:pPr>
      <w:r>
        <w:rPr>
          <w:rFonts w:ascii="Courier New" w:cs="Courier New" w:eastAsia="Courier New" w:hAnsi="Courier New"/>
          <w:sz w:val="18"/>
          <w:szCs w:val="18"/>
          <w:color w:val="auto"/>
        </w:rPr>
        <w:t>executive officer with a full-size automobile for the executive officer's</w:t>
      </w:r>
    </w:p>
    <w:p>
      <w:pPr>
        <w:sectPr>
          <w:pgSz w:w="11900" w:h="16838" w:orient="portrait"/>
          <w:cols w:equalWidth="0" w:num="1">
            <w:col w:w="10219"/>
          </w:cols>
          <w:pgMar w:left="240" w:top="110" w:right="1440" w:bottom="0" w:gutter="0" w:footer="0" w:header="0"/>
        </w:sectPr>
      </w:pPr>
    </w:p>
    <w:bookmarkStart w:id="10" w:name="page11"/>
    <w:bookmarkEnd w:id="10"/>
    <w:p>
      <w:pPr>
        <w:ind w:right="2199"/>
        <w:spacing w:after="0" w:line="253" w:lineRule="auto"/>
        <w:rPr>
          <w:sz w:val="20"/>
          <w:szCs w:val="20"/>
          <w:color w:val="auto"/>
        </w:rPr>
      </w:pPr>
      <w:r>
        <w:rPr>
          <w:rFonts w:ascii="Courier New" w:cs="Courier New" w:eastAsia="Courier New" w:hAnsi="Courier New"/>
          <w:sz w:val="18"/>
          <w:szCs w:val="18"/>
          <w:color w:val="auto"/>
        </w:rPr>
        <w:t>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4"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two.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two years.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199" w:firstLine="527"/>
        <w:spacing w:after="0" w:line="276" w:lineRule="auto"/>
        <w:rPr>
          <w:sz w:val="20"/>
          <w:szCs w:val="20"/>
          <w:color w:val="auto"/>
        </w:rPr>
      </w:pPr>
      <w:r>
        <w:rPr>
          <w:rFonts w:ascii="Courier New" w:cs="Courier New" w:eastAsia="Courier New" w:hAnsi="Courier New"/>
          <w:sz w:val="16"/>
          <w:szCs w:val="16"/>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300" w:lineRule="exact"/>
        <w:rPr>
          <w:sz w:val="20"/>
          <w:szCs w:val="20"/>
          <w:color w:val="auto"/>
        </w:rPr>
      </w:pPr>
    </w:p>
    <w:p>
      <w:pPr>
        <w:ind w:right="2319" w:firstLine="527"/>
        <w:spacing w:after="0" w:line="252" w:lineRule="auto"/>
        <w:rPr>
          <w:sz w:val="20"/>
          <w:szCs w:val="20"/>
          <w:color w:val="auto"/>
        </w:rPr>
      </w:pPr>
      <w:r>
        <w:rPr>
          <w:rFonts w:ascii="Courier New" w:cs="Courier New" w:eastAsia="Courier New" w:hAnsi="Courier New"/>
          <w:sz w:val="18"/>
          <w:szCs w:val="18"/>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99"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 14(d)(2) of the Exchange Act) becomes the beneficial owner (within the meaning of Rule 13d-3 promulgated under the Exchange Act)</w:t>
      </w:r>
    </w:p>
    <w:p>
      <w:pPr>
        <w:sectPr>
          <w:pgSz w:w="11900" w:h="16838" w:orient="portrait"/>
          <w:cols w:equalWidth="0" w:num="1">
            <w:col w:w="10099"/>
          </w:cols>
          <w:pgMar w:left="360" w:top="110" w:right="1440" w:bottom="0" w:gutter="0" w:footer="0" w:header="0"/>
        </w:sectPr>
      </w:pPr>
    </w:p>
    <w:bookmarkStart w:id="11" w:name="page12"/>
    <w:bookmarkEnd w:id="11"/>
    <w:p>
      <w:pPr>
        <w:ind w:right="2419"/>
        <w:spacing w:after="0" w:line="252" w:lineRule="auto"/>
        <w:rPr>
          <w:sz w:val="20"/>
          <w:szCs w:val="20"/>
          <w:color w:val="auto"/>
        </w:rPr>
      </w:pPr>
      <w:r>
        <w:rPr>
          <w:rFonts w:ascii="Courier New" w:cs="Courier New" w:eastAsia="Courier New" w:hAnsi="Courier New"/>
          <w:sz w:val="18"/>
          <w:szCs w:val="18"/>
          <w:color w:val="auto"/>
        </w:rPr>
        <w:t>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99" w:lineRule="exact"/>
        <w:rPr>
          <w:sz w:val="20"/>
          <w:szCs w:val="20"/>
          <w:color w:val="auto"/>
        </w:rPr>
      </w:pPr>
    </w:p>
    <w:p>
      <w:pPr>
        <w:ind w:right="2199" w:firstLine="527"/>
        <w:spacing w:after="0" w:line="248" w:lineRule="auto"/>
        <w:rPr>
          <w:sz w:val="20"/>
          <w:szCs w:val="20"/>
          <w:color w:val="auto"/>
        </w:rPr>
      </w:pPr>
      <w:r>
        <w:rPr>
          <w:rFonts w:ascii="Courier New" w:cs="Courier New" w:eastAsia="Courier New" w:hAnsi="Courier New"/>
          <w:sz w:val="18"/>
          <w:szCs w:val="18"/>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105" w:lineRule="exact"/>
        <w:rPr>
          <w:sz w:val="20"/>
          <w:szCs w:val="20"/>
          <w:color w:val="auto"/>
        </w:rPr>
      </w:pPr>
    </w:p>
    <w:p>
      <w:pPr>
        <w:ind w:right="2199" w:firstLine="527"/>
        <w:spacing w:after="0" w:line="283" w:lineRule="auto"/>
        <w:rPr>
          <w:sz w:val="20"/>
          <w:szCs w:val="20"/>
          <w:color w:val="auto"/>
        </w:rPr>
      </w:pPr>
      <w:r>
        <w:rPr>
          <w:rFonts w:ascii="Courier New" w:cs="Courier New" w:eastAsia="Courier New" w:hAnsi="Courier New"/>
          <w:sz w:val="16"/>
          <w:szCs w:val="16"/>
          <w:color w:val="auto"/>
        </w:rPr>
        <w:t>In May 1999, the Company established a trust (the "Trust") for the purpose of securing already existing obligations of the Company to Messrs. Reichman and Semel and Mrs. Faulkner (the "Trust Executives") under the Employment Agreements, the "Indemnification Agreements" (as defined below under "Additional Information Concerning Executive Compensation Limitation of Liability; Indemnification") and the Company's By-Laws. The Company deposited $2.3 million in the Trust for these obligations. The funds will be held in the Trust to pay the amounts due under the Employment Agreements to the Trust Executives in the event of a Change in Control of the Company and also to pay any amounts due to the Trust Executives pursuant to the Indemnification Agreements or the Company's By-Laws.</w:t>
      </w:r>
    </w:p>
    <w:p>
      <w:pPr>
        <w:spacing w:after="0" w:line="294" w:lineRule="exact"/>
        <w:rPr>
          <w:sz w:val="20"/>
          <w:szCs w:val="20"/>
          <w:color w:val="auto"/>
        </w:rPr>
      </w:pPr>
    </w:p>
    <w:p>
      <w:pPr>
        <w:ind w:right="2319" w:firstLine="527"/>
        <w:spacing w:after="0" w:line="246" w:lineRule="auto"/>
        <w:rPr>
          <w:sz w:val="20"/>
          <w:szCs w:val="20"/>
          <w:color w:val="auto"/>
        </w:rPr>
      </w:pPr>
      <w:r>
        <w:rPr>
          <w:rFonts w:ascii="Courier New" w:cs="Courier New" w:eastAsia="Courier New" w:hAnsi="Courier New"/>
          <w:sz w:val="18"/>
          <w:szCs w:val="18"/>
          <w:color w:val="auto"/>
        </w:rPr>
        <w:t>The Trust may be revoked by the Company, and the funds withdrawn, after (i) November 11, 1999, if no Change in Control of the Company has occurred or (ii) a period of twenty-eight months following a Change in Control of the Company. On July 7, 1999, the Board of Directors of the Company adopted resolutions providing that the Trust will automatically be revoked, and the funds withdrawn, on November 12, 1999 if no Change in Control of the Company has occurred before such date. In addition, the \Trust may terminate on the date on which the Trust Executives and their beneficiaries are no longer entitled to benefits under the terms of the Employment Agreements, the Indemnification Agreements or the Company's By-Laws, unless sooner revoked by the Company as described above. The Trust may not be amended by the Company in any manner adverse to the Trust Executives and their beneficiaries following a Change in Control of the Company.</w:t>
      </w:r>
    </w:p>
    <w:p>
      <w:pPr>
        <w:spacing w:after="0" w:line="113" w:lineRule="exact"/>
        <w:rPr>
          <w:sz w:val="20"/>
          <w:szCs w:val="20"/>
          <w:color w:val="auto"/>
        </w:rPr>
      </w:pPr>
    </w:p>
    <w:p>
      <w:pPr>
        <w:ind w:right="2199" w:firstLine="527"/>
        <w:spacing w:after="0" w:line="249" w:lineRule="auto"/>
        <w:rPr>
          <w:sz w:val="20"/>
          <w:szCs w:val="20"/>
          <w:color w:val="auto"/>
        </w:rPr>
      </w:pPr>
      <w:r>
        <w:rPr>
          <w:rFonts w:ascii="Courier New" w:cs="Courier New" w:eastAsia="Courier New" w:hAnsi="Courier New"/>
          <w:sz w:val="18"/>
          <w:szCs w:val="18"/>
          <w:color w:val="auto"/>
        </w:rPr>
        <w:t>The Trust Executives have no preferred claim on, or any beneficial ownership interest in, any assets of the Trust. Any rights created under the Employment Agreements, the Indemnification Agreements or the Company's By-Laws and the Trust are unsecured contractual rights of the Trust Executives against the Company. Any assets of the Trust are subject to the claims of the Company's creditors in the event the Company becomes insolvent or in certain circumstances if the Lenders (as defined herein) accelerate time for payment under the Amended and Restated Loan and Security Agreement dated as of June 4, 1998, by and among the Company and BankBoston Retail Finance Inc. and Norwest Business Credit Inc. now known as Wells Fargo Business Credit Inc. (collectively, the "Lenders").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1" w:lineRule="exact"/>
        <w:rPr>
          <w:sz w:val="20"/>
          <w:szCs w:val="20"/>
          <w:color w:val="auto"/>
        </w:rPr>
      </w:pPr>
    </w:p>
    <w:p>
      <w:pPr>
        <w:ind w:right="2199" w:firstLine="527"/>
        <w:spacing w:after="0" w:line="283" w:lineRule="auto"/>
        <w:rPr>
          <w:sz w:val="20"/>
          <w:szCs w:val="20"/>
          <w:color w:val="auto"/>
        </w:rPr>
      </w:pPr>
      <w:r>
        <w:rPr>
          <w:rFonts w:ascii="Courier New" w:cs="Courier New" w:eastAsia="Courier New" w:hAnsi="Courier New"/>
          <w:sz w:val="16"/>
          <w:szCs w:val="16"/>
          <w:color w:val="auto"/>
        </w:rPr>
        <w:t>James G. Groninger, Bernard M. Manuel and Peter L. Thigpen served on the Compensation Committee during all of fiscal year 1998. Persons serving on the Compensation Committee had no relationships with the Company in fiscal year 1998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CONCERNING EXECUTIVE COMPENSATION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401(K) PLAN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On January 27, 1993, the Board of Directors adopted the 401(k) Plan.</w:t>
      </w:r>
    </w:p>
    <w:p>
      <w:pPr>
        <w:sectPr>
          <w:pgSz w:w="11900" w:h="16838" w:orient="portrait"/>
          <w:cols w:equalWidth="0" w:num="1">
            <w:col w:w="10099"/>
          </w:cols>
          <w:pgMar w:left="360" w:top="110" w:right="1440" w:bottom="0" w:gutter="0" w:footer="0" w:header="0"/>
        </w:sectPr>
      </w:pPr>
    </w:p>
    <w:bookmarkStart w:id="12" w:name="page13"/>
    <w:bookmarkEnd w:id="12"/>
    <w:p>
      <w:pPr>
        <w:ind w:right="2319"/>
        <w:spacing w:after="0" w:line="250" w:lineRule="auto"/>
        <w:rPr>
          <w:sz w:val="20"/>
          <w:szCs w:val="20"/>
          <w:color w:val="auto"/>
        </w:rPr>
      </w:pPr>
      <w:r>
        <w:rPr>
          <w:rFonts w:ascii="Courier New" w:cs="Courier New" w:eastAsia="Courier New" w:hAnsi="Courier New"/>
          <w:sz w:val="18"/>
          <w:szCs w:val="18"/>
          <w:color w:val="auto"/>
        </w:rPr>
        <w:t>All eligible employees of the Company are entitled to participate in the 401(k) Plan. The 401(k) Plan permits each participant to defer up to fifteen percent of such participant's annual salary up to a maximum annual amount ($9,500 in calendar year 1997 and $10,000 in calendar year 1998). The Board of Directors of the Company may determine, from fiscal year to fiscal year, whether and to what extent the Company will contribute to the 401(k) Plan by matching contributions made to the Plan by eligible employees. During fiscal year 1998, the matching contribution by the Company continued to be 50% of contributions by eligible employees up to a maximum of six percent of salary.</w:t>
      </w:r>
    </w:p>
    <w:p>
      <w:pPr>
        <w:spacing w:after="0" w:line="1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SENIOR EXECUTIVE INCENTIVE PLAN</w:t>
      </w:r>
    </w:p>
    <w:p>
      <w:pPr>
        <w:spacing w:after="0" w:line="201" w:lineRule="exact"/>
        <w:rPr>
          <w:sz w:val="20"/>
          <w:szCs w:val="20"/>
          <w:color w:val="auto"/>
        </w:rPr>
      </w:pPr>
    </w:p>
    <w:p>
      <w:pPr>
        <w:ind w:right="2519" w:firstLine="527"/>
        <w:spacing w:after="0" w:line="253" w:lineRule="auto"/>
        <w:rPr>
          <w:sz w:val="20"/>
          <w:szCs w:val="20"/>
          <w:color w:val="auto"/>
        </w:rPr>
      </w:pPr>
      <w:r>
        <w:rPr>
          <w:rFonts w:ascii="Courier New" w:cs="Courier New" w:eastAsia="Courier New" w:hAnsi="Courier New"/>
          <w:sz w:val="18"/>
          <w:szCs w:val="18"/>
          <w:color w:val="auto"/>
        </w:rPr>
        <w:t>The Company's Senior Executive Incentive Plan (the "SEIP") was initially adopted by the Board of Directors of the Company during fiscal year 1996. The SEIP is an incentive compensation plan under which executive officers of the Company may be eligible to receive annual cash bonus payments. The Compensation Committee determined that none of the Named Executive Officers were eligible to participate, and did not designate any Named Executive Officers as participants in the SEIP for fiscal 1998.</w:t>
      </w:r>
    </w:p>
    <w:p>
      <w:pPr>
        <w:spacing w:after="0" w:line="1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KEY MAN INSURANCE</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Company has obtained a key man life insurance policy in the amount of $2,000,000 on the life of Mr. Reichman. The Company pays the premium for such policy and is the sole beneficiary thereof.</w:t>
      </w:r>
    </w:p>
    <w:p>
      <w:pPr>
        <w:spacing w:after="0" w:line="6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1" w:lineRule="exact"/>
        <w:rPr>
          <w:sz w:val="20"/>
          <w:szCs w:val="20"/>
          <w:color w:val="auto"/>
        </w:rPr>
      </w:pPr>
    </w:p>
    <w:p>
      <w:pPr>
        <w:ind w:right="2199" w:firstLine="527"/>
        <w:spacing w:after="0" w:line="243" w:lineRule="auto"/>
        <w:rPr>
          <w:sz w:val="20"/>
          <w:szCs w:val="20"/>
          <w:color w:val="auto"/>
        </w:rPr>
      </w:pPr>
      <w:r>
        <w:rPr>
          <w:rFonts w:ascii="Courier New" w:cs="Courier New" w:eastAsia="Courier New" w:hAnsi="Courier New"/>
          <w:sz w:val="18"/>
          <w:szCs w:val="18"/>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21" w:lineRule="exact"/>
        <w:rPr>
          <w:sz w:val="20"/>
          <w:szCs w:val="20"/>
          <w:color w:val="auto"/>
        </w:rPr>
      </w:pPr>
    </w:p>
    <w:p>
      <w:pPr>
        <w:ind w:right="2419" w:firstLine="527"/>
        <w:spacing w:after="0" w:line="265" w:lineRule="auto"/>
        <w:rPr>
          <w:sz w:val="20"/>
          <w:szCs w:val="20"/>
          <w:color w:val="auto"/>
        </w:rPr>
      </w:pPr>
      <w:r>
        <w:rPr>
          <w:rFonts w:ascii="Courier New" w:cs="Courier New" w:eastAsia="Courier New" w:hAnsi="Courier New"/>
          <w:sz w:val="18"/>
          <w:szCs w:val="18"/>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90" w:lineRule="exact"/>
        <w:rPr>
          <w:sz w:val="20"/>
          <w:szCs w:val="20"/>
          <w:color w:val="auto"/>
        </w:rPr>
      </w:pPr>
    </w:p>
    <w:p>
      <w:pPr>
        <w:ind w:right="2199" w:firstLine="527"/>
        <w:spacing w:after="0" w:line="248" w:lineRule="auto"/>
        <w:rPr>
          <w:sz w:val="20"/>
          <w:szCs w:val="20"/>
          <w:color w:val="auto"/>
        </w:rPr>
      </w:pPr>
      <w:r>
        <w:rPr>
          <w:rFonts w:ascii="Courier New" w:cs="Courier New" w:eastAsia="Courier New" w:hAnsi="Courier New"/>
          <w:sz w:val="18"/>
          <w:szCs w:val="18"/>
          <w:color w:val="auto"/>
        </w:rPr>
        <w:t>On December 10, 1998, the Company's Board of Directors authorized the Company to enter into indemnification arrangements (the "Indemnification Agreements") with each of the Company's directors and executive officers (collectively, the "Indemnitees"). The Indemnification Agreements provide for the indemnification of, and advancing of expenses incurred by, each Indemnitee, by reason of any event or occurrence (an "Indemnificable Event") related to the fact that such Indemnitee is or was a director or officer of the Company. Such expenses include attorneys' fees and all other costs or obligations paid or incurred in connection with investigating, defending or being a witness in or preparing to defend, be a witness in or participate in, any claim relating to an Indemnificable Event.</w:t>
      </w:r>
    </w:p>
    <w:p>
      <w:pPr>
        <w:spacing w:after="0" w:line="308"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COMPENSATION COMMITTEE REPORT</w:t>
      </w:r>
    </w:p>
    <w:p>
      <w:pPr>
        <w:spacing w:after="0" w:line="201"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1998.</w:t>
      </w:r>
    </w:p>
    <w:p>
      <w:pPr>
        <w:spacing w:after="0" w:line="90"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COMPENSATION POLICIES</w:t>
      </w:r>
    </w:p>
    <w:p>
      <w:pPr>
        <w:sectPr>
          <w:pgSz w:w="11900" w:h="16838" w:orient="portrait"/>
          <w:cols w:equalWidth="0" w:num="1">
            <w:col w:w="10099"/>
          </w:cols>
          <w:pgMar w:left="360" w:top="110" w:right="1440" w:bottom="0" w:gutter="0" w:footer="0" w:header="0"/>
        </w:sectPr>
      </w:pPr>
    </w:p>
    <w:bookmarkStart w:id="13" w:name="page14"/>
    <w:bookmarkEnd w:id="13"/>
    <w:p>
      <w:pPr>
        <w:spacing w:after="0" w:line="23" w:lineRule="exact"/>
        <w:rPr>
          <w:sz w:val="20"/>
          <w:szCs w:val="20"/>
          <w:color w:val="auto"/>
        </w:rPr>
      </w:pPr>
    </w:p>
    <w:p>
      <w:pPr>
        <w:ind w:right="2199" w:firstLine="527"/>
        <w:spacing w:after="0" w:line="280" w:lineRule="auto"/>
        <w:rPr>
          <w:sz w:val="20"/>
          <w:szCs w:val="20"/>
          <w:color w:val="auto"/>
        </w:rPr>
      </w:pPr>
      <w:r>
        <w:rPr>
          <w:rFonts w:ascii="Courier New" w:cs="Courier New" w:eastAsia="Courier New" w:hAnsi="Courier New"/>
          <w:sz w:val="16"/>
          <w:szCs w:val="16"/>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may be earned by eligible executive officers under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90"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bases for determining the compensation of the Company's Chief Executive Officer, Joel H. Reichman, are described below.</w:t>
      </w:r>
    </w:p>
    <w:p>
      <w:pPr>
        <w:spacing w:after="0" w:line="93" w:lineRule="exact"/>
        <w:rPr>
          <w:sz w:val="20"/>
          <w:szCs w:val="20"/>
          <w:color w:val="auto"/>
        </w:rPr>
      </w:pPr>
    </w:p>
    <w:p>
      <w:pPr>
        <w:ind w:left="1040" w:hanging="520"/>
        <w:spacing w:after="0"/>
        <w:tabs>
          <w:tab w:leader="none" w:pos="10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COMPONENT: BASE SALARY AND ANNUAL BONUS</w:t>
      </w:r>
    </w:p>
    <w:p>
      <w:pPr>
        <w:spacing w:after="0" w:line="201"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Base Salary: The Employment Agreements described above specify initial base salaries and annual cost of living increases for the three executive officers who had such agreements in fiscal year 1998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retail apparel industry (the "Industry"). The Compensation Committee defines the Industry as public companies in the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Each of the three executive officers have declined to accept cost of living increases set forth in their Employment Agreements: Mr. Reichman has declined for the past three fiscal years, Mr. Semel has declined for the past two fiscal years and Mrs. Faulkner declined for fiscal year 1998.</w:t>
      </w:r>
    </w:p>
    <w:p>
      <w:pPr>
        <w:spacing w:after="0" w:line="200" w:lineRule="exact"/>
        <w:rPr>
          <w:sz w:val="20"/>
          <w:szCs w:val="20"/>
          <w:color w:val="auto"/>
        </w:rPr>
      </w:pPr>
    </w:p>
    <w:p>
      <w:pPr>
        <w:spacing w:after="0" w:line="306" w:lineRule="exact"/>
        <w:rPr>
          <w:sz w:val="20"/>
          <w:szCs w:val="20"/>
          <w:color w:val="auto"/>
        </w:rPr>
      </w:pPr>
    </w:p>
    <w:p>
      <w:pPr>
        <w:ind w:right="2199" w:firstLine="527"/>
        <w:spacing w:after="0" w:line="291" w:lineRule="auto"/>
        <w:rPr>
          <w:sz w:val="20"/>
          <w:szCs w:val="20"/>
          <w:color w:val="auto"/>
        </w:rPr>
      </w:pPr>
      <w:r>
        <w:rPr>
          <w:rFonts w:ascii="Courier New" w:cs="Courier New" w:eastAsia="Courier New" w:hAnsi="Courier New"/>
          <w:sz w:val="16"/>
          <w:szCs w:val="16"/>
          <w:color w:val="auto"/>
        </w:rPr>
        <w:t>Annual Bonus: The concept underlying the SEIP is to link compensation to the performance of the Company based on measurable corporate performance criteria. Generally, an executive officer's eligibility is determined based upon an assessment of such officer's performance during the previous fiscal year as well as other factors which members of the Compensation Committee may take into account. The Compensation Committee determined that none of the Named Executive Officers would be eligible to participate in the SEIP for fiscal year 1998.</w:t>
      </w:r>
    </w:p>
    <w:p>
      <w:pPr>
        <w:spacing w:after="0" w:line="285" w:lineRule="exact"/>
        <w:rPr>
          <w:sz w:val="20"/>
          <w:szCs w:val="20"/>
          <w:color w:val="auto"/>
        </w:rPr>
      </w:pPr>
    </w:p>
    <w:p>
      <w:pPr>
        <w:ind w:left="1040" w:hanging="520"/>
        <w:spacing w:after="0"/>
        <w:tabs>
          <w:tab w:leader="none" w:pos="10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COMPONENT: STOCK OPTIONS</w:t>
      </w:r>
    </w:p>
    <w:p>
      <w:pPr>
        <w:spacing w:after="0" w:line="201" w:lineRule="exact"/>
        <w:rPr>
          <w:sz w:val="20"/>
          <w:szCs w:val="20"/>
          <w:color w:val="auto"/>
        </w:rPr>
      </w:pPr>
    </w:p>
    <w:p>
      <w:pPr>
        <w:ind w:right="2199" w:firstLine="527"/>
        <w:spacing w:after="0" w:line="282"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291" w:lineRule="exact"/>
        <w:rPr>
          <w:sz w:val="20"/>
          <w:szCs w:val="20"/>
          <w:color w:val="auto"/>
        </w:rPr>
      </w:pPr>
    </w:p>
    <w:p>
      <w:pPr>
        <w:jc w:val="both"/>
        <w:ind w:right="3039" w:firstLine="527"/>
        <w:spacing w:after="0" w:line="292" w:lineRule="auto"/>
        <w:rPr>
          <w:sz w:val="20"/>
          <w:szCs w:val="20"/>
          <w:color w:val="auto"/>
        </w:rPr>
      </w:pPr>
      <w:r>
        <w:rPr>
          <w:rFonts w:ascii="Courier New" w:cs="Courier New" w:eastAsia="Courier New" w:hAnsi="Courier New"/>
          <w:sz w:val="18"/>
          <w:szCs w:val="18"/>
          <w:color w:val="auto"/>
        </w:rPr>
        <w:t>In light of the Company's performance in fiscal year 1998, the Compensation Committee did not award stock options to the Company's executive officers in fiscal year 1998.</w:t>
      </w:r>
    </w:p>
    <w:p>
      <w:pPr>
        <w:spacing w:after="0" w:line="66"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In addition to the foregoing, the Company's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w:t>
      </w:r>
    </w:p>
    <w:p>
      <w:pPr>
        <w:sectPr>
          <w:pgSz w:w="11900" w:h="16862" w:orient="portrait"/>
          <w:cols w:equalWidth="0" w:num="1">
            <w:col w:w="10099"/>
          </w:cols>
          <w:pgMar w:left="360" w:top="31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these plans are not tied to corporate performance.</w:t>
      </w:r>
    </w:p>
    <w:p>
      <w:pPr>
        <w:spacing w:after="0" w:line="201" w:lineRule="exact"/>
        <w:rPr>
          <w:sz w:val="20"/>
          <w:szCs w:val="20"/>
          <w:color w:val="auto"/>
        </w:rPr>
      </w:pPr>
    </w:p>
    <w:p>
      <w:pPr>
        <w:ind w:right="2199" w:firstLine="527"/>
        <w:spacing w:after="0" w:line="249" w:lineRule="auto"/>
        <w:rPr>
          <w:sz w:val="20"/>
          <w:szCs w:val="20"/>
          <w:color w:val="auto"/>
        </w:rPr>
      </w:pPr>
      <w:r>
        <w:rPr>
          <w:rFonts w:ascii="Courier New" w:cs="Courier New" w:eastAsia="Courier New" w:hAnsi="Courier New"/>
          <w:sz w:val="18"/>
          <w:szCs w:val="18"/>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1"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Mr. Reichman served as the Company's President and Chief Executive Officer during all of fiscal year 1998. The following discussion sets forth the bases for Mr. Reichman's compensation during fiscal year 1998 and the relationship between his compensation and the performance of the Company.</w:t>
      </w:r>
    </w:p>
    <w:p>
      <w:pPr>
        <w:spacing w:after="0" w:line="90" w:lineRule="exact"/>
        <w:rPr>
          <w:sz w:val="20"/>
          <w:szCs w:val="20"/>
          <w:color w:val="auto"/>
        </w:rPr>
      </w:pPr>
    </w:p>
    <w:p>
      <w:pPr>
        <w:ind w:right="2199" w:firstLine="527"/>
        <w:spacing w:after="0" w:line="245" w:lineRule="auto"/>
        <w:rPr>
          <w:sz w:val="20"/>
          <w:szCs w:val="20"/>
          <w:color w:val="auto"/>
        </w:rPr>
      </w:pPr>
      <w:r>
        <w:rPr>
          <w:rFonts w:ascii="Courier New" w:cs="Courier New" w:eastAsia="Courier New" w:hAnsi="Courier New"/>
          <w:sz w:val="18"/>
          <w:szCs w:val="18"/>
          <w:color w:val="auto"/>
        </w:rPr>
        <w:t>Annual Base Salary: Mr. Reichman's base salary was initially fixed in October 1995 by his employment agreement at $375,000 per year. Mr. Reichman earned the same base salary for fiscal year 1998. Mr. Reichman's salary is subject to increase by the Compensation Committee. The Compensation Committee authorized a $25,000 salary increase for fiscal year 1996. Mr. Reichman declined to accept the salary increase. Pursuant to the terms of his employment agreement, as of the first day of each fiscal year Mr. Reichman's salary is to be increased by at least the percentage increase in the cost of living in Boston, Massachusetts. The Compensation Committee reviewed the Company's performance during fiscal year 1998 and the contributions of Mr. Reichman to that performance, as well as Mr. Reichman's anticipated responsibilities in fiscal year 1999. Given the Company's continued losses, the Compensation Committee did not authorize an increase in Mr. Reichman's base salary for fiscal year 1998. Mr. Reichman has declined to accept a cost of living increase set forth in his Employment Agreement for the last three fiscal years.</w:t>
      </w:r>
    </w:p>
    <w:p>
      <w:pPr>
        <w:spacing w:after="0" w:line="113"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Annual Bonus: As stated above, the Compensation Committee determined that none of the Named Executive Officers would be eligible to participate in the SEIP for fiscal year 1998.</w:t>
      </w:r>
    </w:p>
    <w:p>
      <w:pPr>
        <w:spacing w:after="0" w:line="66" w:lineRule="exact"/>
        <w:rPr>
          <w:sz w:val="20"/>
          <w:szCs w:val="20"/>
          <w:color w:val="auto"/>
        </w:rPr>
      </w:pPr>
    </w:p>
    <w:p>
      <w:pPr>
        <w:jc w:val="both"/>
        <w:ind w:right="2319" w:firstLine="527"/>
        <w:spacing w:after="0" w:line="347" w:lineRule="auto"/>
        <w:rPr>
          <w:sz w:val="20"/>
          <w:szCs w:val="20"/>
          <w:color w:val="auto"/>
        </w:rPr>
      </w:pPr>
      <w:r>
        <w:rPr>
          <w:rFonts w:ascii="Courier New" w:cs="Courier New" w:eastAsia="Courier New" w:hAnsi="Courier New"/>
          <w:sz w:val="18"/>
          <w:szCs w:val="18"/>
          <w:color w:val="auto"/>
        </w:rPr>
        <w:t>Stock Options: Mr. Reichman was not awarded any stock options during fiscal year 1998.</w:t>
      </w:r>
    </w:p>
    <w:p>
      <w:pPr>
        <w:spacing w:after="0" w:line="18" w:lineRule="exact"/>
        <w:rPr>
          <w:sz w:val="20"/>
          <w:szCs w:val="20"/>
          <w:color w:val="auto"/>
        </w:rPr>
      </w:pPr>
    </w:p>
    <w:p>
      <w:pPr>
        <w:ind w:right="2199" w:firstLine="527"/>
        <w:spacing w:after="0" w:line="276" w:lineRule="auto"/>
        <w:rPr>
          <w:sz w:val="20"/>
          <w:szCs w:val="20"/>
          <w:color w:val="auto"/>
        </w:rPr>
      </w:pPr>
      <w:r>
        <w:rPr>
          <w:rFonts w:ascii="Courier New" w:cs="Courier New" w:eastAsia="Courier New" w:hAnsi="Courier New"/>
          <w:sz w:val="16"/>
          <w:szCs w:val="16"/>
          <w:color w:val="auto"/>
        </w:rPr>
        <w:t>In fiscal year 1998, Mr. Reichman continued to lead the Company's return to its core competency as a single-branded outlet operator by increasing the number of stores devoted exclusively to selling Levi Strauss brand apparel and accessories to 95 by the end of the year. In furtherance of the Company's focus on its outlet business, the Company purchased 25 Levi's(R) and Dockers(R) outlets from a subsidiary of Levi Strauss in September 1998. The Company also dissolved and wound up its joint venture with a subsidiary of Levi Strauss in fiscal 1998, and assumed full ownership of the joint venture's eleven Levi's(R) Outlets stores in October 1998. In connection with these transactions, the Company renegotiated its key trademark license with Levi Strauss, among other things, to permit the Company to substitute new stores for underperforming outlet stores, to extend the term of the license generally and to extend it for additional periods as to outlet stores that the Company remodels. During fiscal year 1998, the Company also closed additional unprofitable mall-based specialty stores and planned and implemented significant overhead reductions. The Committee believes that Mr. Reichman's successful completion of these important steps in the Company's strategic transition will contribute significantly to the Company's efforts to regain profitability.</w:t>
      </w:r>
    </w:p>
    <w:p>
      <w:pPr>
        <w:spacing w:after="0" w:line="300" w:lineRule="exact"/>
        <w:rPr>
          <w:sz w:val="20"/>
          <w:szCs w:val="20"/>
          <w:color w:val="auto"/>
        </w:rPr>
      </w:pPr>
    </w:p>
    <w:p>
      <w:pPr>
        <w:ind w:right="2199" w:firstLine="527"/>
        <w:spacing w:after="0" w:line="281" w:lineRule="auto"/>
        <w:rPr>
          <w:sz w:val="20"/>
          <w:szCs w:val="20"/>
          <w:color w:val="auto"/>
        </w:rPr>
      </w:pPr>
      <w:r>
        <w:rPr>
          <w:rFonts w:ascii="Courier New" w:cs="Courier New" w:eastAsia="Courier New" w:hAnsi="Courier New"/>
          <w:sz w:val="16"/>
          <w:szCs w:val="16"/>
          <w:color w:val="auto"/>
        </w:rPr>
        <w:t>Throughout fiscal year 1998, the Company continued to face the challenges imposed by the difficult market for Levi Strauss brand apparel. The Company's operating performance, like that of other apparel retailers that are heavily dependent on sales of Levi's(R) brand merchandise, continued to be affected by reduced consumer demand in the United States for Levi's(R) brand products. Mr. Reichman directed the Company's response to these market conditions, with primary responsibility for store operations, store construction and design and real estate, as well as merchandising and marketing. The Company's operating performance and the performance of its Common Stock during the fiscal year were disappointing. The Committee believes that, although the Company did not become profitable in fiscal year 1998, performance improved in that the Company's losses decreased from those incurred in fiscal year 1997.</w:t>
      </w:r>
    </w:p>
    <w:p>
      <w:pPr>
        <w:spacing w:after="0" w:line="290"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The Compensation Committee is satisfied that Mr. Reichman's</w:t>
      </w:r>
    </w:p>
    <w:p>
      <w:pPr>
        <w:sectPr>
          <w:pgSz w:w="11900" w:h="16838" w:orient="portrait"/>
          <w:cols w:equalWidth="0" w:num="1">
            <w:col w:w="10099"/>
          </w:cols>
          <w:pgMar w:left="360" w:top="110" w:right="1440" w:bottom="0" w:gutter="0" w:footer="0" w:header="0"/>
        </w:sectPr>
      </w:pPr>
    </w:p>
    <w:bookmarkStart w:id="15" w:name="page16"/>
    <w:bookmarkEnd w:id="15"/>
    <w:p>
      <w:pPr>
        <w:ind w:left="120" w:right="2199"/>
        <w:spacing w:after="0" w:line="292" w:lineRule="auto"/>
        <w:rPr>
          <w:sz w:val="20"/>
          <w:szCs w:val="20"/>
          <w:color w:val="auto"/>
        </w:rPr>
      </w:pPr>
      <w:r>
        <w:rPr>
          <w:rFonts w:ascii="Courier New" w:cs="Courier New" w:eastAsia="Courier New" w:hAnsi="Courier New"/>
          <w:sz w:val="18"/>
          <w:szCs w:val="18"/>
          <w:color w:val="auto"/>
        </w:rPr>
        <w:t>contributions to the Company in fiscal year 1998, particularly the steps he has taken to return the Company to profitability in fiscal year 1999, warrant his compensation for fiscal year 1998.</w:t>
      </w: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COMPENSATION COMMITTEE</w:t>
      </w:r>
    </w:p>
    <w:p>
      <w:pPr>
        <w:spacing w:after="0" w:line="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James G. Groninger</w:t>
      </w:r>
    </w:p>
    <w:p>
      <w:pPr>
        <w:ind w:left="3800"/>
        <w:spacing w:after="0" w:line="238" w:lineRule="auto"/>
        <w:rPr>
          <w:sz w:val="20"/>
          <w:szCs w:val="20"/>
          <w:color w:val="auto"/>
        </w:rPr>
      </w:pPr>
      <w:r>
        <w:rPr>
          <w:rFonts w:ascii="Courier New" w:cs="Courier New" w:eastAsia="Courier New" w:hAnsi="Courier New"/>
          <w:sz w:val="18"/>
          <w:szCs w:val="18"/>
          <w:color w:val="auto"/>
        </w:rPr>
        <w:t>Bernard M. Manuel</w:t>
      </w:r>
    </w:p>
    <w:p>
      <w:pPr>
        <w:ind w:left="3800"/>
        <w:spacing w:after="0"/>
        <w:rPr>
          <w:sz w:val="20"/>
          <w:szCs w:val="20"/>
          <w:color w:val="auto"/>
        </w:rPr>
      </w:pPr>
      <w:r>
        <w:rPr>
          <w:rFonts w:ascii="Courier New" w:cs="Courier New" w:eastAsia="Courier New" w:hAnsi="Courier New"/>
          <w:sz w:val="18"/>
          <w:szCs w:val="18"/>
          <w:color w:val="auto"/>
        </w:rPr>
        <w:t>Peter L. Thigpen</w:t>
      </w:r>
    </w:p>
    <w:p>
      <w:pPr>
        <w:spacing w:after="0" w:line="200" w:lineRule="exact"/>
        <w:rPr>
          <w:sz w:val="20"/>
          <w:szCs w:val="20"/>
          <w:color w:val="auto"/>
        </w:rPr>
      </w:pPr>
    </w:p>
    <w:p>
      <w:pPr>
        <w:spacing w:after="0" w:line="37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left="120" w:right="2319" w:firstLine="527"/>
        <w:spacing w:after="0" w:line="246" w:lineRule="auto"/>
        <w:rPr>
          <w:sz w:val="20"/>
          <w:szCs w:val="20"/>
          <w:color w:val="auto"/>
        </w:rPr>
      </w:pPr>
      <w:r>
        <w:rPr>
          <w:rFonts w:ascii="Courier New" w:cs="Courier New" w:eastAsia="Courier New" w:hAnsi="Courier New"/>
          <w:sz w:val="18"/>
          <w:szCs w:val="18"/>
          <w:color w:val="auto"/>
        </w:rPr>
        <w:t>The following Performance Graph compares the Company's cumulative stockholder return with that of a broad market index (Standard &amp; Poor's Industrials Index), one published industry index (Standard &amp; Poor's Retail (Specialty-Apparel) Index) and a selected peer group for each of the most recent five years ended January 31. The peer group consists of Big Dog Holdings, Inc.; Philip Van Heusen Corporation; the Cato Corporation; Charming Shoppes, Inc.; Filene's Basement Corp.; and Catherine's Stores Corporation. The cumulative stockholder return for shares of Common Stock and for each of the indices and the peer group is calculated assuming that $100 was invested on January 31, 1994.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31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380" w:type="dxa"/>
            <w:vAlign w:val="bottom"/>
          </w:tcPr>
          <w:p>
            <w:pPr>
              <w:spacing w:after="0"/>
              <w:rPr>
                <w:sz w:val="24"/>
                <w:szCs w:val="24"/>
                <w:color w:val="auto"/>
              </w:rPr>
            </w:pPr>
          </w:p>
        </w:tc>
        <w:tc>
          <w:tcPr>
            <w:tcW w:w="3160" w:type="dxa"/>
            <w:vAlign w:val="bottom"/>
            <w:gridSpan w:val="2"/>
          </w:tcPr>
          <w:p>
            <w:pPr>
              <w:ind w:left="1200"/>
              <w:spacing w:after="0"/>
              <w:rPr>
                <w:sz w:val="20"/>
                <w:szCs w:val="20"/>
                <w:color w:val="auto"/>
              </w:rPr>
            </w:pPr>
            <w:r>
              <w:rPr>
                <w:rFonts w:ascii="Courier New" w:cs="Courier New" w:eastAsia="Courier New" w:hAnsi="Courier New"/>
                <w:sz w:val="18"/>
                <w:szCs w:val="18"/>
                <w:color w:val="auto"/>
              </w:rPr>
              <w:t>[GRAPH]</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vMerge w:val="restart"/>
          </w:tcPr>
          <w:p>
            <w:pPr>
              <w:jc w:val="center"/>
              <w:ind w:right="112"/>
              <w:spacing w:after="0"/>
              <w:rPr>
                <w:sz w:val="20"/>
                <w:szCs w:val="20"/>
                <w:color w:val="auto"/>
              </w:rPr>
            </w:pPr>
            <w:r>
              <w:rPr>
                <w:rFonts w:ascii="Courier New" w:cs="Courier New" w:eastAsia="Courier New" w:hAnsi="Courier New"/>
                <w:sz w:val="18"/>
                <w:szCs w:val="18"/>
                <w:color w:val="auto"/>
                <w:w w:val="98"/>
              </w:rPr>
              <w:t>S&amp;P</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S&amp;P RETAIL</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MEASUREMENT PERIOD</w:t>
            </w:r>
          </w:p>
        </w:tc>
        <w:tc>
          <w:tcPr>
            <w:tcW w:w="16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(SPECIALTY-</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DESIGNS, INC.</w:t>
            </w: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INDUSTRIALS</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APPAREL)</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PEER GROUP</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1680" w:type="dxa"/>
            <w:vAlign w:val="bottom"/>
            <w:vMerge w:val="continue"/>
          </w:tcPr>
          <w:p>
            <w:pPr>
              <w:spacing w:after="0"/>
              <w:rPr>
                <w:sz w:val="17"/>
                <w:szCs w:val="17"/>
                <w:color w:val="auto"/>
              </w:rPr>
            </w:pPr>
          </w:p>
        </w:tc>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INDEX</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INDEX</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w:t>
            </w:r>
          </w:p>
        </w:tc>
        <w:tc>
          <w:tcPr>
            <w:tcW w:w="0" w:type="dxa"/>
            <w:vAlign w:val="bottom"/>
          </w:tcPr>
          <w:p>
            <w:pPr>
              <w:spacing w:after="0"/>
              <w:rPr>
                <w:sz w:val="1"/>
                <w:szCs w:val="1"/>
                <w:color w:val="auto"/>
              </w:rPr>
            </w:pPr>
          </w:p>
        </w:tc>
      </w:tr>
      <w:tr>
        <w:trPr>
          <w:trHeight w:val="203"/>
        </w:trPr>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1995</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58.0</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w:t>
            </w:r>
          </w:p>
        </w:tc>
        <w:tc>
          <w:tcPr>
            <w:tcW w:w="0" w:type="dxa"/>
            <w:vAlign w:val="bottom"/>
          </w:tcPr>
          <w:p>
            <w:pPr>
              <w:spacing w:after="0"/>
              <w:rPr>
                <w:sz w:val="1"/>
                <w:szCs w:val="1"/>
                <w:color w:val="auto"/>
              </w:rPr>
            </w:pPr>
          </w:p>
        </w:tc>
      </w:tr>
      <w:tr>
        <w:trPr>
          <w:trHeight w:val="203"/>
        </w:trPr>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45.0</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140.00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95.00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30.00</w:t>
            </w:r>
          </w:p>
        </w:tc>
        <w:tc>
          <w:tcPr>
            <w:tcW w:w="0" w:type="dxa"/>
            <w:vAlign w:val="bottom"/>
          </w:tcPr>
          <w:p>
            <w:pPr>
              <w:spacing w:after="0"/>
              <w:rPr>
                <w:sz w:val="1"/>
                <w:szCs w:val="1"/>
                <w:color w:val="auto"/>
              </w:rPr>
            </w:pPr>
          </w:p>
        </w:tc>
      </w:tr>
      <w:tr>
        <w:trPr>
          <w:trHeight w:val="203"/>
        </w:trPr>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1997</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47.0</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176.00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121.00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40.00</w:t>
            </w:r>
          </w:p>
        </w:tc>
        <w:tc>
          <w:tcPr>
            <w:tcW w:w="0" w:type="dxa"/>
            <w:vAlign w:val="bottom"/>
          </w:tcPr>
          <w:p>
            <w:pPr>
              <w:spacing w:after="0"/>
              <w:rPr>
                <w:sz w:val="1"/>
                <w:szCs w:val="1"/>
                <w:color w:val="auto"/>
              </w:rPr>
            </w:pPr>
          </w:p>
        </w:tc>
      </w:tr>
      <w:tr>
        <w:trPr>
          <w:trHeight w:val="203"/>
        </w:trPr>
        <w:tc>
          <w:tcPr>
            <w:tcW w:w="238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1998</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17.0</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223.00</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219.00</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42.00</w:t>
            </w:r>
          </w:p>
        </w:tc>
        <w:tc>
          <w:tcPr>
            <w:tcW w:w="0" w:type="dxa"/>
            <w:vAlign w:val="bottom"/>
          </w:tcPr>
          <w:p>
            <w:pPr>
              <w:spacing w:after="0"/>
              <w:rPr>
                <w:sz w:val="1"/>
                <w:szCs w:val="1"/>
                <w:color w:val="auto"/>
              </w:rPr>
            </w:pPr>
          </w:p>
        </w:tc>
      </w:tr>
      <w:tr>
        <w:trPr>
          <w:trHeight w:val="296"/>
        </w:trPr>
        <w:tc>
          <w:tcPr>
            <w:tcW w:w="238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1999</w:t>
            </w:r>
          </w:p>
        </w:tc>
        <w:tc>
          <w:tcPr>
            <w:tcW w:w="1680" w:type="dxa"/>
            <w:vAlign w:val="bottom"/>
          </w:tcPr>
          <w:p>
            <w:pPr>
              <w:ind w:left="480"/>
              <w:spacing w:after="0"/>
              <w:rPr>
                <w:sz w:val="20"/>
                <w:szCs w:val="20"/>
                <w:color w:val="auto"/>
              </w:rPr>
            </w:pPr>
            <w:r>
              <w:rPr>
                <w:rFonts w:ascii="Courier New" w:cs="Courier New" w:eastAsia="Courier New" w:hAnsi="Courier New"/>
                <w:sz w:val="18"/>
                <w:szCs w:val="18"/>
                <w:color w:val="auto"/>
              </w:rPr>
              <w:t>22.00</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306.00</w:t>
            </w:r>
          </w:p>
        </w:tc>
        <w:tc>
          <w:tcPr>
            <w:tcW w:w="1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372.00</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32.00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0" w:right="2199" w:firstLine="527"/>
        <w:spacing w:after="0" w:line="347" w:lineRule="auto"/>
        <w:rPr>
          <w:sz w:val="20"/>
          <w:szCs w:val="20"/>
          <w:color w:val="auto"/>
        </w:rPr>
      </w:pPr>
      <w:r>
        <w:rPr>
          <w:rFonts w:ascii="Courier New" w:cs="Courier New" w:eastAsia="Courier New" w:hAnsi="Courier New"/>
          <w:sz w:val="18"/>
          <w:szCs w:val="18"/>
          <w:color w:val="auto"/>
        </w:rPr>
        <w:t>The graph and other data used above were prepared by Standard &amp; Poor's Compustat Services, a division of The McGraw-Hill Companies.</w:t>
      </w:r>
    </w:p>
    <w:p>
      <w:pPr>
        <w:spacing w:after="0" w:line="22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HOLTZMAN GROUP SOLICITATION</w:t>
      </w:r>
    </w:p>
    <w:p>
      <w:pPr>
        <w:spacing w:after="0" w:line="201" w:lineRule="exact"/>
        <w:rPr>
          <w:sz w:val="20"/>
          <w:szCs w:val="20"/>
          <w:color w:val="auto"/>
        </w:rPr>
      </w:pPr>
    </w:p>
    <w:p>
      <w:pPr>
        <w:ind w:left="120" w:right="2199" w:firstLine="527"/>
        <w:spacing w:after="0" w:line="260" w:lineRule="auto"/>
        <w:rPr>
          <w:sz w:val="20"/>
          <w:szCs w:val="20"/>
          <w:color w:val="auto"/>
        </w:rPr>
      </w:pPr>
      <w:r>
        <w:rPr>
          <w:rFonts w:ascii="Courier New" w:cs="Courier New" w:eastAsia="Courier New" w:hAnsi="Courier New"/>
          <w:sz w:val="18"/>
          <w:szCs w:val="18"/>
          <w:color w:val="auto"/>
        </w:rPr>
        <w:t>The Holtzman Group has nominated six individuals for election to the Board of Directors in opposition to the Company's nominees and has also stated that it intends to present the Holtzman Proposal. On July 19, 1999, the Holtzman Group filed a preliminary proxy statement with the SEC for the purpose of soliciting proxies in favor of its nominees for the Board of Directors and the Holtzman Proposal.</w:t>
      </w:r>
    </w:p>
    <w:p>
      <w:pPr>
        <w:spacing w:after="0" w:line="93" w:lineRule="exact"/>
        <w:rPr>
          <w:sz w:val="20"/>
          <w:szCs w:val="20"/>
          <w:color w:val="auto"/>
        </w:rPr>
      </w:pPr>
    </w:p>
    <w:p>
      <w:pPr>
        <w:ind w:left="120" w:right="2319" w:firstLine="527"/>
        <w:spacing w:after="0" w:line="293" w:lineRule="auto"/>
        <w:rPr>
          <w:sz w:val="20"/>
          <w:szCs w:val="20"/>
          <w:color w:val="auto"/>
        </w:rPr>
      </w:pPr>
      <w:r>
        <w:rPr>
          <w:rFonts w:ascii="Courier New" w:cs="Courier New" w:eastAsia="Courier New" w:hAnsi="Courier New"/>
          <w:sz w:val="16"/>
          <w:szCs w:val="16"/>
          <w:color w:val="auto"/>
        </w:rPr>
        <w:t>FOR THE REASONS GIVEN BELOW, THE BOARD OF DIRECTORS BELIEVES THAT THE ELECTION OF THE HOLTZMAN GROUP'S SLATE OF NOMINEES AND THE APPROVAL OF THE HOLTZMAN PROPOSAL WOULD BE HARMFUL TO THE COMPANY AND ITS STOCKHOLDERS AND RECOMMENDS THAT STOCKHOLDERS VOTE ON THE ENCLOSED BLUE PROXY CARD IN FAVOR OF THE SLATE OF DIRECTORS NOMINATED BY THE BOARD (SEE PAGE 2) AND AGAINST THE HOLTZMAN PROPOSAL. THE BOARD OF DIRECTORS ALSO URGES STOCKHOLDERS NOT TO VOTE ON ANY PROXY CARD THAT MAY BE FURNISHED BY THE HOLTZMAN GROUP.</w:t>
      </w:r>
    </w:p>
    <w:p>
      <w:pPr>
        <w:spacing w:after="0" w:line="72" w:lineRule="exact"/>
        <w:rPr>
          <w:sz w:val="20"/>
          <w:szCs w:val="20"/>
          <w:color w:val="auto"/>
        </w:rPr>
      </w:pPr>
    </w:p>
    <w:p>
      <w:pPr>
        <w:ind w:left="120" w:right="2199" w:firstLine="527"/>
        <w:spacing w:after="0" w:line="253" w:lineRule="auto"/>
        <w:rPr>
          <w:sz w:val="20"/>
          <w:szCs w:val="20"/>
          <w:color w:val="auto"/>
        </w:rPr>
      </w:pPr>
      <w:r>
        <w:rPr>
          <w:rFonts w:ascii="Courier New" w:cs="Courier New" w:eastAsia="Courier New" w:hAnsi="Courier New"/>
          <w:sz w:val="18"/>
          <w:szCs w:val="18"/>
          <w:color w:val="auto"/>
        </w:rPr>
        <w:t>BACKGROUND. On December 7, 1998, the Holtzman Group filed a preliminary Consent Solicitation Statement with the Securities and Exchange Commission for the purpose of seeking stockholder consents to remove, without cause, five of the six members of the Company's Board of Directors and replace them with its own nominees and to approve certain other proposals with respect to the Company's By-Laws. The Holtzman Group's consent solicitation expired on February 11, 1999 without any of its proposals being approved by the Company's stockholders.</w:t>
      </w:r>
    </w:p>
    <w:p>
      <w:pPr>
        <w:spacing w:after="0" w:line="1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In December 1998, the Board of Directors of Designs determined to</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maximize stockholder value in the short term through a sale of the Company.</w:t>
      </w:r>
    </w:p>
    <w:p>
      <w:pPr>
        <w:ind w:left="120"/>
        <w:spacing w:after="0"/>
        <w:rPr>
          <w:sz w:val="20"/>
          <w:szCs w:val="20"/>
          <w:color w:val="auto"/>
        </w:rPr>
      </w:pPr>
      <w:r>
        <w:rPr>
          <w:rFonts w:ascii="Courier New" w:cs="Courier New" w:eastAsia="Courier New" w:hAnsi="Courier New"/>
          <w:sz w:val="18"/>
          <w:szCs w:val="18"/>
          <w:color w:val="auto"/>
        </w:rPr>
        <w:t>At that time, the Board established a Special Committee consisting solely</w:t>
      </w:r>
    </w:p>
    <w:p>
      <w:pPr>
        <w:sectPr>
          <w:pgSz w:w="11900" w:h="16838" w:orient="portrait"/>
          <w:cols w:equalWidth="0" w:num="1">
            <w:col w:w="10219"/>
          </w:cols>
          <w:pgMar w:left="240" w:top="110" w:right="1440" w:bottom="0" w:gutter="0" w:footer="0" w:header="0"/>
        </w:sectPr>
      </w:pPr>
    </w:p>
    <w:bookmarkStart w:id="16" w:name="page17"/>
    <w:bookmarkEnd w:id="16"/>
    <w:p>
      <w:pPr>
        <w:spacing w:after="0" w:line="110"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of independent outside Directors to direct the sale process. To assist in this process, the Board authorized the engagement of Shields &amp; Company, Inc. as financial advisor.</w:t>
      </w:r>
    </w:p>
    <w:p>
      <w:pPr>
        <w:spacing w:after="0" w:line="66" w:lineRule="exact"/>
        <w:rPr>
          <w:sz w:val="20"/>
          <w:szCs w:val="20"/>
          <w:color w:val="auto"/>
        </w:rPr>
      </w:pPr>
    </w:p>
    <w:p>
      <w:pPr>
        <w:ind w:right="2199" w:firstLine="527"/>
        <w:spacing w:after="0" w:line="248" w:lineRule="auto"/>
        <w:rPr>
          <w:sz w:val="20"/>
          <w:szCs w:val="20"/>
          <w:color w:val="auto"/>
        </w:rPr>
      </w:pPr>
      <w:r>
        <w:rPr>
          <w:rFonts w:ascii="Courier New" w:cs="Courier New" w:eastAsia="Courier New" w:hAnsi="Courier New"/>
          <w:sz w:val="18"/>
          <w:szCs w:val="18"/>
          <w:color w:val="auto"/>
        </w:rPr>
        <w:t>In early 1999 the Special Committee, acting through Shields &amp; Company, contacted 72 third parties which Shields &amp; Company and the Special Committee believed might be interested in purchasing the Company. Of these 72 third parties, 17 expressed interest and thereafter received a detailed memorandum describing the Company and its business. Potential buyers who indicated that they wished to proceed further, including Mr. Holtzman, received additional financial information concerning the Company. In addition, the Company established a data room that was available to potential buyers, including Mr. Holtzman. A draft definitive acquisition agreement was distributed on April 1, 1999 to interested parties, who were requested to submit a mark-up of the agreement along with their bids on or before April 15, 1999.</w:t>
      </w:r>
    </w:p>
    <w:p>
      <w:pPr>
        <w:spacing w:after="0" w:line="105" w:lineRule="exact"/>
        <w:rPr>
          <w:sz w:val="20"/>
          <w:szCs w:val="20"/>
          <w:color w:val="auto"/>
        </w:rPr>
      </w:pPr>
    </w:p>
    <w:p>
      <w:pPr>
        <w:ind w:right="2319" w:firstLine="527"/>
        <w:spacing w:after="0" w:line="256" w:lineRule="auto"/>
        <w:rPr>
          <w:sz w:val="20"/>
          <w:szCs w:val="20"/>
          <w:color w:val="auto"/>
        </w:rPr>
      </w:pPr>
      <w:r>
        <w:rPr>
          <w:rFonts w:ascii="Courier New" w:cs="Courier New" w:eastAsia="Courier New" w:hAnsi="Courier New"/>
          <w:sz w:val="18"/>
          <w:szCs w:val="18"/>
          <w:color w:val="auto"/>
        </w:rPr>
        <w:t>On April 28, 1999, Mr. Holtzman submitted a conditional proposal to explore the purchase of Designs for $3.65 per share. The proposal indicated that the purchase would be funded with approximately $20 million of equity and $40 million of debt. In his proposal letter, Mr. Holtzman indicated that he was "highly confident that the debt financing required for the transaction is available." Mr. Holtzman's proposal was subject to several conditions:</w:t>
      </w:r>
    </w:p>
    <w:p>
      <w:pPr>
        <w:spacing w:after="0" w:line="98" w:lineRule="exact"/>
        <w:rPr>
          <w:sz w:val="20"/>
          <w:szCs w:val="20"/>
          <w:color w:val="auto"/>
        </w:rPr>
      </w:pPr>
    </w:p>
    <w:p>
      <w:pPr>
        <w:ind w:left="1040" w:hanging="520"/>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a satisfactory inventory appraisal";</w:t>
      </w:r>
    </w:p>
    <w:p>
      <w:pPr>
        <w:spacing w:after="0" w:line="30" w:lineRule="exact"/>
        <w:rPr>
          <w:rFonts w:ascii="Courier New" w:cs="Courier New" w:eastAsia="Courier New" w:hAnsi="Courier New"/>
          <w:sz w:val="18"/>
          <w:szCs w:val="18"/>
          <w:color w:val="auto"/>
        </w:rPr>
      </w:pPr>
    </w:p>
    <w:p>
      <w:pPr>
        <w:ind w:left="1040" w:right="2319" w:hanging="520"/>
        <w:spacing w:after="0" w:line="238" w:lineRule="auto"/>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"satisfactory resolution of the $5 million tax assessment by the Internal Revenue Service for the year ending 1992";</w:t>
      </w:r>
    </w:p>
    <w:p>
      <w:pPr>
        <w:ind w:left="1040" w:right="2319" w:hanging="520"/>
        <w:spacing w:after="0" w:line="238" w:lineRule="auto"/>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prior written consent of Levi Strauss to the assignment, sublicense or transfer of Designs' rights and obligations under the Amended and Restated Trademark License Agreement dated as of October 31, 1998, with Levi Strauss (the "License Agreement") to JMI or its affiliates;</w:t>
      </w:r>
    </w:p>
    <w:p>
      <w:pPr>
        <w:spacing w:after="0" w:line="1" w:lineRule="exact"/>
        <w:rPr>
          <w:rFonts w:ascii="Courier New" w:cs="Courier New" w:eastAsia="Courier New" w:hAnsi="Courier New"/>
          <w:sz w:val="18"/>
          <w:szCs w:val="18"/>
          <w:color w:val="auto"/>
        </w:rPr>
      </w:pPr>
    </w:p>
    <w:p>
      <w:pPr>
        <w:ind w:left="1040" w:hanging="520"/>
        <w:spacing w:after="0" w:line="238" w:lineRule="auto"/>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debt and equity financing; and</w:t>
      </w:r>
    </w:p>
    <w:p>
      <w:pPr>
        <w:ind w:left="1040" w:right="2319" w:hanging="520"/>
        <w:spacing w:after="0" w:line="378" w:lineRule="auto"/>
        <w:tabs>
          <w:tab w:leader="none" w:pos="10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amendment to Designs' Shareholder Rights Agreement to provide that "it is not applicable to the proposed transaction."</w:t>
      </w:r>
    </w:p>
    <w:p>
      <w:pPr>
        <w:spacing w:after="0" w:line="5" w:lineRule="exact"/>
        <w:rPr>
          <w:sz w:val="20"/>
          <w:szCs w:val="20"/>
          <w:color w:val="auto"/>
        </w:rPr>
      </w:pPr>
    </w:p>
    <w:p>
      <w:pPr>
        <w:ind w:right="2199" w:firstLine="527"/>
        <w:spacing w:after="0" w:line="249" w:lineRule="auto"/>
        <w:rPr>
          <w:sz w:val="20"/>
          <w:szCs w:val="20"/>
          <w:color w:val="auto"/>
        </w:rPr>
      </w:pPr>
      <w:r>
        <w:rPr>
          <w:rFonts w:ascii="Courier New" w:cs="Courier New" w:eastAsia="Courier New" w:hAnsi="Courier New"/>
          <w:sz w:val="18"/>
          <w:szCs w:val="18"/>
          <w:color w:val="auto"/>
        </w:rPr>
        <w:t>In a May 5, 1999 letter responding to Mr. Holtzman, the Special Committee advised Mr. Holtzman of its decision to pursue his proposal and its willingness to negotiate a definitive acquisition agreement, but indicated that the first three conditions to Mr. Holtzman's proposal described above should be resolved prior to entering into a definitive agreement. The Special Committee indicated that it had directed management and its legal and financial advisors to cooperate with JMI in satisfying these conditions expeditiously. The Special Committee also said it would recommend to the Designs Board of Directors that the Designs Shareholder Rights Agreement be amended so as to be inapplicable to the proposed transaction.</w:t>
      </w:r>
    </w:p>
    <w:p>
      <w:pPr>
        <w:spacing w:after="0" w:line="104"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In its response, the Special Committee also urged Mr. Holtzman to submit a mark-up of the draft definitive agreement that had been previously sent to him. In addition, it stated that before entering into a definitive agreement with Mr. Holtzman, the Special Committee would need access to his proposed funding sources "to assess the viability of the proposed financing arrangement."</w:t>
      </w:r>
    </w:p>
    <w:p>
      <w:pPr>
        <w:spacing w:after="0" w:line="93" w:lineRule="exact"/>
        <w:rPr>
          <w:sz w:val="20"/>
          <w:szCs w:val="20"/>
          <w:color w:val="auto"/>
        </w:rPr>
      </w:pPr>
    </w:p>
    <w:p>
      <w:pPr>
        <w:ind w:right="2199" w:firstLine="527"/>
        <w:spacing w:after="0" w:line="243" w:lineRule="auto"/>
        <w:rPr>
          <w:sz w:val="20"/>
          <w:szCs w:val="20"/>
          <w:color w:val="auto"/>
        </w:rPr>
      </w:pPr>
      <w:r>
        <w:rPr>
          <w:rFonts w:ascii="Courier New" w:cs="Courier New" w:eastAsia="Courier New" w:hAnsi="Courier New"/>
          <w:sz w:val="18"/>
          <w:szCs w:val="18"/>
          <w:color w:val="auto"/>
        </w:rPr>
        <w:t>Mr. Holtzman ultimately failed to satisfy a number of the contingencies to his proposal, and on June 24, 1999, he withdrew his proposal, alleging that the Special Committee was not committed to the sale of the Company and was impeding the due diligence process. The Special Committee has categorically denied those allegations, and believes that Holtzman's assertions are nothing more than an attempt to distract attention from the fact that he was unable or unwilling to satisfy major contingencies to his proposal. Mr. Holtzman failed to obtain the required consent from Levi Strauss under its license agreement with the Company. In fact, in the Special Committee's view, Mr. Holtzman did not even make a good faith attempt to seek the Levi Strauss consent. In connection with its consideration of whether or not to consent to the proposed change in ownership of Designs, Levi Strauss requested certain information from Mr. Holtzman and Mr. Holtzman never supplied Levi Strauss with the requested information. Mr. Holtzman never responded to the Special Committee's request, made on May 5, 1999 and repeated several times thereafter, that Mr. Holtzman provide comments on the draft acquisition agreement that the Special Committee delivered to Mr. Holtzman on April 1st. Further, despite Holtzman's assertion that he was "highly confident" that debt financing for his proposal would be available, he failed to provide any evidence to the Special Committee that he was able to secure commitments for such financing.</w:t>
      </w:r>
    </w:p>
    <w:p>
      <w:pPr>
        <w:spacing w:after="0" w:line="117" w:lineRule="exact"/>
        <w:rPr>
          <w:sz w:val="20"/>
          <w:szCs w:val="20"/>
          <w:color w:val="auto"/>
        </w:rPr>
      </w:pPr>
    </w:p>
    <w:p>
      <w:pPr>
        <w:ind w:right="2319" w:firstLine="527"/>
        <w:spacing w:after="0" w:line="420" w:lineRule="auto"/>
        <w:rPr>
          <w:sz w:val="20"/>
          <w:szCs w:val="20"/>
          <w:color w:val="auto"/>
        </w:rPr>
      </w:pPr>
      <w:r>
        <w:rPr>
          <w:rFonts w:ascii="Courier New" w:cs="Courier New" w:eastAsia="Courier New" w:hAnsi="Courier New"/>
          <w:sz w:val="16"/>
          <w:szCs w:val="16"/>
          <w:color w:val="auto"/>
        </w:rPr>
        <w:t>Following the withdrawal by Holtzman of his acquisition proposal, the Special Committee recommended to the Designs Board of Directors that its</w:t>
      </w:r>
    </w:p>
    <w:p>
      <w:pPr>
        <w:sectPr>
          <w:pgSz w:w="11900" w:h="16948" w:orient="portrait"/>
          <w:cols w:equalWidth="0" w:num="1">
            <w:col w:w="10099"/>
          </w:cols>
          <w:pgMar w:left="360" w:top="110" w:right="1440" w:bottom="0" w:gutter="0" w:footer="0" w:header="0"/>
        </w:sectPr>
      </w:pPr>
    </w:p>
    <w:bookmarkStart w:id="17" w:name="page18"/>
    <w:bookmarkEnd w:id="17"/>
    <w:p>
      <w:pPr>
        <w:ind w:right="2199"/>
        <w:spacing w:after="0" w:line="276" w:lineRule="auto"/>
        <w:rPr>
          <w:sz w:val="20"/>
          <w:szCs w:val="20"/>
          <w:color w:val="auto"/>
        </w:rPr>
      </w:pPr>
      <w:r>
        <w:rPr>
          <w:rFonts w:ascii="Courier New" w:cs="Courier New" w:eastAsia="Courier New" w:hAnsi="Courier New"/>
          <w:sz w:val="16"/>
          <w:szCs w:val="16"/>
          <w:color w:val="auto"/>
        </w:rPr>
        <w:t>Shareholder Rights Agreement be amended to permit Mr. Holtzman to speak with the five largest shareholders of Designs for the purpose of ascertaining their interest in participating with Mr. Holtzman in the acquisition of Designs. The Special Committee also recommended that the amendment become effective upon Mr. Holtzman's satisfaction of the following three conditions: (1) that he formally request the consent of Levi Strauss for his proposed acquisition of control of Designs and provide Levi Strauss with all the information that Levi Strauss had requested; (2) that he set forth in writing any material information concerning Designs that he believes he has not already received; and (3) that he provide a mark-up of the draft acquisition agreement, which the Special Committee had been requesting since April. The Special Committee also recommended to the Designs Board of Directors that the Designs Shareholder Rights Agreement be amended to exempt from the Agreement any acquisition of Common Stock made on or before November 7, 1999 pursuant to an all-cash tender offer for any and all outstanding shares at a price of not less than $3.65 per share where the purchaser has irrevocably committed to effect a second-step cash-out merger for the same per share cash consideration paid in the tender offer (any such offer, a "qualifying offer")</w:t>
      </w:r>
    </w:p>
    <w:p>
      <w:pPr>
        <w:spacing w:after="0" w:line="300" w:lineRule="exact"/>
        <w:rPr>
          <w:sz w:val="20"/>
          <w:szCs w:val="20"/>
          <w:color w:val="auto"/>
        </w:rPr>
      </w:pPr>
    </w:p>
    <w:p>
      <w:pPr>
        <w:ind w:right="2199" w:firstLine="527"/>
        <w:spacing w:after="0" w:line="289" w:lineRule="auto"/>
        <w:rPr>
          <w:sz w:val="20"/>
          <w:szCs w:val="20"/>
          <w:color w:val="auto"/>
        </w:rPr>
      </w:pPr>
      <w:r>
        <w:rPr>
          <w:rFonts w:ascii="Courier New" w:cs="Courier New" w:eastAsia="Courier New" w:hAnsi="Courier New"/>
          <w:sz w:val="16"/>
          <w:szCs w:val="16"/>
          <w:color w:val="auto"/>
        </w:rPr>
        <w:t>On July 6, 1999, the Special Committee sent a letter to Designs stockholders describing the foregoing events and stating in the letter that if within a reasonable period of time Mr. Holtzman could obtain the consent of Levis Strauss and firm up his financing, the Special Committee would recommend to the Board of Directors that Designs enter into a definitive acquisition agreement with Mr. Holtzman at $3.65 per share in cash. On July 7, 1999, the Board of Directors approved all of the amendments to the Shareholder Rights Agreement proposed by the Special Committee.</w:t>
      </w:r>
    </w:p>
    <w:p>
      <w:pPr>
        <w:spacing w:after="0" w:line="77" w:lineRule="exact"/>
        <w:rPr>
          <w:sz w:val="20"/>
          <w:szCs w:val="20"/>
          <w:color w:val="auto"/>
        </w:rPr>
      </w:pPr>
    </w:p>
    <w:p>
      <w:pPr>
        <w:ind w:right="2419" w:firstLine="527"/>
        <w:spacing w:after="0" w:line="265" w:lineRule="auto"/>
        <w:rPr>
          <w:sz w:val="20"/>
          <w:szCs w:val="20"/>
          <w:color w:val="auto"/>
        </w:rPr>
      </w:pPr>
      <w:r>
        <w:rPr>
          <w:rFonts w:ascii="Courier New" w:cs="Courier New" w:eastAsia="Courier New" w:hAnsi="Courier New"/>
          <w:sz w:val="18"/>
          <w:szCs w:val="18"/>
          <w:color w:val="auto"/>
        </w:rPr>
        <w:t>DESPITE THE EFFORTS OF THE SPECIAL COMMITTEE TO FACILITATE A SALE OF DESIGNS TO MR. HOLTZMAN, HE EITHER COULD NOT OR WOULD NOT DELIVER ON HIS PROPOSAL TO ACQUIRE DESIGNS AT $3.65 PER SHARE. NOW HE IS SEEKING TO ACQUIRE CONTROL OF DESIGNS WITHOUT PAYING ANY PREMIUM AT ALL TO DESIGNS STOCKHOLDERS.</w:t>
      </w:r>
    </w:p>
    <w:p>
      <w:pPr>
        <w:spacing w:after="0" w:line="90"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ELECTION OF DIRECTORS. For the reasons discussed below, the Board of Directors of Designs believes that it is not in the best interests of Designs stockholders to elect the Holtzman Group nominees to the Board.</w:t>
      </w:r>
    </w:p>
    <w:p>
      <w:pPr>
        <w:spacing w:after="0" w:line="66" w:lineRule="exact"/>
        <w:rPr>
          <w:sz w:val="20"/>
          <w:szCs w:val="20"/>
          <w:color w:val="auto"/>
        </w:rPr>
      </w:pPr>
    </w:p>
    <w:p>
      <w:pPr>
        <w:ind w:right="2199" w:firstLine="527"/>
        <w:spacing w:after="0" w:line="280" w:lineRule="auto"/>
        <w:rPr>
          <w:sz w:val="20"/>
          <w:szCs w:val="20"/>
          <w:color w:val="auto"/>
        </w:rPr>
      </w:pPr>
      <w:r>
        <w:rPr>
          <w:rFonts w:ascii="Courier New" w:cs="Courier New" w:eastAsia="Courier New" w:hAnsi="Courier New"/>
          <w:sz w:val="16"/>
          <w:szCs w:val="16"/>
          <w:color w:val="auto"/>
        </w:rPr>
        <w:t>According to the Holtzman Group's own proxy materials, one of Holtzman's plans if the Holtzman Group nominees are elected is to cause Designs to implement a share repurchase program. Moreover, according to the Holtzman Group's proxy materials, once the Shareholder Rights Agreement is terminated, Holtzman (through JMI) would also purchase additional shares of Common Stock. Through a reduction in the number of outstanding shares caused by a Company repurchase program, together with additional purchases by JMI, Holtzman would acquire effective control of Designs without paying a premium to stockholders. Indeed, the Board of Directors of Designs believes that if the Holtzman Group nominees are elected, Holtzman will acquire effective control of Designs at an average cost that is materially below the $3.65 per share previously offered by Holtzman. This is a classic "creeping acquisition" strategy that the Board strongly believes is not in the best interests of the stockholders of Designs.</w:t>
      </w:r>
    </w:p>
    <w:p>
      <w:pPr>
        <w:spacing w:after="0" w:line="290" w:lineRule="exact"/>
        <w:rPr>
          <w:sz w:val="20"/>
          <w:szCs w:val="20"/>
          <w:color w:val="auto"/>
        </w:rPr>
      </w:pPr>
    </w:p>
    <w:p>
      <w:pPr>
        <w:ind w:right="2319" w:firstLine="527"/>
        <w:spacing w:after="0" w:line="252" w:lineRule="auto"/>
        <w:rPr>
          <w:sz w:val="20"/>
          <w:szCs w:val="20"/>
          <w:color w:val="auto"/>
        </w:rPr>
      </w:pPr>
      <w:r>
        <w:rPr>
          <w:rFonts w:ascii="Courier New" w:cs="Courier New" w:eastAsia="Courier New" w:hAnsi="Courier New"/>
          <w:sz w:val="18"/>
          <w:szCs w:val="18"/>
          <w:color w:val="auto"/>
        </w:rPr>
        <w:t>Holtzman states that if his nominees are elected, they will seek to enhance shareholder value through a sale of Designs. In the Board's view, this is an empty promise. Designs, through its financial advisor, contacted 72 potential buyers. Moreover, the fact that Designs was for sale was publicly disclosed. Nonetheless, no credible offer to acquire Designs emerged despite an intensive effort to seek a buyer. The Board believes Holtzman's purported plan is utterly without credibility and his real agenda is to acquire effective control of Designs "on the cheap" through a creeping acquisition.</w:t>
      </w:r>
    </w:p>
    <w:p>
      <w:pPr>
        <w:spacing w:after="0" w:line="99" w:lineRule="exact"/>
        <w:rPr>
          <w:sz w:val="20"/>
          <w:szCs w:val="20"/>
          <w:color w:val="auto"/>
        </w:rPr>
      </w:pPr>
    </w:p>
    <w:p>
      <w:pPr>
        <w:ind w:right="2199" w:firstLine="527"/>
        <w:spacing w:after="0" w:line="245" w:lineRule="auto"/>
        <w:rPr>
          <w:sz w:val="20"/>
          <w:szCs w:val="20"/>
          <w:color w:val="auto"/>
        </w:rPr>
      </w:pPr>
      <w:r>
        <w:rPr>
          <w:rFonts w:ascii="Courier New" w:cs="Courier New" w:eastAsia="Courier New" w:hAnsi="Courier New"/>
          <w:sz w:val="18"/>
          <w:szCs w:val="18"/>
          <w:color w:val="auto"/>
        </w:rPr>
        <w:t>The Company also believes that its relationship with Levi Strauss is the most significant asset of the Company, and the Company is not currently able to assess whether a change in the composition of the Board would adversely affect that relationship. In addition, the License Agreement prohibits any assignment or transfer by the Company of any of its rights or obligations under the License Agreement, including in connection with "a direct or indirect transfer of control" of the Company, without the prior approval of Levi Strauss. Accordingly, in connection with any transaction involving such a transfer of control, the Company would be required to obtain the prior consent of Levi Strauss in order to avoid a breach of the terms of the License Agreement. In light of Holtzman's previous conduct in connection with the matter of obtaining the necessary consent from Levi Strauss, and in particular his failure to provide information that was specifically requested by Levi Strauss, the Designs Board of Directors believes there is a material risk that Levi Strauss would not give its consent to any transaction constituting "a direct or indirect transfer of control" to Holtzman.</w:t>
      </w:r>
    </w:p>
    <w:p>
      <w:pPr>
        <w:sectPr>
          <w:pgSz w:w="11900" w:h="16838" w:orient="portrait"/>
          <w:cols w:equalWidth="0" w:num="1">
            <w:col w:w="10099"/>
          </w:cols>
          <w:pgMar w:left="360" w:top="110" w:right="1440" w:bottom="0" w:gutter="0" w:footer="0" w:header="0"/>
        </w:sectPr>
      </w:pPr>
    </w:p>
    <w:bookmarkStart w:id="18" w:name="page19"/>
    <w:bookmarkEnd w:id="18"/>
    <w:p>
      <w:pPr>
        <w:ind w:left="7" w:right="2199" w:firstLine="527"/>
        <w:spacing w:after="0" w:line="260" w:lineRule="auto"/>
        <w:rPr>
          <w:sz w:val="20"/>
          <w:szCs w:val="20"/>
          <w:color w:val="auto"/>
        </w:rPr>
      </w:pPr>
      <w:r>
        <w:rPr>
          <w:rFonts w:ascii="Courier New" w:cs="Courier New" w:eastAsia="Courier New" w:hAnsi="Courier New"/>
          <w:sz w:val="18"/>
          <w:szCs w:val="18"/>
          <w:color w:val="auto"/>
        </w:rPr>
        <w:t>THE BOARD OF DIRECTORS OF THE COMPANY BELIEVES THAT ELECTION OF THE HOLTZMAN NOMINEES IS NOT IN THE BEST INTERESTS OF THE COMPANY'S STOCKHOLDERS AND URGES STOCKHOLDERS TO REJECT HIS SOLICITATION. YOUR BOARD OF DIRECTORS THEREFORE REQUESTS THAT YOU SIGN, DATE AND RETURN THE ENCLOSED BLUE PROXY CARD, WHETHER OR NOT YOU HAVE PREVIOUSLY SIGNED AND RETURNED THE WHITE PROXY CARD SOLICITED BY THE HOLTZMAN GROUP.</w:t>
      </w:r>
    </w:p>
    <w:p>
      <w:pPr>
        <w:spacing w:after="0" w:line="295" w:lineRule="exact"/>
        <w:rPr>
          <w:sz w:val="20"/>
          <w:szCs w:val="20"/>
          <w:color w:val="auto"/>
        </w:rPr>
      </w:pPr>
    </w:p>
    <w:p>
      <w:pPr>
        <w:ind w:left="1047"/>
        <w:spacing w:after="0"/>
        <w:rPr>
          <w:sz w:val="20"/>
          <w:szCs w:val="20"/>
          <w:color w:val="auto"/>
        </w:rPr>
      </w:pPr>
      <w:r>
        <w:rPr>
          <w:rFonts w:ascii="Courier New" w:cs="Courier New" w:eastAsia="Courier New" w:hAnsi="Courier New"/>
          <w:sz w:val="18"/>
          <w:szCs w:val="18"/>
          <w:color w:val="auto"/>
        </w:rPr>
        <w:t>PROPOSAL 2. HOLTZMAN PROPOSAL RELATING TO RIGHTS PLAN</w:t>
      </w:r>
    </w:p>
    <w:p>
      <w:pPr>
        <w:spacing w:after="0" w:line="201" w:lineRule="exact"/>
        <w:rPr>
          <w:sz w:val="20"/>
          <w:szCs w:val="20"/>
          <w:color w:val="auto"/>
        </w:rPr>
      </w:pPr>
    </w:p>
    <w:p>
      <w:pPr>
        <w:ind w:left="7" w:right="2419" w:firstLine="527"/>
        <w:spacing w:after="0" w:line="318" w:lineRule="auto"/>
        <w:rPr>
          <w:sz w:val="20"/>
          <w:szCs w:val="20"/>
          <w:color w:val="auto"/>
        </w:rPr>
      </w:pPr>
      <w:r>
        <w:rPr>
          <w:rFonts w:ascii="Courier New" w:cs="Courier New" w:eastAsia="Courier New" w:hAnsi="Courier New"/>
          <w:sz w:val="16"/>
          <w:szCs w:val="16"/>
          <w:color w:val="auto"/>
        </w:rPr>
        <w:t>The Holtzman Group is also proposing that the Company's stockholders approve a resolution recommending that the Board of Directors of the Company terminate the Company's Shareholder Rights Agreement dated as of May 1, 1995, together with any amendments thereto (the "Rights Plan").</w:t>
      </w:r>
    </w:p>
    <w:p>
      <w:pPr>
        <w:spacing w:after="0" w:line="52" w:lineRule="exact"/>
        <w:rPr>
          <w:sz w:val="20"/>
          <w:szCs w:val="20"/>
          <w:color w:val="auto"/>
        </w:rPr>
      </w:pPr>
    </w:p>
    <w:p>
      <w:pPr>
        <w:ind w:left="7" w:right="2199" w:firstLine="527"/>
        <w:spacing w:after="0" w:line="271" w:lineRule="auto"/>
        <w:rPr>
          <w:sz w:val="20"/>
          <w:szCs w:val="20"/>
          <w:color w:val="auto"/>
        </w:rPr>
      </w:pPr>
      <w:r>
        <w:rPr>
          <w:rFonts w:ascii="Courier New" w:cs="Courier New" w:eastAsia="Courier New" w:hAnsi="Courier New"/>
          <w:sz w:val="16"/>
          <w:szCs w:val="16"/>
          <w:color w:val="auto"/>
        </w:rPr>
        <w:t>The Board of Directors adopted the Rights Plan in 1995 in response to its concerns that a person or group could acquire control of the Company, in the open market or otherwise, without paying an appropriate premium for control and without offering a fair and adequate price to all stockholders. The Rights Plan is designed to deter coercive takeover tactics and to otherwise encourage third parties interested in acquiring the Company to negotiate with the Board of Directors. In particular, the Rights Plan is intended to (i) reduce the risk of coercive two-tiered, front-end loaded or partial offers which may not offer fair value to all stockholders; (ii) mitigate against market accumulators who through open market and/or private purchases may achieve a position of substantial influence or control without paying to selling or remaining stockholders a fair control premium;</w:t>
      </w:r>
    </w:p>
    <w:p>
      <w:pPr>
        <w:spacing w:after="0" w:line="7" w:lineRule="exact"/>
        <w:rPr>
          <w:sz w:val="20"/>
          <w:szCs w:val="20"/>
          <w:color w:val="auto"/>
        </w:rPr>
      </w:pPr>
    </w:p>
    <w:p>
      <w:pPr>
        <w:ind w:left="7" w:right="2319" w:hanging="7"/>
        <w:spacing w:after="0" w:line="256" w:lineRule="auto"/>
        <w:tabs>
          <w:tab w:leader="none" w:pos="63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 market accumulators who are simply interested in putting the Company into "play"; (iv) restrict self-dealing by a substantial stockholder; and (v) preserve the Board of Directors' bargaining power and flexibility to deal with third-party acquirors and to otherwise seek to maximize values for all stockholders.</w:t>
      </w:r>
    </w:p>
    <w:p>
      <w:pPr>
        <w:spacing w:after="0" w:line="96" w:lineRule="exact"/>
        <w:rPr>
          <w:sz w:val="20"/>
          <w:szCs w:val="20"/>
          <w:color w:val="auto"/>
        </w:rPr>
      </w:pPr>
    </w:p>
    <w:p>
      <w:pPr>
        <w:ind w:left="7" w:right="2199" w:firstLine="527"/>
        <w:spacing w:after="0" w:line="274" w:lineRule="auto"/>
        <w:rPr>
          <w:sz w:val="20"/>
          <w:szCs w:val="20"/>
          <w:color w:val="auto"/>
        </w:rPr>
      </w:pPr>
      <w:r>
        <w:rPr>
          <w:rFonts w:ascii="Courier New" w:cs="Courier New" w:eastAsia="Courier New" w:hAnsi="Courier New"/>
          <w:sz w:val="16"/>
          <w:szCs w:val="16"/>
          <w:color w:val="auto"/>
        </w:rPr>
        <w:t>As recent events demonstrate, the Rights Plan is not intended to prevent or deter a proxy contest or an offer to acquire the Company at a price and on terms that would be in the best interests of all stockholders. If the Board of Directors determines that an unsolicited offer is fair and on terms that are otherwise in the best interests of stockholders, the Board of Directors can redeem the rights issued under the Rights Plan or amend the Rights Plan in order to permit the offer to proceed.</w:t>
      </w:r>
    </w:p>
    <w:p>
      <w:pPr>
        <w:spacing w:after="0" w:line="2" w:lineRule="exact"/>
        <w:rPr>
          <w:sz w:val="20"/>
          <w:szCs w:val="20"/>
          <w:color w:val="auto"/>
        </w:rPr>
      </w:pPr>
    </w:p>
    <w:p>
      <w:pPr>
        <w:ind w:left="7" w:right="2619"/>
        <w:spacing w:after="0" w:line="273" w:lineRule="auto"/>
        <w:rPr>
          <w:sz w:val="20"/>
          <w:szCs w:val="20"/>
          <w:color w:val="auto"/>
        </w:rPr>
      </w:pPr>
      <w:r>
        <w:rPr>
          <w:rFonts w:ascii="Courier New" w:cs="Courier New" w:eastAsia="Courier New" w:hAnsi="Courier New"/>
          <w:sz w:val="18"/>
          <w:szCs w:val="18"/>
          <w:color w:val="auto"/>
        </w:rPr>
        <w:t>Furthermore, as discussed above, the Company amended the Rights Plan so that it would not apply to any offer that meets the criteria of a "qualifying offer."</w:t>
      </w:r>
    </w:p>
    <w:p>
      <w:pPr>
        <w:spacing w:after="0" w:line="82" w:lineRule="exact"/>
        <w:rPr>
          <w:sz w:val="20"/>
          <w:szCs w:val="20"/>
          <w:color w:val="auto"/>
        </w:rPr>
      </w:pPr>
    </w:p>
    <w:p>
      <w:pPr>
        <w:ind w:left="7" w:right="2199" w:firstLine="527"/>
        <w:spacing w:after="0" w:line="274" w:lineRule="auto"/>
        <w:rPr>
          <w:sz w:val="20"/>
          <w:szCs w:val="20"/>
          <w:color w:val="auto"/>
        </w:rPr>
      </w:pPr>
      <w:r>
        <w:rPr>
          <w:rFonts w:ascii="Courier New" w:cs="Courier New" w:eastAsia="Courier New" w:hAnsi="Courier New"/>
          <w:sz w:val="16"/>
          <w:szCs w:val="16"/>
          <w:color w:val="auto"/>
        </w:rPr>
        <w:t>In light of Mr. Holtzman's previous conditional "offers" to acquire the outstanding Common Stock of the Company and his intent, as disclosed in his proxy statement, to cause the Company to repurchase up to five million shares of Common Stock held by stockholders other than himself concurrently with his own accumulation of additional shares of Common Stock in the open market, it is clear that Mr. Holtzman is attempting to gain control of the Company without paying any control premium at all to the stockholders.</w:t>
      </w:r>
    </w:p>
    <w:p>
      <w:pPr>
        <w:spacing w:after="0" w:line="2" w:lineRule="exact"/>
        <w:rPr>
          <w:sz w:val="20"/>
          <w:szCs w:val="20"/>
          <w:color w:val="auto"/>
        </w:rPr>
      </w:pPr>
    </w:p>
    <w:p>
      <w:pPr>
        <w:ind w:left="7" w:right="2519"/>
        <w:spacing w:after="0" w:line="309" w:lineRule="auto"/>
        <w:rPr>
          <w:sz w:val="20"/>
          <w:szCs w:val="20"/>
          <w:color w:val="auto"/>
        </w:rPr>
      </w:pPr>
      <w:r>
        <w:rPr>
          <w:rFonts w:ascii="Courier New" w:cs="Courier New" w:eastAsia="Courier New" w:hAnsi="Courier New"/>
          <w:sz w:val="18"/>
          <w:szCs w:val="18"/>
          <w:color w:val="auto"/>
        </w:rPr>
        <w:t>This is, in fact, the very scenario that the Rights Plan was intended to prevent.</w:t>
      </w:r>
    </w:p>
    <w:p>
      <w:pPr>
        <w:spacing w:after="0" w:line="51" w:lineRule="exact"/>
        <w:rPr>
          <w:sz w:val="20"/>
          <w:szCs w:val="20"/>
          <w:color w:val="auto"/>
        </w:rPr>
      </w:pPr>
    </w:p>
    <w:p>
      <w:pPr>
        <w:ind w:left="7" w:right="2319" w:firstLine="527"/>
        <w:spacing w:after="0" w:line="292" w:lineRule="auto"/>
        <w:rPr>
          <w:sz w:val="20"/>
          <w:szCs w:val="20"/>
          <w:color w:val="auto"/>
        </w:rPr>
      </w:pPr>
      <w:r>
        <w:rPr>
          <w:rFonts w:ascii="Courier New" w:cs="Courier New" w:eastAsia="Courier New" w:hAnsi="Courier New"/>
          <w:sz w:val="18"/>
          <w:szCs w:val="18"/>
          <w:color w:val="auto"/>
        </w:rPr>
        <w:t>THE BOARD OF DIRECTORS CONSIDERS THE CONTINUATION OF THE RIGHTS PLAN, AS AMENDED, TO BE IN THE BEST INTERESTS OF ITS STOCKHOLDERS AND THEREFORE RECOMMENDS A VOTE AGAINST THE HOLTZMAN PROPOSAL (PROPOSAL 2).</w:t>
      </w:r>
    </w:p>
    <w:p>
      <w:pPr>
        <w:spacing w:after="0" w:line="269" w:lineRule="exact"/>
        <w:rPr>
          <w:sz w:val="20"/>
          <w:szCs w:val="20"/>
          <w:color w:val="auto"/>
        </w:rPr>
      </w:pPr>
    </w:p>
    <w:p>
      <w:pPr>
        <w:ind w:left="2747"/>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left="7" w:right="2319" w:firstLine="527"/>
        <w:spacing w:after="0" w:line="277" w:lineRule="auto"/>
        <w:rPr>
          <w:sz w:val="20"/>
          <w:szCs w:val="20"/>
          <w:color w:val="auto"/>
        </w:rPr>
      </w:pPr>
      <w:r>
        <w:rPr>
          <w:rFonts w:ascii="Courier New" w:cs="Courier New" w:eastAsia="Courier New" w:hAnsi="Courier New"/>
          <w:sz w:val="16"/>
          <w:szCs w:val="16"/>
          <w:color w:val="auto"/>
        </w:rPr>
        <w:t>The Company entered into a consulting agreement with Mr. Berger dated as of December 21, 1994 (the "Consulting Agreement") in which he agreed to provide an average of four days per week of consulting services to the Company until December 20, 1997. As compensation for such services, among other things, the Company agreed to pay Mr. Berger at the rate of $250,000 per annum and to provide him and his spouse health benefits during and after the term of the Consulting Agreement. The Consulting Agreement contains covenants pursuant to which Mr. Berger agreed during the term of the Consulting Agreement and for a two year period following expiration of the agreement, not to have any connection with any business that competes with the business of the Company in the eastern United States. Under the Consulting Agreement, the Company also agreed, during the term of the agreement, to make available to Mr. Berger an automobile for use in connection with his work for the Company and to reimburse him for the expenses of operation of the automobile. The Company further agreed to transfer title to such automobile to Mr. Berger, without charge to him, promptly after expiration of the term of the agreement, and such</w:t>
      </w:r>
    </w:p>
    <w:p>
      <w:pPr>
        <w:sectPr>
          <w:pgSz w:w="11900" w:h="16838" w:orient="portrait"/>
          <w:cols w:equalWidth="0" w:num="1">
            <w:col w:w="10106"/>
          </w:cols>
          <w:pgMar w:left="353" w:top="312" w:right="1440" w:bottom="0" w:gutter="0" w:footer="0" w:header="0"/>
        </w:sectPr>
      </w:pPr>
    </w:p>
    <w:bookmarkStart w:id="19" w:name="page20"/>
    <w:bookmarkEnd w:id="19"/>
    <w:p>
      <w:pPr>
        <w:spacing w:after="0" w:line="31" w:lineRule="exact"/>
        <w:rPr>
          <w:sz w:val="20"/>
          <w:szCs w:val="20"/>
          <w:color w:val="auto"/>
        </w:rPr>
      </w:pPr>
    </w:p>
    <w:p>
      <w:pPr>
        <w:ind w:right="2319"/>
        <w:spacing w:after="0" w:line="252" w:lineRule="auto"/>
        <w:rPr>
          <w:sz w:val="20"/>
          <w:szCs w:val="20"/>
          <w:color w:val="auto"/>
        </w:rPr>
      </w:pPr>
      <w:r>
        <w:rPr>
          <w:rFonts w:ascii="Courier New" w:cs="Courier New" w:eastAsia="Courier New" w:hAnsi="Courier New"/>
          <w:sz w:val="18"/>
          <w:szCs w:val="18"/>
          <w:color w:val="auto"/>
        </w:rPr>
        <w:t>automobile, having a value of approximately $19,800 at the time of transfer, was transferred to Mr. Berger in January 1998. From January 1, 1998 through December 31, 1998, Mr. Berger was paid to provide consulting services to the Company on a month-to-month basis at the rate of $50,000 per annum. During this period and thereafter, the Company has provided, and will continue to provide, health benefits to Mr. Berger and his spouse pursuant to the Consulting Agreement. The Company paid Mr. Berger $45,833 in consulting fees pursuant to this arrangement for his services in fiscal year 1998.</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pacing w:after="0" w:line="201"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The Board of Directors met seven times during fiscal year 1998. Messrs. Reichman, Groninger and Manuel attended all meetings of the Board, Messrs. Thigpen and Berger attended six meetings and Mr. Shapiro attended four meetings.</w:t>
      </w:r>
    </w:p>
    <w:p>
      <w:pPr>
        <w:spacing w:after="0" w:line="82" w:lineRule="exact"/>
        <w:rPr>
          <w:sz w:val="20"/>
          <w:szCs w:val="20"/>
          <w:color w:val="auto"/>
        </w:rPr>
      </w:pPr>
    </w:p>
    <w:p>
      <w:pPr>
        <w:ind w:right="2519" w:firstLine="527"/>
        <w:spacing w:after="0" w:line="265" w:lineRule="auto"/>
        <w:rPr>
          <w:sz w:val="20"/>
          <w:szCs w:val="20"/>
          <w:color w:val="auto"/>
        </w:rPr>
      </w:pPr>
      <w:r>
        <w:rPr>
          <w:rFonts w:ascii="Courier New" w:cs="Courier New" w:eastAsia="Courier New" w:hAnsi="Courier New"/>
          <w:sz w:val="18"/>
          <w:szCs w:val="18"/>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90" w:lineRule="exact"/>
        <w:rPr>
          <w:sz w:val="20"/>
          <w:szCs w:val="20"/>
          <w:color w:val="auto"/>
        </w:rPr>
      </w:pPr>
    </w:p>
    <w:p>
      <w:pPr>
        <w:ind w:right="2199" w:firstLine="527"/>
        <w:spacing w:after="0" w:line="256" w:lineRule="auto"/>
        <w:rPr>
          <w:sz w:val="20"/>
          <w:szCs w:val="20"/>
          <w:color w:val="auto"/>
        </w:rPr>
      </w:pPr>
      <w:r>
        <w:rPr>
          <w:rFonts w:ascii="Courier New" w:cs="Courier New" w:eastAsia="Courier New" w:hAnsi="Courier New"/>
          <w:sz w:val="18"/>
          <w:szCs w:val="18"/>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1998. Mr. Thigpen attended all meetings of the Audit Committee, Messrs. Groninger and Berger attended three meetings and Mr. Shapiro attended two meetings.</w:t>
      </w:r>
    </w:p>
    <w:p>
      <w:pPr>
        <w:spacing w:after="0" w:line="98"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twice in fiscal year 1998 and all members attended each meeting.</w:t>
      </w:r>
    </w:p>
    <w:p>
      <w:pPr>
        <w:spacing w:after="0" w:line="93" w:lineRule="exact"/>
        <w:rPr>
          <w:sz w:val="20"/>
          <w:szCs w:val="20"/>
          <w:color w:val="auto"/>
        </w:rPr>
      </w:pPr>
    </w:p>
    <w:p>
      <w:pPr>
        <w:ind w:right="2319" w:firstLine="527"/>
        <w:spacing w:after="0" w:line="293" w:lineRule="auto"/>
        <w:rPr>
          <w:sz w:val="20"/>
          <w:szCs w:val="20"/>
          <w:color w:val="auto"/>
        </w:rPr>
      </w:pPr>
      <w:r>
        <w:rPr>
          <w:rFonts w:ascii="Courier New" w:cs="Courier New" w:eastAsia="Courier New" w:hAnsi="Courier New"/>
          <w:sz w:val="16"/>
          <w:szCs w:val="16"/>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once during fiscal year 1998 and all members attended the meeting.</w:t>
      </w:r>
    </w:p>
    <w:p>
      <w:pPr>
        <w:spacing w:after="0" w:line="72" w:lineRule="exact"/>
        <w:rPr>
          <w:sz w:val="20"/>
          <w:szCs w:val="20"/>
          <w:color w:val="auto"/>
        </w:rPr>
      </w:pPr>
    </w:p>
    <w:p>
      <w:pPr>
        <w:ind w:right="2199" w:firstLine="527"/>
        <w:spacing w:after="0" w:line="243" w:lineRule="auto"/>
        <w:rPr>
          <w:sz w:val="20"/>
          <w:szCs w:val="20"/>
          <w:color w:val="auto"/>
        </w:rPr>
      </w:pPr>
      <w:r>
        <w:rPr>
          <w:rFonts w:ascii="Courier New" w:cs="Courier New" w:eastAsia="Courier New" w:hAnsi="Courier New"/>
          <w:sz w:val="18"/>
          <w:szCs w:val="18"/>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w:t>
      </w:r>
    </w:p>
    <w:p>
      <w:pPr>
        <w:spacing w:after="0" w:line="5"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8"/>
          <w:szCs w:val="18"/>
          <w:color w:val="auto"/>
        </w:rPr>
        <w:t>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102"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On December 11, 1998, the Board of Directors formed a Special Committee in accordance with Section 4.5 of the By-Laws for the purpose of managing the process of seeking a buyer for the Company. The Special Committee consists of Messrs. Groninger, Manuel and Thigpen. The Special Committee met five times during fiscal year 1998 and all members attended each of such meetings.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1" w:lineRule="exact"/>
        <w:rPr>
          <w:sz w:val="20"/>
          <w:szCs w:val="20"/>
          <w:color w:val="auto"/>
        </w:rPr>
      </w:pPr>
    </w:p>
    <w:p>
      <w:pPr>
        <w:ind w:right="2419" w:firstLine="527"/>
        <w:spacing w:after="0" w:line="260" w:lineRule="auto"/>
        <w:rPr>
          <w:sz w:val="20"/>
          <w:szCs w:val="20"/>
          <w:color w:val="auto"/>
        </w:rPr>
      </w:pPr>
      <w:r>
        <w:rPr>
          <w:rFonts w:ascii="Courier New" w:cs="Courier New" w:eastAsia="Courier New" w:hAnsi="Courier New"/>
          <w:sz w:val="18"/>
          <w:szCs w:val="18"/>
          <w:color w:val="auto"/>
        </w:rPr>
        <w:t>On June 19, 1998,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pacing w:after="0" w:line="93" w:lineRule="exact"/>
        <w:rPr>
          <w:sz w:val="20"/>
          <w:szCs w:val="20"/>
          <w:color w:val="auto"/>
        </w:rPr>
      </w:pPr>
    </w:p>
    <w:p>
      <w:pPr>
        <w:ind w:right="2319" w:firstLine="527"/>
        <w:spacing w:after="0" w:line="318" w:lineRule="auto"/>
        <w:rPr>
          <w:sz w:val="20"/>
          <w:szCs w:val="20"/>
          <w:color w:val="auto"/>
        </w:rPr>
      </w:pPr>
      <w:r>
        <w:rPr>
          <w:rFonts w:ascii="Courier New" w:cs="Courier New" w:eastAsia="Courier New" w:hAnsi="Courier New"/>
          <w:sz w:val="16"/>
          <w:szCs w:val="16"/>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w:t>
      </w:r>
    </w:p>
    <w:p>
      <w:pPr>
        <w:sectPr>
          <w:pgSz w:w="11900" w:h="16869" w:orient="portrait"/>
          <w:cols w:equalWidth="0" w:num="1">
            <w:col w:w="10099"/>
          </w:cols>
          <w:pgMar w:left="360" w:top="110" w:right="1440" w:bottom="0" w:gutter="0" w:footer="0" w:header="0"/>
        </w:sectPr>
      </w:pPr>
    </w:p>
    <w:bookmarkStart w:id="20" w:name="page21"/>
    <w:bookmarkEnd w:id="20"/>
    <w:p>
      <w:pPr>
        <w:ind w:left="7" w:right="2419"/>
        <w:spacing w:after="0" w:line="292" w:lineRule="auto"/>
        <w:rPr>
          <w:sz w:val="20"/>
          <w:szCs w:val="20"/>
          <w:color w:val="auto"/>
        </w:rPr>
      </w:pPr>
      <w:r>
        <w:rPr>
          <w:rFonts w:ascii="Courier New" w:cs="Courier New" w:eastAsia="Courier New" w:hAnsi="Courier New"/>
          <w:sz w:val="18"/>
          <w:szCs w:val="18"/>
          <w:color w:val="auto"/>
        </w:rPr>
        <w:t>Only Stores, Inc., a subsidiary of Levi Strauss. For financial reporting purposes, the OLS Partnership's assets, liabilities and results of operations are consolidated with those of the Company.</w:t>
      </w:r>
    </w:p>
    <w:p>
      <w:pPr>
        <w:spacing w:after="0" w:line="66" w:lineRule="exact"/>
        <w:rPr>
          <w:sz w:val="20"/>
          <w:szCs w:val="20"/>
          <w:color w:val="auto"/>
        </w:rPr>
      </w:pPr>
    </w:p>
    <w:p>
      <w:pPr>
        <w:ind w:left="7" w:right="2199" w:firstLine="527"/>
        <w:spacing w:after="0" w:line="256" w:lineRule="auto"/>
        <w:rPr>
          <w:sz w:val="20"/>
          <w:szCs w:val="20"/>
          <w:color w:val="auto"/>
        </w:rPr>
      </w:pPr>
      <w:r>
        <w:rPr>
          <w:rFonts w:ascii="Courier New" w:cs="Courier New" w:eastAsia="Courier New" w:hAnsi="Courier New"/>
          <w:sz w:val="18"/>
          <w:szCs w:val="18"/>
          <w:color w:val="auto"/>
        </w:rPr>
        <w:t>During fiscal year 1996 and fiscal year 1997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SEC.</w:t>
      </w:r>
    </w:p>
    <w:p>
      <w:pPr>
        <w:spacing w:after="0" w:line="98" w:lineRule="exact"/>
        <w:rPr>
          <w:sz w:val="20"/>
          <w:szCs w:val="20"/>
          <w:color w:val="auto"/>
        </w:rPr>
      </w:pPr>
    </w:p>
    <w:p>
      <w:pPr>
        <w:ind w:left="7" w:right="2319" w:firstLine="527"/>
        <w:spacing w:after="0" w:line="289" w:lineRule="auto"/>
        <w:rPr>
          <w:sz w:val="20"/>
          <w:szCs w:val="20"/>
          <w:color w:val="auto"/>
        </w:rPr>
      </w:pPr>
      <w:r>
        <w:rPr>
          <w:rFonts w:ascii="Courier New" w:cs="Courier New" w:eastAsia="Courier New" w:hAnsi="Courier New"/>
          <w:sz w:val="16"/>
          <w:szCs w:val="16"/>
          <w:color w:val="auto"/>
        </w:rPr>
        <w:t>During fiscal year 1996 and fiscal year 1997 and thereafter through June 19, 1998, there were no disagreements between the Company and Coopers</w:t>
      </w:r>
    </w:p>
    <w:p>
      <w:pPr>
        <w:spacing w:after="0" w:line="1" w:lineRule="exact"/>
        <w:rPr>
          <w:sz w:val="20"/>
          <w:szCs w:val="20"/>
          <w:color w:val="auto"/>
        </w:rPr>
      </w:pPr>
    </w:p>
    <w:p>
      <w:pPr>
        <w:ind w:left="7" w:right="2199" w:hanging="7"/>
        <w:spacing w:after="0" w:line="278" w:lineRule="auto"/>
        <w:tabs>
          <w:tab w:leader="none" w:pos="21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fiscal year 1996 and fiscal year 1997 and thereafter through June 19, 1998, there was no occurrence of the kinds of events described in Item 304(a)(1)(v) of Regulation S-K promulgated by the SEC.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200" w:lineRule="exact"/>
        <w:rPr>
          <w:sz w:val="20"/>
          <w:szCs w:val="20"/>
          <w:color w:val="auto"/>
        </w:rPr>
      </w:pPr>
    </w:p>
    <w:p>
      <w:pPr>
        <w:spacing w:after="0" w:line="295" w:lineRule="exact"/>
        <w:rPr>
          <w:sz w:val="20"/>
          <w:szCs w:val="20"/>
          <w:color w:val="auto"/>
        </w:rPr>
      </w:pPr>
    </w:p>
    <w:p>
      <w:pPr>
        <w:ind w:left="2627"/>
        <w:spacing w:after="0"/>
        <w:rPr>
          <w:sz w:val="20"/>
          <w:szCs w:val="20"/>
          <w:color w:val="auto"/>
        </w:rPr>
      </w:pPr>
      <w:r>
        <w:rPr>
          <w:rFonts w:ascii="Courier New" w:cs="Courier New" w:eastAsia="Courier New" w:hAnsi="Courier New"/>
          <w:sz w:val="18"/>
          <w:szCs w:val="18"/>
          <w:color w:val="auto"/>
        </w:rPr>
        <w:t>SOLICITATION OF PROXIES</w:t>
      </w:r>
    </w:p>
    <w:p>
      <w:pPr>
        <w:spacing w:after="0" w:line="201" w:lineRule="exact"/>
        <w:rPr>
          <w:sz w:val="20"/>
          <w:szCs w:val="20"/>
          <w:color w:val="auto"/>
        </w:rPr>
      </w:pPr>
    </w:p>
    <w:p>
      <w:pPr>
        <w:ind w:left="7" w:right="2319" w:firstLine="527"/>
        <w:spacing w:after="0" w:line="247" w:lineRule="auto"/>
        <w:rPr>
          <w:sz w:val="20"/>
          <w:szCs w:val="20"/>
          <w:color w:val="auto"/>
        </w:rPr>
      </w:pPr>
      <w:r>
        <w:rPr>
          <w:rFonts w:ascii="Courier New" w:cs="Courier New" w:eastAsia="Courier New" w:hAnsi="Courier New"/>
          <w:sz w:val="18"/>
          <w:szCs w:val="18"/>
          <w:color w:val="auto"/>
        </w:rPr>
        <w:t>Proxies may be solicited, without additional compensation, by directors, officers or employees of the Company by mail, telephone, facsimile, telegram, in person or otherwise. The Company will bear the cost of the solicitation of proxies, including the preparation, printing and mailing of the proxy materials. In addition, the Company will request banks, brokers and other custodians, nominees and fiduciaries to forward proxy material to the beneficial owners of the Common Stock and obtain their voting instructions. The Company will reimburse those firms for their expenses in accordance with the rules of the SEC and The New York Stock Exchange. In addition, the Company has retained Innisfree M&amp;A Incorporated ("Innisfree") to assist in the solicitation of proxies for a fee of [ ] plus out-of-pocket expenses. Innisfree will employ approximately 25 people to solicit the Company's stockholders.</w:t>
      </w:r>
    </w:p>
    <w:p>
      <w:pPr>
        <w:spacing w:after="0" w:line="108" w:lineRule="exact"/>
        <w:rPr>
          <w:sz w:val="20"/>
          <w:szCs w:val="20"/>
          <w:color w:val="auto"/>
        </w:rPr>
      </w:pPr>
    </w:p>
    <w:p>
      <w:pPr>
        <w:ind w:left="7" w:right="2199" w:firstLine="527"/>
        <w:spacing w:after="0" w:line="274" w:lineRule="auto"/>
        <w:rPr>
          <w:sz w:val="20"/>
          <w:szCs w:val="20"/>
          <w:color w:val="auto"/>
        </w:rPr>
      </w:pPr>
      <w:r>
        <w:rPr>
          <w:rFonts w:ascii="Courier New" w:cs="Courier New" w:eastAsia="Courier New" w:hAnsi="Courier New"/>
          <w:sz w:val="18"/>
          <w:szCs w:val="18"/>
          <w:color w:val="auto"/>
        </w:rPr>
        <w:t>Expenses related to the solicitation of stockholders, in excess of those normally spent for an annual meeting, are expected to aggregate approximately [_______,] of which approximately [_______] has been spent to date.</w:t>
      </w:r>
    </w:p>
    <w:p>
      <w:pPr>
        <w:spacing w:after="0" w:line="284" w:lineRule="exact"/>
        <w:rPr>
          <w:sz w:val="20"/>
          <w:szCs w:val="20"/>
          <w:color w:val="auto"/>
        </w:rPr>
      </w:pPr>
    </w:p>
    <w:p>
      <w:pPr>
        <w:ind w:left="2207"/>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1" w:lineRule="exact"/>
        <w:rPr>
          <w:sz w:val="20"/>
          <w:szCs w:val="20"/>
          <w:color w:val="auto"/>
        </w:rPr>
      </w:pPr>
    </w:p>
    <w:p>
      <w:pPr>
        <w:ind w:left="7" w:right="2199" w:firstLine="527"/>
        <w:spacing w:after="0" w:line="287" w:lineRule="auto"/>
        <w:rPr>
          <w:sz w:val="20"/>
          <w:szCs w:val="20"/>
          <w:color w:val="auto"/>
        </w:rPr>
      </w:pPr>
      <w:r>
        <w:rPr>
          <w:rFonts w:ascii="Courier New" w:cs="Courier New" w:eastAsia="Courier New" w:hAnsi="Courier New"/>
          <w:sz w:val="16"/>
          <w:szCs w:val="16"/>
          <w:color w:val="auto"/>
        </w:rPr>
        <w:t>Under applicable regulations of the SEC, each member of the Board of Directors, certain executive officers of the Company and certain other corporate officers of the Company may be deemed to be a "participant" in the Company's solicitation of proxies. The principal occupation and business address of each person who may be deemed a participant are set forth in Appendix A hereto. Information about the present ownership by the directors and named executive officers of the Company of the Company's securities is provided in this Proxy Statement and the present ownership of the Company's securities by other participants is listed in Appendix A.</w:t>
      </w:r>
    </w:p>
    <w:p>
      <w:pPr>
        <w:spacing w:after="0" w:line="278" w:lineRule="exact"/>
        <w:rPr>
          <w:sz w:val="20"/>
          <w:szCs w:val="20"/>
          <w:color w:val="auto"/>
        </w:rPr>
      </w:pPr>
    </w:p>
    <w:p>
      <w:pPr>
        <w:ind w:left="2747"/>
        <w:spacing w:after="0"/>
        <w:rPr>
          <w:sz w:val="20"/>
          <w:szCs w:val="20"/>
          <w:color w:val="auto"/>
        </w:rPr>
      </w:pPr>
      <w:r>
        <w:rPr>
          <w:rFonts w:ascii="Courier New" w:cs="Courier New" w:eastAsia="Courier New" w:hAnsi="Courier New"/>
          <w:sz w:val="18"/>
          <w:szCs w:val="18"/>
          <w:color w:val="auto"/>
        </w:rPr>
        <w:t>STOCKHOLDER PROPOSALS</w:t>
      </w:r>
    </w:p>
    <w:p>
      <w:pPr>
        <w:spacing w:after="0" w:line="201" w:lineRule="exact"/>
        <w:rPr>
          <w:sz w:val="20"/>
          <w:szCs w:val="20"/>
          <w:color w:val="auto"/>
        </w:rPr>
      </w:pPr>
    </w:p>
    <w:p>
      <w:pPr>
        <w:ind w:left="7" w:right="2319" w:firstLine="527"/>
        <w:spacing w:after="0" w:line="274" w:lineRule="auto"/>
        <w:rPr>
          <w:sz w:val="20"/>
          <w:szCs w:val="20"/>
          <w:color w:val="auto"/>
        </w:rPr>
      </w:pPr>
      <w:r>
        <w:rPr>
          <w:rFonts w:ascii="Courier New" w:cs="Courier New" w:eastAsia="Courier New" w:hAnsi="Courier New"/>
          <w:sz w:val="16"/>
          <w:szCs w:val="16"/>
          <w:color w:val="auto"/>
        </w:rPr>
        <w:t>Pursuant to the Company's By-Laws, the Company generally holds its annual meeting of stockholders in June. The date of the 1999 Annual Meeting was delayed due to the Company's efforts to negotiate a sale transaction with JMI. The Company intends to hold its 2000 annual meeting of stockholders in June. If the Company does so, the deadline for submitting stockholder proposals for inclusion in the Company's proxy materials will be a reasonable time before the Company begins to print and mail its proxy materials. If the Company does not hold the 2000 annual meeting of stockholders on a date that is more than 30 days from the date of the Annual Meeting, then stockholder proposals for inclusion in the proxy materials related to the 2000 Annual Meeting of Stockholders must be received by the Company at its executive offices no later than _______,</w:t>
      </w:r>
    </w:p>
    <w:p>
      <w:pPr>
        <w:spacing w:after="0" w:line="187"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2000.</w:t>
      </w:r>
    </w:p>
    <w:p>
      <w:pPr>
        <w:spacing w:after="0" w:line="169" w:lineRule="exact"/>
        <w:rPr>
          <w:sz w:val="20"/>
          <w:szCs w:val="20"/>
          <w:color w:val="auto"/>
        </w:rPr>
      </w:pPr>
    </w:p>
    <w:p>
      <w:pPr>
        <w:jc w:val="center"/>
        <w:ind w:right="2193"/>
        <w:spacing w:after="0"/>
        <w:rPr>
          <w:sz w:val="20"/>
          <w:szCs w:val="20"/>
          <w:color w:val="auto"/>
        </w:rPr>
      </w:pPr>
      <w:r>
        <w:rPr>
          <w:rFonts w:ascii="Courier New" w:cs="Courier New" w:eastAsia="Courier New" w:hAnsi="Courier New"/>
          <w:sz w:val="18"/>
          <w:szCs w:val="18"/>
          <w:color w:val="auto"/>
        </w:rPr>
        <w:t>In addition, the By-Laws provide that for business to be properly</w:t>
      </w:r>
    </w:p>
    <w:p>
      <w:pPr>
        <w:spacing w:after="0" w:line="31" w:lineRule="exact"/>
        <w:rPr>
          <w:sz w:val="20"/>
          <w:szCs w:val="20"/>
          <w:color w:val="auto"/>
        </w:rPr>
      </w:pPr>
    </w:p>
    <w:p>
      <w:pPr>
        <w:jc w:val="center"/>
        <w:ind w:right="2193"/>
        <w:spacing w:after="0"/>
        <w:rPr>
          <w:sz w:val="20"/>
          <w:szCs w:val="20"/>
          <w:color w:val="auto"/>
        </w:rPr>
      </w:pPr>
      <w:r>
        <w:rPr>
          <w:rFonts w:ascii="Courier New" w:cs="Courier New" w:eastAsia="Courier New" w:hAnsi="Courier New"/>
          <w:sz w:val="16"/>
          <w:szCs w:val="16"/>
          <w:color w:val="auto"/>
        </w:rPr>
        <w:t>brought before an Annual Meeting of Stockholders (or any Special Meeting in</w:t>
      </w:r>
    </w:p>
    <w:p>
      <w:pPr>
        <w:sectPr>
          <w:pgSz w:w="11900" w:h="16838" w:orient="portrait"/>
          <w:cols w:equalWidth="0" w:num="1">
            <w:col w:w="10106"/>
          </w:cols>
          <w:pgMar w:left="353" w:top="110" w:right="1440" w:bottom="0" w:gutter="0" w:footer="0" w:header="0"/>
        </w:sectPr>
      </w:pPr>
    </w:p>
    <w:bookmarkStart w:id="21" w:name="page22"/>
    <w:bookmarkEnd w:id="21"/>
    <w:p>
      <w:pPr>
        <w:ind w:right="2199"/>
        <w:spacing w:after="0" w:line="244" w:lineRule="auto"/>
        <w:rPr>
          <w:sz w:val="20"/>
          <w:szCs w:val="20"/>
          <w:color w:val="auto"/>
        </w:rPr>
      </w:pPr>
      <w:r>
        <w:rPr>
          <w:rFonts w:ascii="Courier New" w:cs="Courier New" w:eastAsia="Courier New" w:hAnsi="Courier New"/>
          <w:sz w:val="18"/>
          <w:szCs w:val="18"/>
          <w:color w:val="auto"/>
        </w:rPr>
        <w:t>lieu of an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2000 Annual Meeting, a stockholder must deliver the requisite notice of such item to the Secretary of the Company not before May 25, 2000 nor later than July 9, 2000.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3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ind w:right="2519" w:firstLine="527"/>
        <w:spacing w:after="0" w:line="293" w:lineRule="auto"/>
        <w:rPr>
          <w:sz w:val="20"/>
          <w:szCs w:val="20"/>
          <w:color w:val="auto"/>
        </w:rPr>
      </w:pPr>
      <w:r>
        <w:rPr>
          <w:rFonts w:ascii="Courier New" w:cs="Courier New" w:eastAsia="Courier New" w:hAnsi="Courier New"/>
          <w:sz w:val="16"/>
          <w:szCs w:val="16"/>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1998 is being delivered to stockholders with this Proxy Statement, but is not incorporated herein and is not to be deemed a part hereof.</w:t>
      </w:r>
    </w:p>
    <w:p>
      <w:pPr>
        <w:spacing w:after="0" w:line="27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IMPORTANT</w:t>
      </w:r>
    </w:p>
    <w:p>
      <w:pPr>
        <w:spacing w:after="0" w:line="201" w:lineRule="exact"/>
        <w:rPr>
          <w:sz w:val="20"/>
          <w:szCs w:val="20"/>
          <w:color w:val="auto"/>
        </w:rPr>
      </w:pPr>
    </w:p>
    <w:p>
      <w:pPr>
        <w:ind w:right="2199" w:firstLine="520"/>
        <w:spacing w:after="0" w:line="292"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shares are registered in your own names, please sign, date and mail the enclosed BLUE Proxy Card to Innisfree in the postage-paid envelope provided.</w:t>
      </w:r>
    </w:p>
    <w:p>
      <w:pPr>
        <w:spacing w:after="0" w:line="66" w:lineRule="exact"/>
        <w:rPr>
          <w:rFonts w:ascii="Courier New" w:cs="Courier New" w:eastAsia="Courier New" w:hAnsi="Courier New"/>
          <w:sz w:val="18"/>
          <w:szCs w:val="18"/>
          <w:color w:val="auto"/>
        </w:rPr>
      </w:pPr>
    </w:p>
    <w:p>
      <w:pPr>
        <w:ind w:right="2199" w:firstLine="520"/>
        <w:spacing w:after="0" w:line="260"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shares are held in the name of a brokerage firm, bank nominee or other institution, only it can sign a BLUE Proxy Card with respect to your shares and only after receiving your specific instructions. To ensure that your shares are voted, you should also contact the person responsible for your account and give instructions for a BLUE Proxy Card to be issued representing your shares.</w:t>
      </w:r>
    </w:p>
    <w:p>
      <w:pPr>
        <w:spacing w:after="0" w:line="93"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If you have any questions about giving your proxy or require assistance, please call:</w:t>
      </w:r>
    </w:p>
    <w:p>
      <w:pPr>
        <w:spacing w:after="0" w:line="1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INNISFREE M&amp;A INCORPORATED</w:t>
      </w:r>
    </w:p>
    <w:p>
      <w:pPr>
        <w:spacing w:after="0" w:line="2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501 MADISON AVENUE, 20th FLOOR</w:t>
      </w:r>
    </w:p>
    <w:p>
      <w:pPr>
        <w:jc w:val="center"/>
        <w:ind w:right="2319"/>
        <w:spacing w:after="0" w:line="238" w:lineRule="auto"/>
        <w:rPr>
          <w:sz w:val="20"/>
          <w:szCs w:val="20"/>
          <w:color w:val="auto"/>
        </w:rPr>
      </w:pPr>
      <w:r>
        <w:rPr>
          <w:rFonts w:ascii="Courier New" w:cs="Courier New" w:eastAsia="Courier New" w:hAnsi="Courier New"/>
          <w:sz w:val="18"/>
          <w:szCs w:val="18"/>
          <w:color w:val="auto"/>
        </w:rPr>
        <w:t>NEW YORK, NEW YORK 10022</w:t>
      </w:r>
    </w:p>
    <w:p>
      <w:pPr>
        <w:jc w:val="center"/>
        <w:ind w:right="2319"/>
        <w:spacing w:after="0"/>
        <w:rPr>
          <w:sz w:val="20"/>
          <w:szCs w:val="20"/>
          <w:color w:val="auto"/>
        </w:rPr>
      </w:pPr>
      <w:r>
        <w:rPr>
          <w:rFonts w:ascii="Courier New" w:cs="Courier New" w:eastAsia="Courier New" w:hAnsi="Courier New"/>
          <w:sz w:val="18"/>
          <w:szCs w:val="18"/>
          <w:color w:val="auto"/>
        </w:rPr>
        <w:t>CALL TOLL FREE: (888) 750-5834</w:t>
      </w:r>
    </w:p>
    <w:p>
      <w:pPr>
        <w:jc w:val="center"/>
        <w:ind w:right="2319"/>
        <w:spacing w:after="0"/>
        <w:rPr>
          <w:sz w:val="20"/>
          <w:szCs w:val="20"/>
          <w:color w:val="auto"/>
        </w:rPr>
      </w:pPr>
      <w:r>
        <w:rPr>
          <w:rFonts w:ascii="Courier New" w:cs="Courier New" w:eastAsia="Courier New" w:hAnsi="Courier New"/>
          <w:sz w:val="18"/>
          <w:szCs w:val="18"/>
          <w:color w:val="auto"/>
        </w:rPr>
        <w:t>BANKS &amp; BROKERS CALL COLLECT: (212) 750-5833</w:t>
      </w:r>
    </w:p>
    <w:p>
      <w:pPr>
        <w:spacing w:after="0" w:line="200" w:lineRule="exact"/>
        <w:rPr>
          <w:sz w:val="20"/>
          <w:szCs w:val="20"/>
          <w:color w:val="auto"/>
        </w:rPr>
      </w:pPr>
    </w:p>
    <w:p>
      <w:pPr>
        <w:spacing w:after="0" w:line="374" w:lineRule="exact"/>
        <w:rPr>
          <w:sz w:val="20"/>
          <w:szCs w:val="20"/>
          <w:color w:val="auto"/>
        </w:rPr>
      </w:pPr>
    </w:p>
    <w:p>
      <w:pPr>
        <w:ind w:left="642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jc w:val="center"/>
        <w:ind w:right="2439"/>
        <w:spacing w:after="0" w:line="292" w:lineRule="auto"/>
        <w:rPr>
          <w:sz w:val="20"/>
          <w:szCs w:val="20"/>
          <w:color w:val="auto"/>
        </w:rPr>
      </w:pPr>
      <w:r>
        <w:rPr>
          <w:rFonts w:ascii="Courier New" w:cs="Courier New" w:eastAsia="Courier New" w:hAnsi="Courier New"/>
          <w:sz w:val="18"/>
          <w:szCs w:val="18"/>
          <w:color w:val="auto"/>
        </w:rPr>
        <w:t>INFORMATION CONCERNING THE DIRECTORS AND CERTAIN EXECUTIVE OFFICERS AND EMPLOYEES OF DESIGNS AND OTHER PARTICIPANTS WHO MAY ALSO SOLICIT PROXIES ON BEHALF OF DESIGNS</w:t>
      </w:r>
    </w:p>
    <w:p>
      <w:pPr>
        <w:spacing w:after="0" w:line="66" w:lineRule="exact"/>
        <w:rPr>
          <w:sz w:val="20"/>
          <w:szCs w:val="20"/>
          <w:color w:val="auto"/>
        </w:rPr>
      </w:pPr>
    </w:p>
    <w:p>
      <w:pPr>
        <w:ind w:right="2199" w:firstLine="527"/>
        <w:spacing w:after="0" w:line="252" w:lineRule="auto"/>
        <w:rPr>
          <w:sz w:val="20"/>
          <w:szCs w:val="20"/>
          <w:color w:val="auto"/>
        </w:rPr>
      </w:pPr>
      <w:r>
        <w:rPr>
          <w:rFonts w:ascii="Courier New" w:cs="Courier New" w:eastAsia="Courier New" w:hAnsi="Courier New"/>
          <w:sz w:val="18"/>
          <w:szCs w:val="18"/>
          <w:color w:val="auto"/>
        </w:rPr>
        <w:t>The following table sets forth the name, principal business address and the present office or other principal occupation or employment, and the name, principal business and the address of any corporation or other organization in which such employment is carried on, of the directors and certain executive officers of Designs and certain employees and other representatives of Designs who may also solicit proxies from stockholders of Designs (collectively, the "Participants"). Unless otherwise indicated, the principal occupation refers to such person's position with Designs and the business address is 66 B Street, Needham, MA 02494.</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right="2199" w:firstLine="527"/>
        <w:spacing w:after="0" w:line="318" w:lineRule="auto"/>
        <w:rPr>
          <w:sz w:val="20"/>
          <w:szCs w:val="20"/>
          <w:color w:val="auto"/>
        </w:rPr>
      </w:pPr>
      <w:r>
        <w:rPr>
          <w:rFonts w:ascii="Courier New" w:cs="Courier New" w:eastAsia="Courier New" w:hAnsi="Courier New"/>
          <w:sz w:val="16"/>
          <w:szCs w:val="16"/>
          <w:color w:val="auto"/>
        </w:rPr>
        <w:t>The principal occupations of the Company's directors are set forth on pages 6 and 7 of this Proxy Statement. The principal business address of Mr. Reichman is that of the Company. The name, business and address of the other director-participants' organization of employment are as follows:</w:t>
      </w:r>
    </w:p>
    <w:p>
      <w:pPr>
        <w:sectPr>
          <w:pgSz w:w="11900" w:h="16838" w:orient="portrait"/>
          <w:cols w:equalWidth="0" w:num="1">
            <w:col w:w="10099"/>
          </w:cols>
          <w:pgMar w:left="360" w:top="110" w:right="1440"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27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Address</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100 Essex Road</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Chestnut Hill, MA 02467</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The Bay South Company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101 Shockoe Slip, Suite M</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Richmond, VA</w:t>
            </w:r>
          </w:p>
        </w:tc>
        <w:tc>
          <w:tcPr>
            <w:tcW w:w="252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2"/>
              </w:rPr>
              <w:t>23219</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Cygne Designs, Inc.</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1372 Broadway</w:t>
            </w:r>
          </w:p>
        </w:tc>
        <w:tc>
          <w:tcPr>
            <w:tcW w:w="2520" w:type="dxa"/>
            <w:vAlign w:val="bottom"/>
            <w:vMerge w:val="restart"/>
          </w:tcPr>
          <w:p>
            <w:pPr>
              <w:jc w:val="right"/>
              <w:ind w:right="1912"/>
              <w:spacing w:after="0"/>
              <w:rPr>
                <w:sz w:val="20"/>
                <w:szCs w:val="20"/>
                <w:color w:val="auto"/>
              </w:rPr>
            </w:pPr>
            <w:r>
              <w:rPr>
                <w:rFonts w:ascii="Courier New" w:cs="Courier New" w:eastAsia="Courier New" w:hAnsi="Courier New"/>
                <w:sz w:val="18"/>
                <w:szCs w:val="18"/>
                <w:color w:val="auto"/>
                <w:w w:val="92"/>
              </w:rPr>
              <w:t>10018</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New York, NY</w:t>
            </w:r>
          </w:p>
        </w:tc>
        <w:tc>
          <w:tcPr>
            <w:tcW w:w="2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2044 Beacon Street</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Waban, MA  02168</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4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Executive Reserves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6"/>
              </w:rPr>
              <w:t>700 Larkspur Landing Circle, Suite 273</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rPr>
              <w:t>Larkspur, CA</w:t>
            </w:r>
          </w:p>
        </w:tc>
        <w:tc>
          <w:tcPr>
            <w:tcW w:w="2520" w:type="dxa"/>
            <w:vAlign w:val="bottom"/>
          </w:tcPr>
          <w:p>
            <w:pPr>
              <w:jc w:val="right"/>
              <w:ind w:right="1912"/>
              <w:spacing w:after="0"/>
              <w:rPr>
                <w:sz w:val="20"/>
                <w:szCs w:val="20"/>
                <w:color w:val="auto"/>
              </w:rPr>
            </w:pPr>
            <w:r>
              <w:rPr>
                <w:rFonts w:ascii="Courier New" w:cs="Courier New" w:eastAsia="Courier New" w:hAnsi="Courier New"/>
                <w:sz w:val="18"/>
                <w:szCs w:val="18"/>
                <w:color w:val="auto"/>
                <w:w w:val="92"/>
              </w:rPr>
              <w:t>94939</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MANAGEMENT</w:t>
      </w:r>
    </w:p>
    <w:p>
      <w:pPr>
        <w:spacing w:after="0" w:line="201"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The principal occupation of the Company's executive officers and certain other members of management and employees who are deemed participants in the solicitation of proxies are set forth below. Except as otherwise specified below, the principal business address of each of such persons is that of the Company.</w:t>
      </w:r>
    </w:p>
    <w:p>
      <w:pPr>
        <w:sectPr>
          <w:pgSz w:w="11900" w:h="16838" w:orient="portrait"/>
          <w:cols w:equalWidth="0" w:num="1">
            <w:col w:w="10099"/>
          </w:cols>
          <w:pgMar w:left="360" w:top="108" w:right="1440" w:bottom="0" w:gutter="0" w:footer="0" w:header="0"/>
        </w:sect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Scott N. Semel</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Executive Vice President, General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169" w:lineRule="exact"/>
        <w:rPr>
          <w:sz w:val="20"/>
          <w:szCs w:val="20"/>
          <w:color w:val="auto"/>
        </w:rPr>
      </w:pPr>
    </w:p>
    <w:p>
      <w:pPr>
        <w:sectPr>
          <w:pgSz w:w="11900" w:h="16838" w:orient="portrait"/>
          <w:cols w:equalWidth="0" w:num="2">
            <w:col w:w="2960" w:space="720"/>
            <w:col w:w="6419"/>
          </w:cols>
          <w:pgMar w:left="360" w:top="108"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Carolyn R. Faulkner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Chief Financial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and Treasurer</w:t>
      </w:r>
    </w:p>
    <w:p>
      <w:pPr>
        <w:spacing w:after="0" w:line="200" w:lineRule="exact"/>
        <w:rPr>
          <w:sz w:val="20"/>
          <w:szCs w:val="20"/>
          <w:color w:val="auto"/>
        </w:rPr>
      </w:pPr>
    </w:p>
    <w:p>
      <w:pPr>
        <w:sectPr>
          <w:pgSz w:w="11900" w:h="16838" w:orient="portrait"/>
          <w:cols w:equalWidth="0" w:num="2">
            <w:col w:w="2960" w:space="720"/>
            <w:col w:w="6419"/>
          </w:cols>
          <w:pgMar w:left="360" w:top="108"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Anthony E. Hubbard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Deputy General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w:t>
      </w:r>
    </w:p>
    <w:p>
      <w:pPr>
        <w:spacing w:after="0" w:line="169" w:lineRule="exact"/>
        <w:rPr>
          <w:sz w:val="20"/>
          <w:szCs w:val="20"/>
          <w:color w:val="auto"/>
        </w:rPr>
      </w:pPr>
    </w:p>
    <w:p>
      <w:pPr>
        <w:sectPr>
          <w:pgSz w:w="11900" w:h="16838" w:orient="portrait"/>
          <w:cols w:equalWidth="0" w:num="2">
            <w:col w:w="2960" w:space="720"/>
            <w:col w:w="6419"/>
          </w:cols>
          <w:pgMar w:left="360" w:top="108"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Shelly E. Mokas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2960" w:space="720"/>
            <w:col w:w="6419"/>
          </w:cols>
          <w:pgMar w:left="360" w:top="108"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SHIELDS &amp; COMPANY, INC.</w:t>
      </w:r>
    </w:p>
    <w:p>
      <w:pPr>
        <w:spacing w:after="0" w:line="201"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In December 1998, Designs retained Shields &amp; Company, Inc. ("Shields") to act as its financial advisor in connection with the proposed sale of the Company, for which Shields may receive substantial fees, as well as reimbursement of reasonable out-of-pocket expenses. In addition, Designs has agreed to indemnify Shields and certain persons related to it against certain liabilities arising out of their engagement. Shields is an investment banking and advisory firm that provides a range of financial services for institutional and individual clients. Shields does not admit that it or any of its directors, officers or employees is a "participant" (as defined in Schedule 14A promulgated under the Exchange Act) in the solicitation of proxies by the Company, or that Schedule 14A requires the disclosure of certain information concerning Shields. In connection with its role as financial advisor to Designs, certain investment banking employees of Shields may communicate in person, by telephone or otherwise with a limited number of institutions, brokers or other persons who are stockholders of Designs. Shields, through an affiliate, may trade securities of Designs for its own account and the account of its customers and, accordingly, may at any time hold a long or short position in such securities. As of July 16, 1999, Shields did not hold a position in shares of Common Stock for its own account. Additionally, in the normal course of its business, Shields may finance securities positions by bank and other borrowings and repurchase and securities borrowing transactions.</w:t>
      </w:r>
    </w:p>
    <w:p>
      <w:pPr>
        <w:spacing w:after="0" w:line="200" w:lineRule="exact"/>
        <w:rPr>
          <w:sz w:val="20"/>
          <w:szCs w:val="20"/>
          <w:color w:val="auto"/>
        </w:rPr>
      </w:pPr>
    </w:p>
    <w:p>
      <w:pPr>
        <w:spacing w:after="0" w:line="306" w:lineRule="exact"/>
        <w:rPr>
          <w:sz w:val="20"/>
          <w:szCs w:val="20"/>
          <w:color w:val="auto"/>
        </w:rPr>
      </w:pPr>
    </w:p>
    <w:p>
      <w:pPr>
        <w:ind w:right="2199" w:firstLine="527"/>
        <w:spacing w:after="0" w:line="260" w:lineRule="auto"/>
        <w:rPr>
          <w:sz w:val="20"/>
          <w:szCs w:val="20"/>
          <w:color w:val="auto"/>
        </w:rPr>
      </w:pPr>
      <w:r>
        <w:rPr>
          <w:rFonts w:ascii="Courier New" w:cs="Courier New" w:eastAsia="Courier New" w:hAnsi="Courier New"/>
          <w:sz w:val="18"/>
          <w:szCs w:val="18"/>
          <w:color w:val="auto"/>
        </w:rPr>
        <w:t>Information with respect to the employees of Shields who may be deemed "Participants" is set forth below. None of the individuals named below owns any shares of Common Stock or has engaged in any transaction involving Designs Common Stock during the past two years. The principal business address of each of the persons listed below is 150 Federal Street, Boston, MA 02110.</w:t>
      </w:r>
    </w:p>
    <w:p>
      <w:pPr>
        <w:sectPr>
          <w:pgSz w:w="11900" w:h="16838" w:orient="portrait"/>
          <w:cols w:equalWidth="0" w:num="1">
            <w:col w:w="10099"/>
          </w:cols>
          <w:pgMar w:left="360" w:top="108" w:right="1440" w:bottom="0" w:gutter="0" w:footer="0" w:header="0"/>
          <w:type w:val="continuous"/>
        </w:sectPr>
      </w:pPr>
    </w:p>
    <w:p>
      <w:pPr>
        <w:spacing w:after="0" w:line="9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Name</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6"/>
          <w:szCs w:val="16"/>
          <w:color w:val="auto"/>
        </w:rPr>
        <w:t>Thomas J. Shields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Occupation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Investment Banking and Advisory Services</w:t>
      </w:r>
    </w:p>
    <w:p>
      <w:pPr>
        <w:sectPr>
          <w:pgSz w:w="11900" w:h="16838" w:orient="portrait"/>
          <w:cols w:equalWidth="0" w:num="2">
            <w:col w:w="2740" w:space="720"/>
            <w:col w:w="6639"/>
          </w:cols>
          <w:pgMar w:left="360" w:top="108" w:right="1440" w:bottom="0" w:gutter="0" w:footer="0" w:header="0"/>
          <w:type w:val="continuous"/>
        </w:sectPr>
      </w:pPr>
    </w:p>
    <w:bookmarkStart w:id="23" w:name="page24"/>
    <w:bookmarkEnd w:id="23"/>
    <w:p>
      <w:pPr>
        <w:ind w:left="527"/>
        <w:spacing w:after="0"/>
        <w:tabs>
          <w:tab w:leader="none" w:pos="3446" w:val="left"/>
        </w:tabs>
        <w:rPr>
          <w:sz w:val="20"/>
          <w:szCs w:val="20"/>
          <w:color w:val="auto"/>
        </w:rPr>
      </w:pPr>
      <w:r>
        <w:rPr>
          <w:rFonts w:ascii="Courier New" w:cs="Courier New" w:eastAsia="Courier New" w:hAnsi="Courier New"/>
          <w:sz w:val="18"/>
          <w:szCs w:val="18"/>
          <w:color w:val="auto"/>
        </w:rPr>
        <w:t>Jeffrey C. Bloomberg</w:t>
      </w:r>
      <w:r>
        <w:rPr>
          <w:sz w:val="20"/>
          <w:szCs w:val="20"/>
          <w:color w:val="auto"/>
        </w:rPr>
        <w:tab/>
      </w:r>
      <w:r>
        <w:rPr>
          <w:rFonts w:ascii="Courier New" w:cs="Courier New" w:eastAsia="Courier New" w:hAnsi="Courier New"/>
          <w:sz w:val="16"/>
          <w:szCs w:val="16"/>
          <w:color w:val="auto"/>
        </w:rPr>
        <w:t>Investment Banking and Advisory Services</w:t>
      </w:r>
    </w:p>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INFORMATION REGARDING OWNERSHIP OF THE COMPANY'S SECURITIES BY PARTICIPANTS</w:t>
      </w:r>
    </w:p>
    <w:p>
      <w:pPr>
        <w:spacing w:after="0" w:line="224" w:lineRule="exact"/>
        <w:rPr>
          <w:sz w:val="20"/>
          <w:szCs w:val="20"/>
          <w:color w:val="auto"/>
        </w:rPr>
      </w:pPr>
    </w:p>
    <w:p>
      <w:pPr>
        <w:ind w:left="7" w:right="2199" w:firstLine="527"/>
        <w:spacing w:after="0" w:line="265" w:lineRule="auto"/>
        <w:rPr>
          <w:sz w:val="20"/>
          <w:szCs w:val="20"/>
          <w:color w:val="auto"/>
        </w:rPr>
      </w:pPr>
      <w:r>
        <w:rPr>
          <w:rFonts w:ascii="Courier New" w:cs="Courier New" w:eastAsia="Courier New" w:hAnsi="Courier New"/>
          <w:sz w:val="18"/>
          <w:szCs w:val="18"/>
          <w:color w:val="auto"/>
        </w:rPr>
        <w:t>None of the Participants owns any of the Company's securities of record but not beneficially. The number of shares of Common Stock held by directors and the Named Executive Officers is set forth on pages 5 and 6 of this Proxy Statement. The number of shares of Common Stock held by the other Participants is set forth below:</w:t>
      </w:r>
    </w:p>
    <w:p>
      <w:pPr>
        <w:spacing w:after="0" w:line="88" w:lineRule="exact"/>
        <w:rPr>
          <w:sz w:val="20"/>
          <w:szCs w:val="20"/>
          <w:color w:val="auto"/>
        </w:rPr>
      </w:pPr>
    </w:p>
    <w:tbl>
      <w:tblPr>
        <w:tblLayout w:type="fixed"/>
        <w:tblInd w:w="527" w:type="dxa"/>
        <w:tblCellMar>
          <w:top w:w="0" w:type="dxa"/>
          <w:left w:w="0" w:type="dxa"/>
          <w:bottom w:w="0" w:type="dxa"/>
          <w:right w:w="0" w:type="dxa"/>
        </w:tblCellMar>
      </w:tblPr>
      <w:tr>
        <w:trPr>
          <w:trHeight w:val="204"/>
        </w:trPr>
        <w:tc>
          <w:tcPr>
            <w:tcW w:w="31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rPr>
              <w:t>Share</w:t>
            </w:r>
          </w:p>
        </w:tc>
        <w:tc>
          <w:tcPr>
            <w:tcW w:w="0" w:type="dxa"/>
            <w:vAlign w:val="bottom"/>
          </w:tcPr>
          <w:p>
            <w:pPr>
              <w:spacing w:after="0"/>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4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100" w:type="dxa"/>
            <w:vAlign w:val="bottom"/>
          </w:tcPr>
          <w:p>
            <w:pPr>
              <w:spacing w:after="0"/>
              <w:rPr>
                <w:sz w:val="20"/>
                <w:szCs w:val="20"/>
                <w:color w:val="auto"/>
              </w:rPr>
            </w:pPr>
            <w:r>
              <w:rPr>
                <w:rFonts w:ascii="Courier New" w:cs="Courier New" w:eastAsia="Courier New" w:hAnsi="Courier New"/>
                <w:sz w:val="18"/>
                <w:szCs w:val="18"/>
                <w:color w:val="auto"/>
              </w:rPr>
              <w:t>Thomas J. Shields</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Jeffrey C. Bloomberg</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Anthony E. Hubbard</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w w:val="97"/>
              </w:rPr>
              <w:t>12,000 shares of Common Stock</w:t>
            </w:r>
          </w:p>
        </w:tc>
        <w:tc>
          <w:tcPr>
            <w:tcW w:w="0" w:type="dxa"/>
            <w:vAlign w:val="bottom"/>
          </w:tcPr>
          <w:p>
            <w:pPr>
              <w:spacing w:after="0"/>
              <w:rPr>
                <w:sz w:val="1"/>
                <w:szCs w:val="1"/>
                <w:color w:val="auto"/>
              </w:rPr>
            </w:pPr>
          </w:p>
        </w:tc>
      </w:tr>
      <w:tr>
        <w:trPr>
          <w:trHeight w:val="405"/>
        </w:trPr>
        <w:tc>
          <w:tcPr>
            <w:tcW w:w="3100" w:type="dxa"/>
            <w:vAlign w:val="bottom"/>
          </w:tcPr>
          <w:p>
            <w:pPr>
              <w:spacing w:after="0"/>
              <w:rPr>
                <w:sz w:val="20"/>
                <w:szCs w:val="20"/>
                <w:color w:val="auto"/>
              </w:rPr>
            </w:pPr>
            <w:r>
              <w:rPr>
                <w:rFonts w:ascii="Courier New" w:cs="Courier New" w:eastAsia="Courier New" w:hAnsi="Courier New"/>
                <w:sz w:val="18"/>
                <w:szCs w:val="18"/>
                <w:color w:val="auto"/>
              </w:rPr>
              <w:t>Shelly E. Mokas</w:t>
            </w:r>
          </w:p>
        </w:tc>
        <w:tc>
          <w:tcPr>
            <w:tcW w:w="4060" w:type="dxa"/>
            <w:vAlign w:val="bottom"/>
          </w:tcPr>
          <w:p>
            <w:pPr>
              <w:ind w:left="1000"/>
              <w:spacing w:after="0"/>
              <w:rPr>
                <w:sz w:val="20"/>
                <w:szCs w:val="20"/>
                <w:color w:val="auto"/>
              </w:rPr>
            </w:pPr>
            <w:r>
              <w:rPr>
                <w:rFonts w:ascii="Courier New" w:cs="Courier New" w:eastAsia="Courier New" w:hAnsi="Courier New"/>
                <w:sz w:val="18"/>
                <w:szCs w:val="18"/>
                <w:color w:val="auto"/>
              </w:rPr>
              <w:t>6,400 shares of Common Stock</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MISCELLANEOUS INFORMATION CONCERNING PARTICIPANTS</w:t>
      </w:r>
    </w:p>
    <w:p>
      <w:pPr>
        <w:spacing w:after="0" w:line="201" w:lineRule="exact"/>
        <w:rPr>
          <w:sz w:val="20"/>
          <w:szCs w:val="20"/>
          <w:color w:val="auto"/>
        </w:rPr>
      </w:pPr>
    </w:p>
    <w:p>
      <w:pPr>
        <w:ind w:left="7" w:right="2319" w:firstLine="211"/>
        <w:spacing w:after="0" w:line="275" w:lineRule="auto"/>
        <w:rPr>
          <w:sz w:val="20"/>
          <w:szCs w:val="20"/>
          <w:color w:val="auto"/>
        </w:rPr>
      </w:pPr>
      <w:r>
        <w:rPr>
          <w:rFonts w:ascii="Courier New" w:cs="Courier New" w:eastAsia="Courier New" w:hAnsi="Courier New"/>
          <w:sz w:val="16"/>
          <w:szCs w:val="16"/>
          <w:color w:val="auto"/>
        </w:rPr>
        <w:t>Except as described in the Proxy Statement or in this Appendix A, to the knowledge of the Company none of the Participants nor any of their respective affiliates or associates (together, the "Participant Affiliates"), (i) directly or indirectly beneficially owns any shares of Common Stock of the Company or any securities of any subsidiary of the Company or (ii) has had any relationship with the Company in any capacity other than as a stockholder, employee, officer and director. Furthermore, except as described in the Proxy Statement or in this Appendix A, no Participant or Participant Affiliate is either a party to any transaction or series of transactions since the beginning of fiscal 1998, or has knowledge of any currently proposed transaction or series of transactions,</w:t>
      </w:r>
    </w:p>
    <w:p>
      <w:pPr>
        <w:spacing w:after="0" w:line="184" w:lineRule="exact"/>
        <w:rPr>
          <w:sz w:val="20"/>
          <w:szCs w:val="20"/>
          <w:color w:val="auto"/>
        </w:rPr>
      </w:pPr>
    </w:p>
    <w:p>
      <w:pPr>
        <w:ind w:left="7" w:right="2619" w:hanging="7"/>
        <w:spacing w:after="0" w:line="262" w:lineRule="auto"/>
        <w:tabs>
          <w:tab w:leader="none" w:pos="42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the Company or any of its subsidiaries was or is to be a party, (ii) in which the amount involved exceeds $60,000, and (iii) in which any Participant Affiliate had, or will have, a direct or indirect material interest.</w:t>
      </w:r>
    </w:p>
    <w:p>
      <w:pPr>
        <w:spacing w:after="0" w:line="90" w:lineRule="exact"/>
        <w:rPr>
          <w:sz w:val="20"/>
          <w:szCs w:val="20"/>
          <w:color w:val="auto"/>
        </w:rPr>
      </w:pPr>
    </w:p>
    <w:p>
      <w:pPr>
        <w:ind w:left="7" w:right="2319" w:firstLine="211"/>
        <w:spacing w:after="0" w:line="250" w:lineRule="auto"/>
        <w:rPr>
          <w:sz w:val="20"/>
          <w:szCs w:val="20"/>
          <w:color w:val="auto"/>
        </w:rPr>
      </w:pPr>
      <w:r>
        <w:rPr>
          <w:rFonts w:ascii="Courier New" w:cs="Courier New" w:eastAsia="Courier New" w:hAnsi="Courier New"/>
          <w:sz w:val="18"/>
          <w:szCs w:val="18"/>
          <w:color w:val="auto"/>
        </w:rPr>
        <w:t>Except for the employment and consulting agreements described in the Proxy Statement, to the knowledge of the Company no Participant or Participant Affiliate has entered into any agreement or understanding with any person respecting any future employment by the Company or its affiliates or any future transactions to which the Company or any of its affiliates will or may be a party. Except as described in this Appendix A or in the Proxy Statement, to the knowledge of the Company there are no contracts, arrangements or understandings by any Participant Affiliate within the past year with any person with respect to the Company's securities.</w:t>
      </w:r>
    </w:p>
    <w:p>
      <w:pPr>
        <w:spacing w:after="0" w:line="307" w:lineRule="exact"/>
        <w:rPr>
          <w:sz w:val="20"/>
          <w:szCs w:val="20"/>
          <w:color w:val="auto"/>
        </w:rPr>
      </w:pPr>
    </w:p>
    <w:p>
      <w:pPr>
        <w:ind w:left="7" w:right="2199"/>
        <w:spacing w:after="0" w:line="347" w:lineRule="auto"/>
        <w:rPr>
          <w:sz w:val="20"/>
          <w:szCs w:val="20"/>
          <w:color w:val="auto"/>
        </w:rPr>
      </w:pPr>
      <w:r>
        <w:rPr>
          <w:rFonts w:ascii="Courier New" w:cs="Courier New" w:eastAsia="Courier New" w:hAnsi="Courier New"/>
          <w:sz w:val="18"/>
          <w:szCs w:val="18"/>
          <w:color w:val="auto"/>
        </w:rPr>
        <w:t>INFORMATION CONCERNING CERTAIN TRANSACTIONS IN COMMON STOCK BY PARTICIPANTS WITHIN THE PAST TWO YEARS</w:t>
      </w:r>
    </w:p>
    <w:p>
      <w:pPr>
        <w:spacing w:after="0" w:line="18" w:lineRule="exact"/>
        <w:rPr>
          <w:sz w:val="20"/>
          <w:szCs w:val="20"/>
          <w:color w:val="auto"/>
        </w:rPr>
      </w:pPr>
    </w:p>
    <w:p>
      <w:pPr>
        <w:ind w:left="7" w:right="2519" w:firstLine="211"/>
        <w:spacing w:after="0" w:line="347" w:lineRule="auto"/>
        <w:rPr>
          <w:sz w:val="20"/>
          <w:szCs w:val="20"/>
          <w:color w:val="auto"/>
        </w:rPr>
      </w:pPr>
      <w:r>
        <w:rPr>
          <w:rFonts w:ascii="Courier New" w:cs="Courier New" w:eastAsia="Courier New" w:hAnsi="Courier New"/>
          <w:sz w:val="18"/>
          <w:szCs w:val="18"/>
          <w:color w:val="auto"/>
        </w:rPr>
        <w:t>The following table sets forth all purchases and sales of Common Stock by the Participants during the last two years:</w:t>
      </w:r>
    </w:p>
    <w:p>
      <w:pPr>
        <w:spacing w:after="0" w:line="17"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1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2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Number of Shares</w:t>
            </w:r>
          </w:p>
        </w:tc>
        <w:tc>
          <w:tcPr>
            <w:tcW w:w="21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Date of</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Footnote</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2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Purchased (or Sold)</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Purchase or Sale</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10/1/97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(5,780)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12/5/97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1,090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4/13/98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1,440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8/13/98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1,846</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1,297</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12/10/98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387</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639</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615</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5/12/99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750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4"/>
                <w:szCs w:val="24"/>
                <w:color w:val="auto"/>
              </w:rPr>
            </w:pPr>
          </w:p>
        </w:tc>
        <w:tc>
          <w:tcPr>
            <w:tcW w:w="25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1,043</w:t>
            </w:r>
          </w:p>
        </w:tc>
        <w:tc>
          <w:tcPr>
            <w:tcW w:w="2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7/7/99</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311"/>
        </w:trPr>
        <w:tc>
          <w:tcPr>
            <w:tcW w:w="210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25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14,998</w:t>
            </w:r>
          </w:p>
        </w:tc>
        <w:tc>
          <w:tcPr>
            <w:tcW w:w="2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11/7/97</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2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5,000</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4"/>
                <w:szCs w:val="24"/>
                <w:color w:val="auto"/>
              </w:rPr>
            </w:pPr>
          </w:p>
        </w:tc>
        <w:tc>
          <w:tcPr>
            <w:tcW w:w="25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10,000</w:t>
            </w:r>
          </w:p>
        </w:tc>
        <w:tc>
          <w:tcPr>
            <w:tcW w:w="2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11/23/98</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0106"/>
          </w:cols>
          <w:pgMar w:left="353" w:top="110"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18,750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11/14/97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(4,837)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11/14/97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(1,161)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12/30/97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96"/>
        </w:trPr>
        <w:tc>
          <w:tcPr>
            <w:tcW w:w="2460" w:type="dxa"/>
            <w:vAlign w:val="bottom"/>
          </w:tcPr>
          <w:p>
            <w:pPr>
              <w:spacing w:after="0"/>
              <w:rPr>
                <w:sz w:val="24"/>
                <w:szCs w:val="24"/>
                <w:color w:val="auto"/>
              </w:rPr>
            </w:pP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5,000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11/23/98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311"/>
        </w:trPr>
        <w:tc>
          <w:tcPr>
            <w:tcW w:w="246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200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7/15/97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10/15/97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96"/>
        </w:trPr>
        <w:tc>
          <w:tcPr>
            <w:tcW w:w="2460" w:type="dxa"/>
            <w:vAlign w:val="bottom"/>
          </w:tcPr>
          <w:p>
            <w:pPr>
              <w:spacing w:after="0"/>
              <w:rPr>
                <w:sz w:val="24"/>
                <w:szCs w:val="24"/>
                <w:color w:val="auto"/>
              </w:rPr>
            </w:pP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12,000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12/07/98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311"/>
        </w:trPr>
        <w:tc>
          <w:tcPr>
            <w:tcW w:w="246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1,818</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4/13/98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1,440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1,297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12/10/98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1,930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539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644</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685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761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1,573</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666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695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666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4/30/99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1,230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738</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786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774</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923</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888</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1,090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2460" w:type="dxa"/>
            <w:vAlign w:val="bottom"/>
          </w:tcPr>
          <w:p>
            <w:pPr>
              <w:spacing w:after="0"/>
              <w:rPr>
                <w:sz w:val="24"/>
                <w:szCs w:val="24"/>
                <w:color w:val="auto"/>
              </w:rPr>
            </w:pP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2,086</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311"/>
        </w:trPr>
        <w:tc>
          <w:tcPr>
            <w:tcW w:w="246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27,000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10/8/97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10/14/97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10/15/97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1,090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1,440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827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2460" w:type="dxa"/>
            <w:vAlign w:val="bottom"/>
          </w:tcPr>
          <w:p>
            <w:pPr>
              <w:spacing w:after="0"/>
              <w:rPr>
                <w:sz w:val="24"/>
                <w:szCs w:val="24"/>
                <w:color w:val="auto"/>
              </w:rPr>
            </w:pP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1,043</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311"/>
        </w:trPr>
        <w:tc>
          <w:tcPr>
            <w:tcW w:w="246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16,200</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10/6/97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1,818</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960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1,846</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1,297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12/10/98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750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727</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631</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1,655</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539</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460" w:type="dxa"/>
            <w:vAlign w:val="bottom"/>
          </w:tcPr>
          <w:p>
            <w:pPr>
              <w:spacing w:after="0"/>
              <w:rPr>
                <w:sz w:val="17"/>
                <w:szCs w:val="17"/>
                <w:color w:val="auto"/>
              </w:rPr>
            </w:pP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1,200</w:t>
            </w:r>
          </w:p>
        </w:tc>
        <w:tc>
          <w:tcPr>
            <w:tcW w:w="2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2460" w:type="dxa"/>
            <w:vAlign w:val="bottom"/>
          </w:tcPr>
          <w:p>
            <w:pPr>
              <w:spacing w:after="0"/>
              <w:rPr>
                <w:sz w:val="24"/>
                <w:szCs w:val="24"/>
                <w:color w:val="auto"/>
              </w:rPr>
            </w:pPr>
          </w:p>
        </w:tc>
        <w:tc>
          <w:tcPr>
            <w:tcW w:w="212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695</w:t>
            </w:r>
          </w:p>
        </w:tc>
        <w:tc>
          <w:tcPr>
            <w:tcW w:w="21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2/15/99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bl>
    <w:p>
      <w:pPr>
        <w:sectPr>
          <w:pgSz w:w="11900" w:h="16838" w:orient="portrait"/>
          <w:cols w:equalWidth="0" w:num="1">
            <w:col w:w="10099"/>
          </w:cols>
          <w:pgMar w:left="360" w:top="311" w:right="1440" w:bottom="0" w:gutter="0" w:footer="0" w:header="0"/>
        </w:sectPr>
      </w:pPr>
    </w:p>
    <w:bookmarkStart w:id="25" w:name="page26"/>
    <w:bookmarkEnd w:id="25"/>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644</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2/22/99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685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1,573</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639</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695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727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615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4/30/99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738</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923</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888</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1,090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2520" w:type="dxa"/>
            <w:vAlign w:val="bottom"/>
          </w:tcPr>
          <w:p>
            <w:pPr>
              <w:spacing w:after="0"/>
              <w:rPr>
                <w:sz w:val="24"/>
                <w:szCs w:val="24"/>
                <w:color w:val="auto"/>
              </w:rPr>
            </w:pP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1,043</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8/20/97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1/20/98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1,818</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1,440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8/13/98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1,846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1,297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12/10/98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705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727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631</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1,930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539</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695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644</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685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761</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387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1,573</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3/29/99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639</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695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727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615</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4/30/99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1,230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738</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786</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774</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923</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6/16/99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888</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6/24/99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1,090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2520" w:type="dxa"/>
            <w:vAlign w:val="bottom"/>
          </w:tcPr>
          <w:p>
            <w:pPr>
              <w:spacing w:after="0"/>
              <w:rPr>
                <w:sz w:val="24"/>
                <w:szCs w:val="24"/>
                <w:color w:val="auto"/>
              </w:rPr>
            </w:pP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2,086</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7/7/99</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Anthony E. Hubbard</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2,500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10/6/97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96"/>
        </w:trPr>
        <w:tc>
          <w:tcPr>
            <w:tcW w:w="2520" w:type="dxa"/>
            <w:vAlign w:val="bottom"/>
          </w:tcPr>
          <w:p>
            <w:pPr>
              <w:spacing w:after="0"/>
              <w:rPr>
                <w:sz w:val="24"/>
                <w:szCs w:val="24"/>
                <w:color w:val="auto"/>
              </w:rPr>
            </w:pP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3,000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311"/>
        </w:trPr>
        <w:tc>
          <w:tcPr>
            <w:tcW w:w="2520" w:type="dxa"/>
            <w:vAlign w:val="bottom"/>
          </w:tcPr>
          <w:p>
            <w:pPr>
              <w:spacing w:after="0"/>
              <w:rPr>
                <w:sz w:val="20"/>
                <w:szCs w:val="20"/>
                <w:color w:val="auto"/>
              </w:rPr>
            </w:pPr>
            <w:r>
              <w:rPr>
                <w:rFonts w:ascii="Courier New" w:cs="Courier New" w:eastAsia="Courier New" w:hAnsi="Courier New"/>
                <w:sz w:val="18"/>
                <w:szCs w:val="18"/>
                <w:color w:val="auto"/>
              </w:rPr>
              <w:t>Shelly E. Mokas</w:t>
            </w: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10/6/97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6/9/98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52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9/28/98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96"/>
        </w:trPr>
        <w:tc>
          <w:tcPr>
            <w:tcW w:w="2520" w:type="dxa"/>
            <w:vAlign w:val="bottom"/>
          </w:tcPr>
          <w:p>
            <w:pPr>
              <w:spacing w:after="0"/>
              <w:rPr>
                <w:sz w:val="24"/>
                <w:szCs w:val="24"/>
                <w:color w:val="auto"/>
              </w:rPr>
            </w:pPr>
          </w:p>
        </w:tc>
        <w:tc>
          <w:tcPr>
            <w:tcW w:w="20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1,000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12/9/98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bl>
    <w:p>
      <w:pPr>
        <w:spacing w:after="0" w:line="10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Footnotes:</w:t>
      </w:r>
    </w:p>
    <w:p>
      <w:pPr>
        <w:spacing w:after="0" w:line="29"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award.</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purchase.</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pursuant to a bona fide gift.</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shares via Director compensation.</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sale.</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pursuant to conditioned stock award.</w:t>
      </w:r>
    </w:p>
    <w:p>
      <w:pPr>
        <w:ind w:left="747" w:hanging="747"/>
        <w:spacing w:after="0" w:line="238" w:lineRule="auto"/>
        <w:tabs>
          <w:tab w:leader="none" w:pos="74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shares via exercise of a stock option.</w:t>
      </w:r>
    </w:p>
    <w:p>
      <w:pPr>
        <w:ind w:left="7"/>
        <w:spacing w:after="0"/>
        <w:tabs>
          <w:tab w:leader="none" w:pos="726"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Tender of shares toward purchase of a stock option exercise.</w:t>
      </w:r>
    </w:p>
    <w:p>
      <w:pPr>
        <w:sectPr>
          <w:pgSz w:w="11900" w:h="16838" w:orient="portrait"/>
          <w:cols w:equalWidth="0" w:num="1">
            <w:col w:w="10106"/>
          </w:cols>
          <w:pgMar w:left="353" w:top="108" w:right="1440" w:bottom="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upperLetter"/>
      <w:start w:val="24"/>
    </w:lvl>
  </w:abstractNum>
  <w:abstractNum w:abstractNumId="3">
    <w:nsid w:val="140E0F76"/>
    <w:multiLevelType w:val="hybridMultilevel"/>
    <w:lvl w:ilvl="0">
      <w:lvlJc w:val="left"/>
      <w:lvlText w:val="("/>
      <w:numFmt w:val="bullet"/>
      <w:start w:val="1"/>
    </w:lvl>
    <w:lvl w:ilvl="1">
      <w:lvlJc w:val="left"/>
      <w:lvlText w:val="%2)"/>
      <w:numFmt w:val="decimal"/>
      <w:start w:val="1"/>
    </w:lvl>
  </w:abstractNum>
  <w:abstractNum w:abstractNumId="4">
    <w:nsid w:val="3352255A"/>
    <w:multiLevelType w:val="hybridMultilevel"/>
    <w:lvl w:ilvl="0">
      <w:lvlJc w:val="left"/>
      <w:lvlText w:val="("/>
      <w:numFmt w:val="bullet"/>
      <w:start w:val="1"/>
    </w:lvl>
    <w:lvl w:ilvl="1">
      <w:lvlJc w:val="left"/>
      <w:lvlText w:val="%2)"/>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amp;"/>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2020-02-22T13:29:07Z</dcterms:created>
  <dcterms:modified xsi:type="dcterms:W3CDTF">2020-02-22T13:29:07Z</dcterms:modified>
</cp:coreProperties>
</file>