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1" w:lineRule="exact"/>
        <w:rPr>
          <w:sz w:val="24"/>
          <w:szCs w:val="24"/>
          <w:color w:val="auto"/>
        </w:rPr>
      </w:pPr>
    </w:p>
    <w:p>
      <w:pPr>
        <w:ind w:left="340" w:right="160"/>
        <w:spacing w:after="0" w:line="24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-222250</wp:posOffset>
            </wp:positionV>
            <wp:extent cx="118745" cy="1187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3" w:lineRule="exact"/>
        <w:rPr>
          <w:sz w:val="24"/>
          <w:szCs w:val="24"/>
          <w:color w:val="auto"/>
        </w:rPr>
      </w:pPr>
    </w:p>
    <w:p>
      <w:pPr>
        <w:ind w:left="340"/>
        <w:spacing w:after="0" w:line="243"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-561340</wp:posOffset>
            </wp:positionV>
            <wp:extent cx="118745" cy="1187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6180" w:type="dxa"/>
            <w:vAlign w:val="bottom"/>
          </w:tcPr>
          <w:p>
            <w:pPr>
              <w:jc w:val="center"/>
              <w:ind w:right="25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180" w:type="dxa"/>
            <w:vAlign w:val="bottom"/>
            <w:vMerge w:val="restart"/>
          </w:tcPr>
          <w:p>
            <w:pPr>
              <w:jc w:val="center"/>
              <w:ind w:right="259"/>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1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259"/>
              <w:spacing w:after="0" w:line="180"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1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4"/>
        </w:trPr>
        <w:tc>
          <w:tcPr>
            <w:tcW w:w="6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180" w:type="dxa"/>
            <w:vAlign w:val="bottom"/>
            <w:vMerge w:val="restart"/>
          </w:tcPr>
          <w:p>
            <w:pPr>
              <w:jc w:val="center"/>
              <w:ind w:right="25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1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5194935</wp:posOffset>
            </wp:positionH>
            <wp:positionV relativeFrom="paragraph">
              <wp:posOffset>-605790</wp:posOffset>
            </wp:positionV>
            <wp:extent cx="57150" cy="6191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9125"/>
                    </a:xfrm>
                    <a:prstGeom prst="rect">
                      <a:avLst/>
                    </a:prstGeom>
                    <a:noFill/>
                  </pic:spPr>
                </pic:pic>
              </a:graphicData>
            </a:graphic>
          </wp:anchor>
        </w:drawing>
        <w:drawing>
          <wp:anchor simplePos="0" relativeHeight="251657728" behindDoc="1" locked="0" layoutInCell="0" allowOverlap="1">
            <wp:simplePos x="0" y="0"/>
            <wp:positionH relativeFrom="column">
              <wp:posOffset>3912235</wp:posOffset>
            </wp:positionH>
            <wp:positionV relativeFrom="paragraph">
              <wp:posOffset>-605790</wp:posOffset>
            </wp:positionV>
            <wp:extent cx="57150" cy="6191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1912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-1713865</wp:posOffset>
            </wp:positionH>
            <wp:positionV relativeFrom="paragraph">
              <wp:posOffset>643890</wp:posOffset>
            </wp:positionV>
            <wp:extent cx="7048500" cy="63646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8500" cy="6364605"/>
                    </a:xfrm>
                    <a:prstGeom prst="rect">
                      <a:avLst/>
                    </a:prstGeom>
                    <a:noFill/>
                  </pic:spPr>
                </pic:pic>
              </a:graphicData>
            </a:graphic>
          </wp:anchor>
        </w:drawing>
      </w:r>
    </w:p>
    <w:p>
      <w:pPr>
        <w:spacing w:after="0" w:line="1082" w:lineRule="exact"/>
        <w:rPr>
          <w:sz w:val="24"/>
          <w:szCs w:val="24"/>
          <w:color w:val="auto"/>
        </w:rPr>
      </w:pPr>
    </w:p>
    <w:p>
      <w:pPr>
        <w:sectPr>
          <w:pgSz w:w="11900" w:h="16838" w:orient="portrait"/>
          <w:cols w:equalWidth="0" w:num="2">
            <w:col w:w="2320" w:space="360"/>
            <w:col w:w="8400"/>
          </w:cols>
          <w:pgMar w:left="460" w:top="214" w:right="359" w:bottom="3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BOGAN ROBERT A.</w:t>
        </w:r>
      </w:hyperlink>
    </w:p>
    <w:p>
      <w:pPr>
        <w:spacing w:after="0" w:line="28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DESTINATION XL GROUP, INC.</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555 TURNPIKE STREET</w:t>
      </w:r>
    </w:p>
    <w:p>
      <w:pPr>
        <w:spacing w:after="0" w:line="277" w:lineRule="exact"/>
        <w:rPr>
          <w:sz w:val="24"/>
          <w:szCs w:val="24"/>
          <w:color w:val="auto"/>
        </w:rPr>
      </w:pPr>
    </w:p>
    <w:tbl>
      <w:tblPr>
        <w:tblLayout w:type="fixed"/>
        <w:tblInd w:w="80" w:type="dxa"/>
        <w:tblCellMar>
          <w:top w:w="0" w:type="dxa"/>
          <w:left w:w="0" w:type="dxa"/>
          <w:bottom w:w="0" w:type="dxa"/>
          <w:right w:w="0" w:type="dxa"/>
        </w:tblCellMar>
      </w:tblPr>
      <w:tr>
        <w:trPr>
          <w:trHeight w:val="165"/>
        </w:trPr>
        <w:tc>
          <w:tcPr>
            <w:tcW w:w="980" w:type="dxa"/>
            <w:vAlign w:val="bottom"/>
            <w:gridSpan w:val="2"/>
          </w:tcPr>
          <w:p>
            <w:pPr>
              <w:spacing w:after="0"/>
              <w:rPr>
                <w:sz w:val="20"/>
                <w:szCs w:val="20"/>
                <w:color w:val="auto"/>
              </w:rPr>
            </w:pPr>
            <w:r>
              <w:rPr>
                <w:rFonts w:ascii="Arial" w:cs="Arial" w:eastAsia="Arial" w:hAnsi="Arial"/>
                <w:sz w:val="12"/>
                <w:szCs w:val="12"/>
                <w:color w:val="auto"/>
              </w:rPr>
              <w:t>(Street)</w:t>
            </w:r>
          </w:p>
        </w:tc>
        <w:tc>
          <w:tcPr>
            <w:tcW w:w="10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0"/>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CANTON</w:t>
            </w:r>
          </w:p>
        </w:tc>
        <w:tc>
          <w:tcPr>
            <w:tcW w:w="1080" w:type="dxa"/>
            <w:vAlign w:val="bottom"/>
          </w:tcPr>
          <w:p>
            <w:pPr>
              <w:ind w:left="280"/>
              <w:spacing w:after="0"/>
              <w:rPr>
                <w:sz w:val="20"/>
                <w:szCs w:val="20"/>
                <w:color w:val="auto"/>
              </w:rPr>
            </w:pPr>
            <w:r>
              <w:rPr>
                <w:rFonts w:ascii="Times New Roman" w:cs="Times New Roman" w:eastAsia="Times New Roman" w:hAnsi="Times New Roman"/>
                <w:sz w:val="16"/>
                <w:szCs w:val="16"/>
                <w:color w:val="0000FF"/>
              </w:rPr>
              <w:t>MA</w:t>
            </w:r>
          </w:p>
        </w:tc>
        <w:tc>
          <w:tcPr>
            <w:tcW w:w="16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02021</w:t>
            </w:r>
          </w:p>
        </w:tc>
      </w:tr>
      <w:tr>
        <w:trPr>
          <w:trHeight w:val="144"/>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89"/>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2"/>
                <w:szCs w:val="12"/>
                <w:color w:val="auto"/>
              </w:rPr>
              <w:t>(City)</w:t>
            </w:r>
          </w:p>
        </w:tc>
        <w:tc>
          <w:tcPr>
            <w:tcW w:w="1080" w:type="dxa"/>
            <w:vAlign w:val="bottom"/>
          </w:tcPr>
          <w:p>
            <w:pPr>
              <w:ind w:left="280"/>
              <w:spacing w:after="0"/>
              <w:rPr>
                <w:sz w:val="20"/>
                <w:szCs w:val="20"/>
                <w:color w:val="auto"/>
              </w:rPr>
            </w:pPr>
            <w:r>
              <w:rPr>
                <w:rFonts w:ascii="Arial" w:cs="Arial" w:eastAsia="Arial" w:hAnsi="Arial"/>
                <w:sz w:val="12"/>
                <w:szCs w:val="12"/>
                <w:color w:val="auto"/>
              </w:rPr>
              <w:t>(State)</w:t>
            </w:r>
          </w:p>
        </w:tc>
        <w:tc>
          <w:tcPr>
            <w:tcW w:w="1620" w:type="dxa"/>
            <w:vAlign w:val="bottom"/>
          </w:tcPr>
          <w:p>
            <w:pPr>
              <w:ind w:left="420"/>
              <w:spacing w:after="0"/>
              <w:rPr>
                <w:sz w:val="20"/>
                <w:szCs w:val="20"/>
                <w:color w:val="auto"/>
              </w:rPr>
            </w:pPr>
            <w:r>
              <w:rPr>
                <w:rFonts w:ascii="Arial" w:cs="Arial" w:eastAsia="Arial" w:hAnsi="Arial"/>
                <w:sz w:val="12"/>
                <w:szCs w:val="12"/>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2.</w:t>
            </w:r>
          </w:p>
        </w:tc>
        <w:tc>
          <w:tcPr>
            <w:tcW w:w="3640" w:type="dxa"/>
            <w:vAlign w:val="bottom"/>
            <w:gridSpan w:val="2"/>
          </w:tcPr>
          <w:p>
            <w:pPr>
              <w:ind w:left="20"/>
              <w:spacing w:after="0"/>
              <w:rPr>
                <w:sz w:val="20"/>
                <w:szCs w:val="20"/>
                <w:color w:val="auto"/>
              </w:rPr>
            </w:pPr>
            <w:r>
              <w:rPr>
                <w:rFonts w:ascii="Arial" w:cs="Arial" w:eastAsia="Arial" w:hAnsi="Arial"/>
                <w:sz w:val="12"/>
                <w:szCs w:val="12"/>
                <w:color w:val="auto"/>
              </w:rPr>
              <w:t xml:space="preserve">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2"/>
                <w:szCs w:val="12"/>
                <w:color w:val="auto"/>
              </w:rPr>
              <w:t>5. Relationship of Reporting Person(s) to Issuer</w:t>
            </w:r>
          </w:p>
        </w:tc>
      </w:tr>
      <w:tr>
        <w:trPr>
          <w:trHeight w:val="204"/>
        </w:trPr>
        <w:tc>
          <w:tcPr>
            <w:tcW w:w="3820" w:type="dxa"/>
            <w:vAlign w:val="bottom"/>
            <w:gridSpan w:val="4"/>
          </w:tcPr>
          <w:p>
            <w:pPr>
              <w:ind w:left="60"/>
              <w:spacing w:after="0" w:line="200"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DESTINATION XL GROUP,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DXLG</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1840" w:type="dxa"/>
            <w:vAlign w:val="bottom"/>
          </w:tcPr>
          <w:p>
            <w:pPr>
              <w:ind w:left="60"/>
              <w:spacing w:after="0"/>
              <w:rPr>
                <w:sz w:val="20"/>
                <w:szCs w:val="20"/>
                <w:color w:val="auto"/>
              </w:rPr>
            </w:pPr>
            <w:r>
              <w:rPr>
                <w:rFonts w:ascii="Arial" w:cs="Arial" w:eastAsia="Arial" w:hAnsi="Arial"/>
                <w:sz w:val="12"/>
                <w:szCs w:val="12"/>
                <w:color w:val="auto"/>
              </w:rPr>
              <w:t>(Check all applicable)</w:t>
            </w:r>
          </w:p>
        </w:tc>
        <w:tc>
          <w:tcPr>
            <w:tcW w:w="1460" w:type="dxa"/>
            <w:vAlign w:val="bottom"/>
          </w:tcPr>
          <w:p>
            <w:pPr>
              <w:spacing w:after="0"/>
              <w:rPr>
                <w:sz w:val="17"/>
                <w:szCs w:val="17"/>
                <w:color w:val="auto"/>
              </w:rPr>
            </w:pPr>
          </w:p>
        </w:tc>
      </w:tr>
      <w:tr>
        <w:trPr>
          <w:trHeight w:val="140"/>
        </w:trPr>
        <w:tc>
          <w:tcPr>
            <w:tcW w:w="6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700" w:type="dxa"/>
            <w:vAlign w:val="bottom"/>
            <w:tcBorders>
              <w:top w:val="single" w:sz="8" w:color="0000EE"/>
            </w:tcBorders>
          </w:tcPr>
          <w:p>
            <w:pPr>
              <w:spacing w:after="0"/>
              <w:rPr>
                <w:sz w:val="12"/>
                <w:szCs w:val="12"/>
                <w:color w:val="auto"/>
              </w:rPr>
            </w:pPr>
          </w:p>
        </w:tc>
        <w:tc>
          <w:tcPr>
            <w:tcW w:w="940" w:type="dxa"/>
            <w:vAlign w:val="bottom"/>
          </w:tcPr>
          <w:p>
            <w:pPr>
              <w:spacing w:after="0"/>
              <w:rPr>
                <w:sz w:val="12"/>
                <w:szCs w:val="12"/>
                <w:color w:val="auto"/>
              </w:rPr>
            </w:pPr>
          </w:p>
        </w:tc>
        <w:tc>
          <w:tcPr>
            <w:tcW w:w="1840" w:type="dxa"/>
            <w:vAlign w:val="bottom"/>
          </w:tcPr>
          <w:p>
            <w:pPr>
              <w:ind w:left="600"/>
              <w:spacing w:after="0"/>
              <w:rPr>
                <w:sz w:val="20"/>
                <w:szCs w:val="20"/>
                <w:color w:val="auto"/>
              </w:rPr>
            </w:pPr>
            <w:r>
              <w:rPr>
                <w:rFonts w:ascii="Arial" w:cs="Arial" w:eastAsia="Arial" w:hAnsi="Arial"/>
                <w:sz w:val="12"/>
                <w:szCs w:val="12"/>
                <w:color w:val="auto"/>
              </w:rPr>
              <w:t>Director</w:t>
            </w:r>
          </w:p>
        </w:tc>
        <w:tc>
          <w:tcPr>
            <w:tcW w:w="1460" w:type="dxa"/>
            <w:vAlign w:val="bottom"/>
          </w:tcPr>
          <w:p>
            <w:pPr>
              <w:ind w:left="340"/>
              <w:spacing w:after="0"/>
              <w:rPr>
                <w:sz w:val="20"/>
                <w:szCs w:val="20"/>
                <w:color w:val="auto"/>
              </w:rPr>
            </w:pPr>
            <w:r>
              <w:rPr>
                <w:rFonts w:ascii="Arial" w:cs="Arial" w:eastAsia="Arial" w:hAnsi="Arial"/>
                <w:sz w:val="12"/>
                <w:szCs w:val="12"/>
                <w:color w:val="auto"/>
              </w:rPr>
              <w:t>10% Owner</w:t>
            </w:r>
          </w:p>
        </w:tc>
      </w:tr>
      <w:tr>
        <w:trPr>
          <w:trHeight w:val="147"/>
        </w:trPr>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40" w:type="dxa"/>
            <w:vAlign w:val="bottom"/>
          </w:tcPr>
          <w:p>
            <w:pPr>
              <w:ind w:left="600"/>
              <w:spacing w:after="0"/>
              <w:rPr>
                <w:sz w:val="20"/>
                <w:szCs w:val="20"/>
                <w:color w:val="auto"/>
              </w:rPr>
            </w:pPr>
            <w:r>
              <w:rPr>
                <w:rFonts w:ascii="Arial" w:cs="Arial" w:eastAsia="Arial" w:hAnsi="Arial"/>
                <w:sz w:val="12"/>
                <w:szCs w:val="12"/>
                <w:color w:val="auto"/>
              </w:rPr>
              <w:t>Officer (give title</w:t>
            </w:r>
          </w:p>
        </w:tc>
        <w:tc>
          <w:tcPr>
            <w:tcW w:w="1460" w:type="dxa"/>
            <w:vAlign w:val="bottom"/>
          </w:tcPr>
          <w:p>
            <w:pPr>
              <w:ind w:left="340"/>
              <w:spacing w:after="0"/>
              <w:rPr>
                <w:sz w:val="20"/>
                <w:szCs w:val="20"/>
                <w:color w:val="auto"/>
              </w:rPr>
            </w:pPr>
            <w:r>
              <w:rPr>
                <w:rFonts w:ascii="Arial" w:cs="Arial" w:eastAsia="Arial" w:hAnsi="Arial"/>
                <w:sz w:val="12"/>
                <w:szCs w:val="12"/>
                <w:color w:val="auto"/>
              </w:rPr>
              <w:t>Other (specify</w:t>
            </w:r>
          </w:p>
        </w:tc>
      </w:tr>
      <w:tr>
        <w:trPr>
          <w:trHeight w:val="130"/>
        </w:trPr>
        <w:tc>
          <w:tcPr>
            <w:tcW w:w="6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70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1840" w:type="dxa"/>
            <w:vAlign w:val="bottom"/>
          </w:tcPr>
          <w:p>
            <w:pPr>
              <w:ind w:left="600"/>
              <w:spacing w:after="0" w:line="105" w:lineRule="exact"/>
              <w:rPr>
                <w:sz w:val="20"/>
                <w:szCs w:val="20"/>
                <w:color w:val="auto"/>
              </w:rPr>
            </w:pPr>
            <w:r>
              <w:rPr>
                <w:rFonts w:ascii="Arial" w:cs="Arial" w:eastAsia="Arial" w:hAnsi="Arial"/>
                <w:sz w:val="12"/>
                <w:szCs w:val="12"/>
                <w:color w:val="auto"/>
              </w:rPr>
              <w:t>below)</w:t>
            </w:r>
          </w:p>
        </w:tc>
        <w:tc>
          <w:tcPr>
            <w:tcW w:w="1460" w:type="dxa"/>
            <w:vAlign w:val="bottom"/>
          </w:tcPr>
          <w:p>
            <w:pPr>
              <w:ind w:left="340"/>
              <w:spacing w:after="0" w:line="105" w:lineRule="exact"/>
              <w:rPr>
                <w:sz w:val="20"/>
                <w:szCs w:val="20"/>
                <w:color w:val="auto"/>
              </w:rPr>
            </w:pPr>
            <w:r>
              <w:rPr>
                <w:rFonts w:ascii="Arial" w:cs="Arial" w:eastAsia="Arial" w:hAnsi="Arial"/>
                <w:sz w:val="12"/>
                <w:szCs w:val="12"/>
                <w:color w:val="auto"/>
              </w:rPr>
              <w:t>below)</w:t>
            </w:r>
          </w:p>
        </w:tc>
      </w:tr>
      <w:tr>
        <w:trPr>
          <w:trHeight w:val="199"/>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3.</w:t>
            </w:r>
          </w:p>
        </w:tc>
        <w:tc>
          <w:tcPr>
            <w:tcW w:w="3640" w:type="dxa"/>
            <w:vAlign w:val="bottom"/>
            <w:gridSpan w:val="2"/>
          </w:tcPr>
          <w:p>
            <w:pPr>
              <w:ind w:left="20"/>
              <w:spacing w:after="0"/>
              <w:rPr>
                <w:sz w:val="20"/>
                <w:szCs w:val="20"/>
                <w:color w:val="auto"/>
              </w:rPr>
            </w:pPr>
            <w:r>
              <w:rPr>
                <w:rFonts w:ascii="Arial" w:cs="Arial" w:eastAsia="Arial" w:hAnsi="Arial"/>
                <w:sz w:val="12"/>
                <w:szCs w:val="12"/>
                <w:color w:val="auto"/>
              </w:rPr>
              <w:t>Date of Earliest Transaction (Month/Day/Year)</w:t>
            </w:r>
          </w:p>
        </w:tc>
        <w:tc>
          <w:tcPr>
            <w:tcW w:w="330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0000FF"/>
              </w:rPr>
              <w:t>Chief Technology Officer</w:t>
            </w:r>
          </w:p>
        </w:tc>
      </w:tr>
      <w:tr>
        <w:trPr>
          <w:trHeight w:val="210"/>
        </w:trPr>
        <w:tc>
          <w:tcPr>
            <w:tcW w:w="288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04/01/2025</w:t>
            </w:r>
          </w:p>
        </w:tc>
        <w:tc>
          <w:tcPr>
            <w:tcW w:w="9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380"/>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2"/>
          </w:tcPr>
          <w:p>
            <w:pPr>
              <w:spacing w:after="0"/>
              <w:rPr>
                <w:sz w:val="24"/>
                <w:szCs w:val="24"/>
                <w:color w:val="auto"/>
              </w:rPr>
            </w:pPr>
          </w:p>
        </w:tc>
      </w:tr>
      <w:tr>
        <w:trPr>
          <w:trHeight w:val="202"/>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4.</w:t>
            </w:r>
          </w:p>
        </w:tc>
        <w:tc>
          <w:tcPr>
            <w:tcW w:w="3640" w:type="dxa"/>
            <w:vAlign w:val="bottom"/>
            <w:gridSpan w:val="2"/>
          </w:tcPr>
          <w:p>
            <w:pPr>
              <w:ind w:left="20"/>
              <w:spacing w:after="0"/>
              <w:rPr>
                <w:sz w:val="20"/>
                <w:szCs w:val="20"/>
                <w:color w:val="auto"/>
              </w:rPr>
            </w:pPr>
            <w:r>
              <w:rPr>
                <w:rFonts w:ascii="Arial" w:cs="Arial" w:eastAsia="Arial" w:hAnsi="Arial"/>
                <w:sz w:val="12"/>
                <w:szCs w:val="12"/>
                <w:color w:val="auto"/>
              </w:rPr>
              <w:t>If Amendment, Date of Original Filed (Month/Day/Year)</w:t>
            </w:r>
          </w:p>
        </w:tc>
        <w:tc>
          <w:tcPr>
            <w:tcW w:w="3300" w:type="dxa"/>
            <w:vAlign w:val="bottom"/>
            <w:gridSpan w:val="2"/>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r>
      <w:tr>
        <w:trPr>
          <w:trHeight w:val="199"/>
        </w:trPr>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300" w:type="dxa"/>
            <w:vAlign w:val="bottom"/>
            <w:gridSpan w:val="2"/>
          </w:tcPr>
          <w:p>
            <w:pPr>
              <w:ind w:left="600"/>
              <w:spacing w:after="0"/>
              <w:rPr>
                <w:sz w:val="20"/>
                <w:szCs w:val="20"/>
                <w:color w:val="auto"/>
              </w:rPr>
            </w:pPr>
            <w:r>
              <w:rPr>
                <w:rFonts w:ascii="Arial" w:cs="Arial" w:eastAsia="Arial" w:hAnsi="Arial"/>
                <w:sz w:val="12"/>
                <w:szCs w:val="12"/>
                <w:color w:val="auto"/>
              </w:rPr>
              <w:t>Form filed by One Reporting Person</w:t>
            </w:r>
          </w:p>
        </w:tc>
      </w:tr>
      <w:tr>
        <w:trPr>
          <w:trHeight w:val="212"/>
        </w:trPr>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300" w:type="dxa"/>
            <w:vAlign w:val="bottom"/>
            <w:gridSpan w:val="2"/>
          </w:tcPr>
          <w:p>
            <w:pPr>
              <w:ind w:left="600"/>
              <w:spacing w:after="0"/>
              <w:rPr>
                <w:sz w:val="20"/>
                <w:szCs w:val="20"/>
                <w:color w:val="auto"/>
              </w:rPr>
            </w:pPr>
            <w:r>
              <w:rPr>
                <w:rFonts w:ascii="Arial" w:cs="Arial" w:eastAsia="Arial" w:hAnsi="Arial"/>
                <w:sz w:val="12"/>
                <w:szCs w:val="12"/>
                <w:color w:val="auto"/>
              </w:rPr>
              <w:t>Form filed by More than One Reporting Person</w:t>
            </w:r>
          </w:p>
        </w:tc>
      </w:tr>
    </w:tbl>
    <w:p>
      <w:pPr>
        <w:spacing w:after="0" w:line="445" w:lineRule="exact"/>
        <w:rPr>
          <w:sz w:val="24"/>
          <w:szCs w:val="24"/>
          <w:color w:val="auto"/>
        </w:rPr>
      </w:pPr>
    </w:p>
    <w:p>
      <w:pPr>
        <w:sectPr>
          <w:pgSz w:w="11900" w:h="16838" w:orient="portrait"/>
          <w:cols w:equalWidth="0" w:num="2">
            <w:col w:w="3760" w:space="80"/>
            <w:col w:w="7240"/>
          </w:cols>
          <w:pgMar w:left="460" w:top="214" w:right="359" w:bottom="3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760" w:type="dxa"/>
            <w:vAlign w:val="bottom"/>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580" w:type="dxa"/>
            <w:vAlign w:val="bottom"/>
          </w:tcPr>
          <w:p>
            <w:pPr>
              <w:ind w:left="600"/>
              <w:spacing w:after="0"/>
              <w:rPr>
                <w:sz w:val="20"/>
                <w:szCs w:val="20"/>
                <w:color w:val="auto"/>
              </w:rPr>
            </w:pPr>
            <w:r>
              <w:rPr>
                <w:rFonts w:ascii="Arial" w:cs="Arial" w:eastAsia="Arial" w:hAnsi="Arial"/>
                <w:sz w:val="11"/>
                <w:szCs w:val="11"/>
                <w:b w:val="1"/>
                <w:bCs w:val="1"/>
                <w:color w:val="auto"/>
              </w:rPr>
              <w:t>2. Transaction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1960" w:type="dxa"/>
            <w:vAlign w:val="bottom"/>
            <w:gridSpan w:val="3"/>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0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1580" w:type="dxa"/>
            <w:vAlign w:val="bottom"/>
          </w:tcPr>
          <w:p>
            <w:pPr>
              <w:ind w:left="600"/>
              <w:spacing w:after="0" w:line="125"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Transaction</w:t>
            </w:r>
          </w:p>
        </w:tc>
        <w:tc>
          <w:tcPr>
            <w:tcW w:w="196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Form: Direct</w:t>
            </w:r>
          </w:p>
        </w:tc>
        <w:tc>
          <w:tcPr>
            <w:tcW w:w="80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Indirect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1580" w:type="dxa"/>
            <w:vAlign w:val="bottom"/>
          </w:tcPr>
          <w:p>
            <w:pPr>
              <w:jc w:val="center"/>
              <w:ind w:left="470"/>
              <w:spacing w:after="0" w:line="125" w:lineRule="exact"/>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Code (Instr.</w:t>
            </w:r>
          </w:p>
        </w:tc>
        <w:tc>
          <w:tcPr>
            <w:tcW w:w="7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(D) or Indirect</w:t>
            </w:r>
          </w:p>
        </w:tc>
        <w:tc>
          <w:tcPr>
            <w:tcW w:w="80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Beneficial</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8)</w:t>
            </w:r>
          </w:p>
        </w:tc>
        <w:tc>
          <w:tcPr>
            <w:tcW w:w="7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(I) (Instr. 4)</w:t>
            </w:r>
          </w:p>
        </w:tc>
        <w:tc>
          <w:tcPr>
            <w:tcW w:w="80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Ownership</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15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0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5"/>
                <w:szCs w:val="5"/>
                <w:color w:val="auto"/>
              </w:rPr>
            </w:pPr>
          </w:p>
        </w:tc>
        <w:tc>
          <w:tcPr>
            <w:tcW w:w="800" w:type="dxa"/>
            <w:vAlign w:val="bottom"/>
            <w:vMerge w:val="restart"/>
          </w:tcPr>
          <w:p>
            <w:pPr>
              <w:ind w:left="100"/>
              <w:spacing w:after="0" w:line="125" w:lineRule="exact"/>
              <w:rPr>
                <w:sz w:val="20"/>
                <w:szCs w:val="20"/>
                <w:color w:val="auto"/>
              </w:rPr>
            </w:pPr>
            <w:r>
              <w:rPr>
                <w:rFonts w:ascii="Arial" w:cs="Arial" w:eastAsia="Arial" w:hAnsi="Arial"/>
                <w:sz w:val="11"/>
                <w:szCs w:val="11"/>
                <w:b w:val="1"/>
                <w:bCs w:val="1"/>
                <w:color w:val="auto"/>
              </w:rPr>
              <w:t>(Instr. 4)</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76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52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52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15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Common Stock, $0.01 par value</w:t>
            </w:r>
          </w:p>
        </w:tc>
        <w:tc>
          <w:tcPr>
            <w:tcW w:w="1580" w:type="dxa"/>
            <w:vAlign w:val="bottom"/>
            <w:tcBorders>
              <w:bottom w:val="single" w:sz="8" w:color="2C2C2C"/>
            </w:tcBorders>
          </w:tcPr>
          <w:p>
            <w:pPr>
              <w:jc w:val="center"/>
              <w:ind w:left="450"/>
              <w:spacing w:after="0"/>
              <w:rPr>
                <w:sz w:val="20"/>
                <w:szCs w:val="20"/>
                <w:color w:val="auto"/>
              </w:rPr>
            </w:pPr>
            <w:r>
              <w:rPr>
                <w:rFonts w:ascii="Times New Roman" w:cs="Times New Roman" w:eastAsia="Times New Roman" w:hAnsi="Times New Roman"/>
                <w:sz w:val="16"/>
                <w:szCs w:val="16"/>
                <w:color w:val="0000FF"/>
              </w:rPr>
              <w:t>04/01/2025</w:t>
            </w:r>
          </w:p>
        </w:tc>
        <w:tc>
          <w:tcPr>
            <w:tcW w:w="10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41"/>
              <w:spacing w:after="0"/>
              <w:rPr>
                <w:sz w:val="20"/>
                <w:szCs w:val="20"/>
                <w:color w:val="auto"/>
              </w:rPr>
            </w:pPr>
            <w:r>
              <w:rPr>
                <w:rFonts w:ascii="Times New Roman" w:cs="Times New Roman" w:eastAsia="Times New Roman" w:hAnsi="Times New Roman"/>
                <w:sz w:val="12"/>
                <w:szCs w:val="12"/>
                <w:color w:val="0000FF"/>
                <w:w w:val="93"/>
              </w:rPr>
              <w:t>M</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2,290</w:t>
            </w:r>
          </w:p>
        </w:tc>
        <w:tc>
          <w:tcPr>
            <w:tcW w:w="5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6"/>
                <w:szCs w:val="16"/>
                <w:color w:val="0000FF"/>
              </w:rPr>
              <w:t>A</w:t>
            </w:r>
          </w:p>
        </w:tc>
        <w:tc>
          <w:tcPr>
            <w:tcW w:w="660" w:type="dxa"/>
            <w:vAlign w:val="bottom"/>
            <w:tcBorders>
              <w:bottom w:val="single" w:sz="8" w:color="2C2C2C"/>
            </w:tcBorders>
          </w:tcPr>
          <w:p>
            <w:pPr>
              <w:jc w:val="center"/>
              <w:spacing w:after="0" w:line="299" w:lineRule="exact"/>
              <w:rPr>
                <w:sz w:val="20"/>
                <w:szCs w:val="20"/>
                <w:color w:val="auto"/>
              </w:rPr>
            </w:pPr>
            <w:r>
              <w:rPr>
                <w:rFonts w:ascii="Arial" w:cs="Arial" w:eastAsia="Arial" w:hAnsi="Arial"/>
                <w:sz w:val="32"/>
                <w:szCs w:val="32"/>
                <w:color w:val="000000"/>
                <w:w w:val="81"/>
                <w:vertAlign w:val="subscript"/>
              </w:rPr>
              <w:t>$</w:t>
            </w:r>
            <w:r>
              <w:rPr>
                <w:rFonts w:ascii="Times New Roman" w:cs="Times New Roman" w:eastAsia="Times New Roman" w:hAnsi="Times New Roman"/>
                <w:sz w:val="32"/>
                <w:szCs w:val="32"/>
                <w:color w:val="0000FF"/>
                <w:w w:val="81"/>
                <w:vertAlign w:val="subscript"/>
              </w:rPr>
              <w:t>0</w:t>
            </w:r>
            <w:r>
              <w:rPr>
                <w:rFonts w:ascii="Times New Roman" w:cs="Times New Roman" w:eastAsia="Times New Roman" w:hAnsi="Times New Roman"/>
                <w:sz w:val="10"/>
                <w:szCs w:val="10"/>
                <w:color w:val="008000"/>
                <w:w w:val="81"/>
              </w:rPr>
              <w:t>(1)</w:t>
            </w:r>
          </w:p>
        </w:tc>
        <w:tc>
          <w:tcPr>
            <w:tcW w:w="110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6"/>
                <w:szCs w:val="16"/>
                <w:color w:val="0000FF"/>
              </w:rPr>
              <w:t>15,023</w:t>
            </w:r>
          </w:p>
        </w:tc>
        <w:tc>
          <w:tcPr>
            <w:tcW w:w="94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16"/>
                <w:szCs w:val="16"/>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Common Stock, $0.01 par value</w:t>
            </w:r>
          </w:p>
        </w:tc>
        <w:tc>
          <w:tcPr>
            <w:tcW w:w="1580" w:type="dxa"/>
            <w:vAlign w:val="bottom"/>
            <w:tcBorders>
              <w:bottom w:val="single" w:sz="8" w:color="2C2C2C"/>
            </w:tcBorders>
          </w:tcPr>
          <w:p>
            <w:pPr>
              <w:jc w:val="center"/>
              <w:ind w:left="450"/>
              <w:spacing w:after="0"/>
              <w:rPr>
                <w:sz w:val="20"/>
                <w:szCs w:val="20"/>
                <w:color w:val="auto"/>
              </w:rPr>
            </w:pPr>
            <w:r>
              <w:rPr>
                <w:rFonts w:ascii="Times New Roman" w:cs="Times New Roman" w:eastAsia="Times New Roman" w:hAnsi="Times New Roman"/>
                <w:sz w:val="16"/>
                <w:szCs w:val="16"/>
                <w:color w:val="0000FF"/>
              </w:rPr>
              <w:t>04/01/2025</w:t>
            </w:r>
          </w:p>
        </w:tc>
        <w:tc>
          <w:tcPr>
            <w:tcW w:w="10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41"/>
              <w:spacing w:after="0"/>
              <w:rPr>
                <w:sz w:val="20"/>
                <w:szCs w:val="20"/>
                <w:color w:val="auto"/>
              </w:rPr>
            </w:pPr>
            <w:r>
              <w:rPr>
                <w:rFonts w:ascii="Times New Roman" w:cs="Times New Roman" w:eastAsia="Times New Roman" w:hAnsi="Times New Roman"/>
                <w:sz w:val="12"/>
                <w:szCs w:val="12"/>
                <w:color w:val="0000FF"/>
                <w:w w:val="93"/>
              </w:rPr>
              <w:t>M</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3,164</w:t>
            </w:r>
          </w:p>
        </w:tc>
        <w:tc>
          <w:tcPr>
            <w:tcW w:w="5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6"/>
                <w:szCs w:val="16"/>
                <w:color w:val="0000FF"/>
              </w:rPr>
              <w:t>A</w:t>
            </w:r>
          </w:p>
        </w:tc>
        <w:tc>
          <w:tcPr>
            <w:tcW w:w="660" w:type="dxa"/>
            <w:vAlign w:val="bottom"/>
            <w:tcBorders>
              <w:bottom w:val="single" w:sz="8" w:color="2C2C2C"/>
            </w:tcBorders>
          </w:tcPr>
          <w:p>
            <w:pPr>
              <w:jc w:val="center"/>
              <w:spacing w:after="0" w:line="299" w:lineRule="exact"/>
              <w:rPr>
                <w:sz w:val="20"/>
                <w:szCs w:val="20"/>
                <w:color w:val="auto"/>
              </w:rPr>
            </w:pPr>
            <w:r>
              <w:rPr>
                <w:rFonts w:ascii="Arial" w:cs="Arial" w:eastAsia="Arial" w:hAnsi="Arial"/>
                <w:sz w:val="32"/>
                <w:szCs w:val="32"/>
                <w:color w:val="000000"/>
                <w:w w:val="81"/>
                <w:vertAlign w:val="subscript"/>
              </w:rPr>
              <w:t>$</w:t>
            </w:r>
            <w:r>
              <w:rPr>
                <w:rFonts w:ascii="Times New Roman" w:cs="Times New Roman" w:eastAsia="Times New Roman" w:hAnsi="Times New Roman"/>
                <w:sz w:val="32"/>
                <w:szCs w:val="32"/>
                <w:color w:val="0000FF"/>
                <w:w w:val="81"/>
                <w:vertAlign w:val="subscript"/>
              </w:rPr>
              <w:t>0</w:t>
            </w:r>
            <w:r>
              <w:rPr>
                <w:rFonts w:ascii="Times New Roman" w:cs="Times New Roman" w:eastAsia="Times New Roman" w:hAnsi="Times New Roman"/>
                <w:sz w:val="10"/>
                <w:szCs w:val="10"/>
                <w:color w:val="008000"/>
                <w:w w:val="81"/>
              </w:rPr>
              <w:t>(1)</w:t>
            </w:r>
          </w:p>
        </w:tc>
        <w:tc>
          <w:tcPr>
            <w:tcW w:w="110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6"/>
                <w:szCs w:val="16"/>
                <w:color w:val="0000FF"/>
              </w:rPr>
              <w:t>18,187</w:t>
            </w:r>
          </w:p>
        </w:tc>
        <w:tc>
          <w:tcPr>
            <w:tcW w:w="94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16"/>
                <w:szCs w:val="16"/>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Common Stock, $0.01 par value</w:t>
            </w:r>
          </w:p>
        </w:tc>
        <w:tc>
          <w:tcPr>
            <w:tcW w:w="1580" w:type="dxa"/>
            <w:vAlign w:val="bottom"/>
            <w:tcBorders>
              <w:bottom w:val="single" w:sz="8" w:color="2C2C2C"/>
            </w:tcBorders>
          </w:tcPr>
          <w:p>
            <w:pPr>
              <w:jc w:val="center"/>
              <w:ind w:left="450"/>
              <w:spacing w:after="0"/>
              <w:rPr>
                <w:sz w:val="20"/>
                <w:szCs w:val="20"/>
                <w:color w:val="auto"/>
              </w:rPr>
            </w:pPr>
            <w:r>
              <w:rPr>
                <w:rFonts w:ascii="Times New Roman" w:cs="Times New Roman" w:eastAsia="Times New Roman" w:hAnsi="Times New Roman"/>
                <w:sz w:val="16"/>
                <w:szCs w:val="16"/>
                <w:color w:val="0000FF"/>
              </w:rPr>
              <w:t>04/01/2025</w:t>
            </w:r>
          </w:p>
        </w:tc>
        <w:tc>
          <w:tcPr>
            <w:tcW w:w="10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41"/>
              <w:spacing w:after="0"/>
              <w:rPr>
                <w:sz w:val="20"/>
                <w:szCs w:val="20"/>
                <w:color w:val="auto"/>
              </w:rPr>
            </w:pPr>
            <w:r>
              <w:rPr>
                <w:rFonts w:ascii="Times New Roman" w:cs="Times New Roman" w:eastAsia="Times New Roman" w:hAnsi="Times New Roman"/>
                <w:sz w:val="12"/>
                <w:szCs w:val="12"/>
                <w:color w:val="0000FF"/>
                <w:w w:val="93"/>
              </w:rPr>
              <w:t>M</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4,930</w:t>
            </w:r>
          </w:p>
        </w:tc>
        <w:tc>
          <w:tcPr>
            <w:tcW w:w="5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6"/>
                <w:szCs w:val="16"/>
                <w:color w:val="0000FF"/>
              </w:rPr>
              <w:t>A</w:t>
            </w:r>
          </w:p>
        </w:tc>
        <w:tc>
          <w:tcPr>
            <w:tcW w:w="660" w:type="dxa"/>
            <w:vAlign w:val="bottom"/>
            <w:tcBorders>
              <w:bottom w:val="single" w:sz="8" w:color="2C2C2C"/>
            </w:tcBorders>
          </w:tcPr>
          <w:p>
            <w:pPr>
              <w:jc w:val="center"/>
              <w:spacing w:after="0" w:line="299" w:lineRule="exact"/>
              <w:rPr>
                <w:sz w:val="20"/>
                <w:szCs w:val="20"/>
                <w:color w:val="auto"/>
              </w:rPr>
            </w:pPr>
            <w:r>
              <w:rPr>
                <w:rFonts w:ascii="Arial" w:cs="Arial" w:eastAsia="Arial" w:hAnsi="Arial"/>
                <w:sz w:val="32"/>
                <w:szCs w:val="32"/>
                <w:color w:val="000000"/>
                <w:w w:val="81"/>
                <w:vertAlign w:val="subscript"/>
              </w:rPr>
              <w:t>$</w:t>
            </w:r>
            <w:r>
              <w:rPr>
                <w:rFonts w:ascii="Times New Roman" w:cs="Times New Roman" w:eastAsia="Times New Roman" w:hAnsi="Times New Roman"/>
                <w:sz w:val="32"/>
                <w:szCs w:val="32"/>
                <w:color w:val="0000FF"/>
                <w:w w:val="81"/>
                <w:vertAlign w:val="subscript"/>
              </w:rPr>
              <w:t>0</w:t>
            </w:r>
            <w:r>
              <w:rPr>
                <w:rFonts w:ascii="Times New Roman" w:cs="Times New Roman" w:eastAsia="Times New Roman" w:hAnsi="Times New Roman"/>
                <w:sz w:val="10"/>
                <w:szCs w:val="10"/>
                <w:color w:val="008000"/>
                <w:w w:val="81"/>
              </w:rPr>
              <w:t>(1)</w:t>
            </w:r>
          </w:p>
        </w:tc>
        <w:tc>
          <w:tcPr>
            <w:tcW w:w="110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6"/>
                <w:szCs w:val="16"/>
                <w:color w:val="0000FF"/>
              </w:rPr>
              <w:t>23,117</w:t>
            </w:r>
          </w:p>
        </w:tc>
        <w:tc>
          <w:tcPr>
            <w:tcW w:w="94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16"/>
                <w:szCs w:val="16"/>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Common Stock, $0.01 par value</w:t>
            </w:r>
          </w:p>
        </w:tc>
        <w:tc>
          <w:tcPr>
            <w:tcW w:w="1580" w:type="dxa"/>
            <w:vAlign w:val="bottom"/>
            <w:tcBorders>
              <w:bottom w:val="single" w:sz="8" w:color="2C2C2C"/>
            </w:tcBorders>
          </w:tcPr>
          <w:p>
            <w:pPr>
              <w:jc w:val="center"/>
              <w:ind w:left="450"/>
              <w:spacing w:after="0"/>
              <w:rPr>
                <w:sz w:val="20"/>
                <w:szCs w:val="20"/>
                <w:color w:val="auto"/>
              </w:rPr>
            </w:pPr>
            <w:r>
              <w:rPr>
                <w:rFonts w:ascii="Times New Roman" w:cs="Times New Roman" w:eastAsia="Times New Roman" w:hAnsi="Times New Roman"/>
                <w:sz w:val="16"/>
                <w:szCs w:val="16"/>
                <w:color w:val="0000FF"/>
              </w:rPr>
              <w:t>04/01/2025</w:t>
            </w:r>
          </w:p>
        </w:tc>
        <w:tc>
          <w:tcPr>
            <w:tcW w:w="10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41"/>
              <w:spacing w:after="0"/>
              <w:rPr>
                <w:sz w:val="20"/>
                <w:szCs w:val="20"/>
                <w:color w:val="auto"/>
              </w:rPr>
            </w:pPr>
            <w:r>
              <w:rPr>
                <w:rFonts w:ascii="Times New Roman" w:cs="Times New Roman" w:eastAsia="Times New Roman" w:hAnsi="Times New Roman"/>
                <w:sz w:val="12"/>
                <w:szCs w:val="12"/>
                <w:color w:val="0000FF"/>
                <w:w w:val="89"/>
              </w:rPr>
              <w:t>F</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3"/>
              </w:rPr>
              <w:t>2,981</w:t>
            </w:r>
            <w:r>
              <w:rPr>
                <w:rFonts w:ascii="Times New Roman" w:cs="Times New Roman" w:eastAsia="Times New Roman" w:hAnsi="Times New Roman"/>
                <w:sz w:val="20"/>
                <w:szCs w:val="20"/>
                <w:color w:val="008000"/>
                <w:w w:val="93"/>
                <w:vertAlign w:val="superscript"/>
              </w:rPr>
              <w:t>(2)</w:t>
            </w:r>
          </w:p>
        </w:tc>
        <w:tc>
          <w:tcPr>
            <w:tcW w:w="5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1.46</w:t>
            </w:r>
          </w:p>
        </w:tc>
        <w:tc>
          <w:tcPr>
            <w:tcW w:w="110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6"/>
                <w:szCs w:val="16"/>
                <w:color w:val="0000FF"/>
              </w:rPr>
              <w:t>20,136</w:t>
            </w:r>
          </w:p>
        </w:tc>
        <w:tc>
          <w:tcPr>
            <w:tcW w:w="94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16"/>
                <w:szCs w:val="16"/>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2"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19"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1" w:lineRule="exact"/>
        <w:rPr>
          <w:sz w:val="24"/>
          <w:szCs w:val="24"/>
          <w:color w:val="auto"/>
        </w:rPr>
      </w:pPr>
    </w:p>
    <w:tbl>
      <w:tblPr>
        <w:tblLayout w:type="fixed"/>
        <w:tblInd w:w="20" w:type="dxa"/>
        <w:tblCellMar>
          <w:top w:w="0" w:type="dxa"/>
          <w:left w:w="0" w:type="dxa"/>
          <w:bottom w:w="0" w:type="dxa"/>
          <w:right w:w="0" w:type="dxa"/>
        </w:tblCellMar>
      </w:tblP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5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60" w:type="dxa"/>
            <w:vAlign w:val="bottom"/>
          </w:tcPr>
          <w:p>
            <w:pPr>
              <w:jc w:val="center"/>
              <w:spacing w:after="0"/>
              <w:rPr>
                <w:sz w:val="20"/>
                <w:szCs w:val="20"/>
                <w:color w:val="auto"/>
              </w:rPr>
            </w:pPr>
            <w:r>
              <w:rPr>
                <w:rFonts w:ascii="Arial" w:cs="Arial" w:eastAsia="Arial" w:hAnsi="Arial"/>
                <w:sz w:val="11"/>
                <w:szCs w:val="11"/>
                <w:b w:val="1"/>
                <w:bCs w:val="1"/>
                <w:color w:val="auto"/>
              </w:rPr>
              <w:t>8. Price of</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90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5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of Securities</w:t>
            </w:r>
          </w:p>
        </w:tc>
        <w:tc>
          <w:tcPr>
            <w:tcW w:w="66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Derivative</w:t>
            </w:r>
          </w:p>
        </w:tc>
        <w:tc>
          <w:tcPr>
            <w:tcW w:w="9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5"/>
        </w:trPr>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90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Securities</w:t>
            </w:r>
          </w:p>
        </w:tc>
        <w:tc>
          <w:tcPr>
            <w:tcW w:w="15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3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Underlying Derivative</w:t>
            </w: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9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Form:</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90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Security (Instr. 3 and</w:t>
            </w: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5)</w:t>
            </w:r>
          </w:p>
        </w:tc>
        <w:tc>
          <w:tcPr>
            <w:tcW w:w="9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Direct (D)</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0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4)</w:t>
            </w: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Indirect</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0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of (D) (Instr. 3,</w:t>
            </w:r>
          </w:p>
        </w:tc>
        <w:tc>
          <w:tcPr>
            <w:tcW w:w="7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4 and 5)</w:t>
            </w:r>
          </w:p>
        </w:tc>
        <w:tc>
          <w:tcPr>
            <w:tcW w:w="3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Pr>
          <w:p>
            <w:pPr>
              <w:spacing w:after="0"/>
              <w:rPr>
                <w:sz w:val="5"/>
                <w:szCs w:val="5"/>
                <w:color w:val="auto"/>
              </w:rPr>
            </w:pPr>
          </w:p>
        </w:tc>
        <w:tc>
          <w:tcPr>
            <w:tcW w:w="900" w:type="dxa"/>
            <w:vAlign w:val="bottom"/>
            <w:vMerge w:val="restart"/>
          </w:tcPr>
          <w:p>
            <w:pPr>
              <w:ind w:left="80"/>
              <w:spacing w:after="0" w:line="125" w:lineRule="exact"/>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3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Amount or</w:t>
            </w:r>
          </w:p>
        </w:tc>
        <w:tc>
          <w:tcPr>
            <w:tcW w:w="660" w:type="dxa"/>
            <w:vAlign w:val="bottom"/>
          </w:tcPr>
          <w:p>
            <w:pPr>
              <w:spacing w:after="0"/>
              <w:rPr>
                <w:sz w:val="10"/>
                <w:szCs w:val="10"/>
                <w:color w:val="auto"/>
              </w:rPr>
            </w:pPr>
          </w:p>
        </w:tc>
        <w:tc>
          <w:tcPr>
            <w:tcW w:w="9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8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0"/>
                <w:szCs w:val="10"/>
                <w:color w:val="auto"/>
              </w:rPr>
            </w:pP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Number of</w:t>
            </w:r>
          </w:p>
        </w:tc>
        <w:tc>
          <w:tcPr>
            <w:tcW w:w="6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38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Shares</w:t>
            </w: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vMerge w:val="restart"/>
          </w:tcPr>
          <w:p>
            <w:pPr>
              <w:jc w:val="right"/>
              <w:ind w:right="266"/>
              <w:spacing w:after="0"/>
              <w:rPr>
                <w:sz w:val="20"/>
                <w:szCs w:val="20"/>
                <w:color w:val="auto"/>
              </w:rPr>
            </w:pPr>
            <w:r>
              <w:rPr>
                <w:rFonts w:ascii="Times New Roman" w:cs="Times New Roman" w:eastAsia="Times New Roman" w:hAnsi="Times New Roman"/>
                <w:sz w:val="10"/>
                <w:szCs w:val="10"/>
                <w:color w:val="008000"/>
              </w:rPr>
              <w:t>(3)</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(3)</w:t>
            </w: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2,290</w:t>
            </w: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60" w:type="dxa"/>
            <w:vAlign w:val="bottom"/>
            <w:vMerge w:val="continue"/>
          </w:tcPr>
          <w:p>
            <w:pPr>
              <w:spacing w:after="0"/>
              <w:rPr>
                <w:sz w:val="5"/>
                <w:szCs w:val="5"/>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04/01/2025</w:t>
            </w:r>
          </w:p>
        </w:tc>
        <w:tc>
          <w:tcPr>
            <w:tcW w:w="1040" w:type="dxa"/>
            <w:vAlign w:val="bottom"/>
          </w:tcPr>
          <w:p>
            <w:pPr>
              <w:spacing w:after="0"/>
              <w:rPr>
                <w:sz w:val="5"/>
                <w:szCs w:val="5"/>
                <w:color w:val="auto"/>
              </w:rPr>
            </w:pPr>
          </w:p>
        </w:tc>
        <w:tc>
          <w:tcPr>
            <w:tcW w:w="780" w:type="dxa"/>
            <w:vAlign w:val="bottom"/>
            <w:vMerge w:val="restart"/>
          </w:tcPr>
          <w:p>
            <w:pPr>
              <w:ind w:left="160"/>
              <w:spacing w:after="0"/>
              <w:rPr>
                <w:sz w:val="20"/>
                <w:szCs w:val="20"/>
                <w:color w:val="auto"/>
              </w:rPr>
            </w:pPr>
            <w:r>
              <w:rPr>
                <w:rFonts w:ascii="Times New Roman" w:cs="Times New Roman" w:eastAsia="Times New Roman" w:hAnsi="Times New Roman"/>
                <w:sz w:val="12"/>
                <w:szCs w:val="12"/>
                <w:color w:val="0000FF"/>
              </w:rPr>
              <w:t>M</w:t>
            </w:r>
          </w:p>
        </w:tc>
        <w:tc>
          <w:tcPr>
            <w:tcW w:w="520" w:type="dxa"/>
            <w:vAlign w:val="bottom"/>
          </w:tcPr>
          <w:p>
            <w:pPr>
              <w:spacing w:after="0"/>
              <w:rPr>
                <w:sz w:val="5"/>
                <w:szCs w:val="5"/>
                <w:color w:val="auto"/>
              </w:rPr>
            </w:pPr>
          </w:p>
        </w:tc>
        <w:tc>
          <w:tcPr>
            <w:tcW w:w="380" w:type="dxa"/>
            <w:vAlign w:val="bottom"/>
            <w:vMerge w:val="restart"/>
          </w:tcPr>
          <w:p>
            <w:pPr>
              <w:ind w:left="40"/>
              <w:spacing w:after="0"/>
              <w:rPr>
                <w:sz w:val="20"/>
                <w:szCs w:val="20"/>
                <w:color w:val="auto"/>
              </w:rPr>
            </w:pPr>
            <w:r>
              <w:rPr>
                <w:rFonts w:ascii="Times New Roman" w:cs="Times New Roman" w:eastAsia="Times New Roman" w:hAnsi="Times New Roman"/>
                <w:sz w:val="12"/>
                <w:szCs w:val="12"/>
                <w:color w:val="0000FF"/>
              </w:rPr>
              <w:t>2,290</w:t>
            </w:r>
          </w:p>
        </w:tc>
        <w:tc>
          <w:tcPr>
            <w:tcW w:w="76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restart"/>
          </w:tcPr>
          <w:p>
            <w:pPr>
              <w:jc w:val="center"/>
              <w:spacing w:after="0" w:line="137"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2,289</w:t>
            </w:r>
          </w:p>
        </w:tc>
        <w:tc>
          <w:tcPr>
            <w:tcW w:w="720" w:type="dxa"/>
            <w:vAlign w:val="bottom"/>
            <w:vMerge w:val="restart"/>
          </w:tcPr>
          <w:p>
            <w:pPr>
              <w:ind w:left="320"/>
              <w:spacing w:after="0"/>
              <w:rPr>
                <w:sz w:val="20"/>
                <w:szCs w:val="20"/>
                <w:color w:val="auto"/>
              </w:rPr>
            </w:pPr>
            <w:r>
              <w:rPr>
                <w:rFonts w:ascii="Times New Roman" w:cs="Times New Roman" w:eastAsia="Times New Roman" w:hAnsi="Times New Roman"/>
                <w:sz w:val="12"/>
                <w:szCs w:val="12"/>
                <w:color w:val="0000FF"/>
              </w:rPr>
              <w:t>D</w:t>
            </w: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6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0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3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600" w:type="dxa"/>
            <w:vAlign w:val="bottom"/>
            <w:vMerge w:val="restart"/>
          </w:tcPr>
          <w:p>
            <w:pPr>
              <w:ind w:left="160"/>
              <w:spacing w:after="0"/>
              <w:rPr>
                <w:sz w:val="20"/>
                <w:szCs w:val="20"/>
                <w:color w:val="auto"/>
              </w:rPr>
            </w:pPr>
            <w:r>
              <w:rPr>
                <w:rFonts w:ascii="Times New Roman" w:cs="Times New Roman" w:eastAsia="Times New Roman" w:hAnsi="Times New Roman"/>
                <w:sz w:val="12"/>
                <w:szCs w:val="12"/>
                <w:color w:val="0000FF"/>
              </w:rPr>
              <w:t>Stock</w:t>
            </w:r>
          </w:p>
        </w:tc>
        <w:tc>
          <w:tcPr>
            <w:tcW w:w="7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80" w:type="dxa"/>
            <w:vAlign w:val="bottom"/>
          </w:tcPr>
          <w:p>
            <w:pPr>
              <w:spacing w:after="0"/>
              <w:rPr>
                <w:sz w:val="7"/>
                <w:szCs w:val="7"/>
                <w:color w:val="auto"/>
              </w:rPr>
            </w:pPr>
          </w:p>
        </w:tc>
        <w:tc>
          <w:tcPr>
            <w:tcW w:w="76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6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80" w:type="dxa"/>
            <w:vAlign w:val="bottom"/>
          </w:tcPr>
          <w:p>
            <w:pPr>
              <w:spacing w:after="0"/>
              <w:rPr>
                <w:sz w:val="6"/>
                <w:szCs w:val="6"/>
                <w:color w:val="auto"/>
              </w:rPr>
            </w:pPr>
          </w:p>
        </w:tc>
        <w:tc>
          <w:tcPr>
            <w:tcW w:w="76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vMerge w:val="restart"/>
          </w:tcPr>
          <w:p>
            <w:pPr>
              <w:jc w:val="right"/>
              <w:ind w:right="266"/>
              <w:spacing w:after="0"/>
              <w:rPr>
                <w:sz w:val="20"/>
                <w:szCs w:val="20"/>
                <w:color w:val="auto"/>
              </w:rPr>
            </w:pPr>
            <w:r>
              <w:rPr>
                <w:rFonts w:ascii="Times New Roman" w:cs="Times New Roman" w:eastAsia="Times New Roman" w:hAnsi="Times New Roman"/>
                <w:sz w:val="10"/>
                <w:szCs w:val="10"/>
                <w:color w:val="008000"/>
              </w:rPr>
              <w:t>(4)</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(4)</w:t>
            </w: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3,164</w:t>
            </w: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60" w:type="dxa"/>
            <w:vAlign w:val="bottom"/>
            <w:vMerge w:val="continue"/>
          </w:tcPr>
          <w:p>
            <w:pPr>
              <w:spacing w:after="0"/>
              <w:rPr>
                <w:sz w:val="5"/>
                <w:szCs w:val="5"/>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04/01/2025</w:t>
            </w:r>
          </w:p>
        </w:tc>
        <w:tc>
          <w:tcPr>
            <w:tcW w:w="1040" w:type="dxa"/>
            <w:vAlign w:val="bottom"/>
          </w:tcPr>
          <w:p>
            <w:pPr>
              <w:spacing w:after="0"/>
              <w:rPr>
                <w:sz w:val="5"/>
                <w:szCs w:val="5"/>
                <w:color w:val="auto"/>
              </w:rPr>
            </w:pPr>
          </w:p>
        </w:tc>
        <w:tc>
          <w:tcPr>
            <w:tcW w:w="780" w:type="dxa"/>
            <w:vAlign w:val="bottom"/>
            <w:vMerge w:val="restart"/>
          </w:tcPr>
          <w:p>
            <w:pPr>
              <w:ind w:left="160"/>
              <w:spacing w:after="0"/>
              <w:rPr>
                <w:sz w:val="20"/>
                <w:szCs w:val="20"/>
                <w:color w:val="auto"/>
              </w:rPr>
            </w:pPr>
            <w:r>
              <w:rPr>
                <w:rFonts w:ascii="Times New Roman" w:cs="Times New Roman" w:eastAsia="Times New Roman" w:hAnsi="Times New Roman"/>
                <w:sz w:val="12"/>
                <w:szCs w:val="12"/>
                <w:color w:val="0000FF"/>
              </w:rPr>
              <w:t>M</w:t>
            </w:r>
          </w:p>
        </w:tc>
        <w:tc>
          <w:tcPr>
            <w:tcW w:w="520" w:type="dxa"/>
            <w:vAlign w:val="bottom"/>
          </w:tcPr>
          <w:p>
            <w:pPr>
              <w:spacing w:after="0"/>
              <w:rPr>
                <w:sz w:val="5"/>
                <w:szCs w:val="5"/>
                <w:color w:val="auto"/>
              </w:rPr>
            </w:pPr>
          </w:p>
        </w:tc>
        <w:tc>
          <w:tcPr>
            <w:tcW w:w="380" w:type="dxa"/>
            <w:vAlign w:val="bottom"/>
            <w:vMerge w:val="restart"/>
          </w:tcPr>
          <w:p>
            <w:pPr>
              <w:ind w:left="40"/>
              <w:spacing w:after="0"/>
              <w:rPr>
                <w:sz w:val="20"/>
                <w:szCs w:val="20"/>
                <w:color w:val="auto"/>
              </w:rPr>
            </w:pPr>
            <w:r>
              <w:rPr>
                <w:rFonts w:ascii="Times New Roman" w:cs="Times New Roman" w:eastAsia="Times New Roman" w:hAnsi="Times New Roman"/>
                <w:sz w:val="12"/>
                <w:szCs w:val="12"/>
                <w:color w:val="0000FF"/>
              </w:rPr>
              <w:t>3,164</w:t>
            </w:r>
          </w:p>
        </w:tc>
        <w:tc>
          <w:tcPr>
            <w:tcW w:w="76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restart"/>
          </w:tcPr>
          <w:p>
            <w:pPr>
              <w:jc w:val="center"/>
              <w:spacing w:after="0" w:line="137"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6,327</w:t>
            </w:r>
          </w:p>
        </w:tc>
        <w:tc>
          <w:tcPr>
            <w:tcW w:w="720" w:type="dxa"/>
            <w:vAlign w:val="bottom"/>
            <w:vMerge w:val="restart"/>
          </w:tcPr>
          <w:p>
            <w:pPr>
              <w:ind w:left="320"/>
              <w:spacing w:after="0"/>
              <w:rPr>
                <w:sz w:val="20"/>
                <w:szCs w:val="20"/>
                <w:color w:val="auto"/>
              </w:rPr>
            </w:pPr>
            <w:r>
              <w:rPr>
                <w:rFonts w:ascii="Times New Roman" w:cs="Times New Roman" w:eastAsia="Times New Roman" w:hAnsi="Times New Roman"/>
                <w:sz w:val="12"/>
                <w:szCs w:val="12"/>
                <w:color w:val="0000FF"/>
              </w:rPr>
              <w:t>D</w:t>
            </w: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6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0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3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600" w:type="dxa"/>
            <w:vAlign w:val="bottom"/>
            <w:vMerge w:val="restart"/>
          </w:tcPr>
          <w:p>
            <w:pPr>
              <w:ind w:left="160"/>
              <w:spacing w:after="0"/>
              <w:rPr>
                <w:sz w:val="20"/>
                <w:szCs w:val="20"/>
                <w:color w:val="auto"/>
              </w:rPr>
            </w:pPr>
            <w:r>
              <w:rPr>
                <w:rFonts w:ascii="Times New Roman" w:cs="Times New Roman" w:eastAsia="Times New Roman" w:hAnsi="Times New Roman"/>
                <w:sz w:val="12"/>
                <w:szCs w:val="12"/>
                <w:color w:val="0000FF"/>
              </w:rPr>
              <w:t>Stock</w:t>
            </w:r>
          </w:p>
        </w:tc>
        <w:tc>
          <w:tcPr>
            <w:tcW w:w="7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80" w:type="dxa"/>
            <w:vAlign w:val="bottom"/>
          </w:tcPr>
          <w:p>
            <w:pPr>
              <w:spacing w:after="0"/>
              <w:rPr>
                <w:sz w:val="7"/>
                <w:szCs w:val="7"/>
                <w:color w:val="auto"/>
              </w:rPr>
            </w:pPr>
          </w:p>
        </w:tc>
        <w:tc>
          <w:tcPr>
            <w:tcW w:w="76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6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80" w:type="dxa"/>
            <w:vAlign w:val="bottom"/>
          </w:tcPr>
          <w:p>
            <w:pPr>
              <w:spacing w:after="0"/>
              <w:rPr>
                <w:sz w:val="6"/>
                <w:szCs w:val="6"/>
                <w:color w:val="auto"/>
              </w:rPr>
            </w:pPr>
          </w:p>
        </w:tc>
        <w:tc>
          <w:tcPr>
            <w:tcW w:w="76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vMerge w:val="restart"/>
          </w:tcPr>
          <w:p>
            <w:pPr>
              <w:jc w:val="right"/>
              <w:ind w:right="266"/>
              <w:spacing w:after="0"/>
              <w:rPr>
                <w:sz w:val="20"/>
                <w:szCs w:val="20"/>
                <w:color w:val="auto"/>
              </w:rPr>
            </w:pPr>
            <w:r>
              <w:rPr>
                <w:rFonts w:ascii="Times New Roman" w:cs="Times New Roman" w:eastAsia="Times New Roman" w:hAnsi="Times New Roman"/>
                <w:sz w:val="10"/>
                <w:szCs w:val="10"/>
                <w:color w:val="008000"/>
              </w:rPr>
              <w:t>(5)</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(5)</w:t>
            </w: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4,930</w:t>
            </w: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60" w:type="dxa"/>
            <w:vAlign w:val="bottom"/>
            <w:vMerge w:val="continue"/>
          </w:tcPr>
          <w:p>
            <w:pPr>
              <w:spacing w:after="0"/>
              <w:rPr>
                <w:sz w:val="5"/>
                <w:szCs w:val="5"/>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04/01/2025</w:t>
            </w:r>
          </w:p>
        </w:tc>
        <w:tc>
          <w:tcPr>
            <w:tcW w:w="1040" w:type="dxa"/>
            <w:vAlign w:val="bottom"/>
          </w:tcPr>
          <w:p>
            <w:pPr>
              <w:spacing w:after="0"/>
              <w:rPr>
                <w:sz w:val="5"/>
                <w:szCs w:val="5"/>
                <w:color w:val="auto"/>
              </w:rPr>
            </w:pPr>
          </w:p>
        </w:tc>
        <w:tc>
          <w:tcPr>
            <w:tcW w:w="780" w:type="dxa"/>
            <w:vAlign w:val="bottom"/>
            <w:vMerge w:val="restart"/>
          </w:tcPr>
          <w:p>
            <w:pPr>
              <w:ind w:left="160"/>
              <w:spacing w:after="0"/>
              <w:rPr>
                <w:sz w:val="20"/>
                <w:szCs w:val="20"/>
                <w:color w:val="auto"/>
              </w:rPr>
            </w:pPr>
            <w:r>
              <w:rPr>
                <w:rFonts w:ascii="Times New Roman" w:cs="Times New Roman" w:eastAsia="Times New Roman" w:hAnsi="Times New Roman"/>
                <w:sz w:val="12"/>
                <w:szCs w:val="12"/>
                <w:color w:val="0000FF"/>
              </w:rPr>
              <w:t>M</w:t>
            </w:r>
          </w:p>
        </w:tc>
        <w:tc>
          <w:tcPr>
            <w:tcW w:w="520" w:type="dxa"/>
            <w:vAlign w:val="bottom"/>
          </w:tcPr>
          <w:p>
            <w:pPr>
              <w:spacing w:after="0"/>
              <w:rPr>
                <w:sz w:val="5"/>
                <w:szCs w:val="5"/>
                <w:color w:val="auto"/>
              </w:rPr>
            </w:pPr>
          </w:p>
        </w:tc>
        <w:tc>
          <w:tcPr>
            <w:tcW w:w="380" w:type="dxa"/>
            <w:vAlign w:val="bottom"/>
            <w:vMerge w:val="restart"/>
          </w:tcPr>
          <w:p>
            <w:pPr>
              <w:ind w:left="40"/>
              <w:spacing w:after="0"/>
              <w:rPr>
                <w:sz w:val="20"/>
                <w:szCs w:val="20"/>
                <w:color w:val="auto"/>
              </w:rPr>
            </w:pPr>
            <w:r>
              <w:rPr>
                <w:rFonts w:ascii="Times New Roman" w:cs="Times New Roman" w:eastAsia="Times New Roman" w:hAnsi="Times New Roman"/>
                <w:sz w:val="12"/>
                <w:szCs w:val="12"/>
                <w:color w:val="0000FF"/>
              </w:rPr>
              <w:t>4,930</w:t>
            </w:r>
          </w:p>
        </w:tc>
        <w:tc>
          <w:tcPr>
            <w:tcW w:w="76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restart"/>
          </w:tcPr>
          <w:p>
            <w:pPr>
              <w:jc w:val="center"/>
              <w:spacing w:after="0" w:line="137"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14,788</w:t>
            </w:r>
          </w:p>
        </w:tc>
        <w:tc>
          <w:tcPr>
            <w:tcW w:w="720" w:type="dxa"/>
            <w:vAlign w:val="bottom"/>
            <w:vMerge w:val="restart"/>
          </w:tcPr>
          <w:p>
            <w:pPr>
              <w:ind w:left="320"/>
              <w:spacing w:after="0"/>
              <w:rPr>
                <w:sz w:val="20"/>
                <w:szCs w:val="20"/>
                <w:color w:val="auto"/>
              </w:rPr>
            </w:pPr>
            <w:r>
              <w:rPr>
                <w:rFonts w:ascii="Times New Roman" w:cs="Times New Roman" w:eastAsia="Times New Roman" w:hAnsi="Times New Roman"/>
                <w:sz w:val="12"/>
                <w:szCs w:val="12"/>
                <w:color w:val="0000FF"/>
              </w:rPr>
              <w:t>D</w:t>
            </w: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6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0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3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600" w:type="dxa"/>
            <w:vAlign w:val="bottom"/>
            <w:vMerge w:val="restart"/>
          </w:tcPr>
          <w:p>
            <w:pPr>
              <w:ind w:left="160"/>
              <w:spacing w:after="0"/>
              <w:rPr>
                <w:sz w:val="20"/>
                <w:szCs w:val="20"/>
                <w:color w:val="auto"/>
              </w:rPr>
            </w:pPr>
            <w:r>
              <w:rPr>
                <w:rFonts w:ascii="Times New Roman" w:cs="Times New Roman" w:eastAsia="Times New Roman" w:hAnsi="Times New Roman"/>
                <w:sz w:val="12"/>
                <w:szCs w:val="12"/>
                <w:color w:val="0000FF"/>
              </w:rPr>
              <w:t>Stock</w:t>
            </w:r>
          </w:p>
        </w:tc>
        <w:tc>
          <w:tcPr>
            <w:tcW w:w="7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80" w:type="dxa"/>
            <w:vAlign w:val="bottom"/>
          </w:tcPr>
          <w:p>
            <w:pPr>
              <w:spacing w:after="0"/>
              <w:rPr>
                <w:sz w:val="7"/>
                <w:szCs w:val="7"/>
                <w:color w:val="auto"/>
              </w:rPr>
            </w:pPr>
          </w:p>
        </w:tc>
        <w:tc>
          <w:tcPr>
            <w:tcW w:w="76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6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80" w:type="dxa"/>
            <w:vAlign w:val="bottom"/>
          </w:tcPr>
          <w:p>
            <w:pPr>
              <w:spacing w:after="0"/>
              <w:rPr>
                <w:sz w:val="6"/>
                <w:szCs w:val="6"/>
                <w:color w:val="auto"/>
              </w:rPr>
            </w:pPr>
          </w:p>
        </w:tc>
        <w:tc>
          <w:tcPr>
            <w:tcW w:w="76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vMerge w:val="restart"/>
          </w:tcPr>
          <w:p>
            <w:pPr>
              <w:jc w:val="right"/>
              <w:ind w:right="266"/>
              <w:spacing w:after="0"/>
              <w:rPr>
                <w:sz w:val="20"/>
                <w:szCs w:val="20"/>
                <w:color w:val="auto"/>
              </w:rPr>
            </w:pPr>
            <w:r>
              <w:rPr>
                <w:rFonts w:ascii="Times New Roman" w:cs="Times New Roman" w:eastAsia="Times New Roman" w:hAnsi="Times New Roman"/>
                <w:sz w:val="10"/>
                <w:szCs w:val="10"/>
                <w:color w:val="008000"/>
              </w:rPr>
              <w:t>(6)</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9"/>
              </w:rPr>
              <w:t>04/01/2035</w:t>
            </w:r>
            <w:r>
              <w:rPr>
                <w:rFonts w:ascii="Times New Roman" w:cs="Times New Roman" w:eastAsia="Times New Roman" w:hAnsi="Times New Roman"/>
                <w:sz w:val="20"/>
                <w:szCs w:val="20"/>
                <w:color w:val="008000"/>
                <w:w w:val="99"/>
                <w:vertAlign w:val="superscript"/>
              </w:rPr>
              <w:t>(6)</w:t>
            </w: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7"/>
              </w:rPr>
              <w:t>18,863</w:t>
            </w:r>
            <w:r>
              <w:rPr>
                <w:rFonts w:ascii="Times New Roman" w:cs="Times New Roman" w:eastAsia="Times New Roman" w:hAnsi="Times New Roman"/>
                <w:sz w:val="20"/>
                <w:szCs w:val="20"/>
                <w:color w:val="008000"/>
                <w:w w:val="97"/>
                <w:vertAlign w:val="superscript"/>
              </w:rPr>
              <w:t>(1)</w:t>
            </w: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60" w:type="dxa"/>
            <w:vAlign w:val="bottom"/>
          </w:tcPr>
          <w:p>
            <w:pPr>
              <w:ind w:left="3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04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04/01/2025</w:t>
            </w:r>
          </w:p>
        </w:tc>
        <w:tc>
          <w:tcPr>
            <w:tcW w:w="1040" w:type="dxa"/>
            <w:vAlign w:val="bottom"/>
          </w:tcPr>
          <w:p>
            <w:pPr>
              <w:spacing w:after="0"/>
              <w:rPr>
                <w:sz w:val="11"/>
                <w:szCs w:val="11"/>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2"/>
                <w:szCs w:val="12"/>
                <w:color w:val="0000FF"/>
              </w:rPr>
              <w:t>A</w:t>
            </w:r>
          </w:p>
        </w:tc>
        <w:tc>
          <w:tcPr>
            <w:tcW w:w="520" w:type="dxa"/>
            <w:vAlign w:val="bottom"/>
          </w:tcPr>
          <w:p>
            <w:pPr>
              <w:ind w:left="80"/>
              <w:spacing w:after="0"/>
              <w:rPr>
                <w:sz w:val="20"/>
                <w:szCs w:val="20"/>
                <w:color w:val="auto"/>
              </w:rPr>
            </w:pPr>
            <w:r>
              <w:rPr>
                <w:rFonts w:ascii="Times New Roman" w:cs="Times New Roman" w:eastAsia="Times New Roman" w:hAnsi="Times New Roman"/>
                <w:sz w:val="12"/>
                <w:szCs w:val="12"/>
                <w:color w:val="0000FF"/>
              </w:rPr>
              <w:t>18,863</w:t>
            </w:r>
          </w:p>
        </w:tc>
        <w:tc>
          <w:tcPr>
            <w:tcW w:w="38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90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18,863</w:t>
            </w:r>
          </w:p>
        </w:tc>
        <w:tc>
          <w:tcPr>
            <w:tcW w:w="720" w:type="dxa"/>
            <w:vAlign w:val="bottom"/>
          </w:tcPr>
          <w:p>
            <w:pPr>
              <w:ind w:left="320"/>
              <w:spacing w:after="0"/>
              <w:rPr>
                <w:sz w:val="20"/>
                <w:szCs w:val="20"/>
                <w:color w:val="auto"/>
              </w:rPr>
            </w:pPr>
            <w:r>
              <w:rPr>
                <w:rFonts w:ascii="Times New Roman" w:cs="Times New Roman" w:eastAsia="Times New Roman" w:hAnsi="Times New Roman"/>
                <w:sz w:val="12"/>
                <w:szCs w:val="12"/>
                <w:color w:val="0000FF"/>
              </w:rPr>
              <w:t>D</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0" w:type="dxa"/>
            <w:vAlign w:val="bottom"/>
          </w:tcPr>
          <w:p>
            <w:pPr>
              <w:ind w:left="160"/>
              <w:spacing w:after="0" w:line="125" w:lineRule="exact"/>
              <w:rPr>
                <w:sz w:val="20"/>
                <w:szCs w:val="20"/>
                <w:color w:val="auto"/>
              </w:rPr>
            </w:pPr>
            <w:r>
              <w:rPr>
                <w:rFonts w:ascii="Times New Roman" w:cs="Times New Roman" w:eastAsia="Times New Roman" w:hAnsi="Times New Roman"/>
                <w:sz w:val="12"/>
                <w:szCs w:val="12"/>
                <w:color w:val="0000FF"/>
              </w:rPr>
              <w:t>Stock</w:t>
            </w: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66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3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vMerge w:val="restart"/>
          </w:tcPr>
          <w:p>
            <w:pPr>
              <w:jc w:val="right"/>
              <w:ind w:right="266"/>
              <w:spacing w:after="0"/>
              <w:rPr>
                <w:sz w:val="20"/>
                <w:szCs w:val="20"/>
                <w:color w:val="auto"/>
              </w:rPr>
            </w:pPr>
            <w:r>
              <w:rPr>
                <w:rFonts w:ascii="Times New Roman" w:cs="Times New Roman" w:eastAsia="Times New Roman" w:hAnsi="Times New Roman"/>
                <w:sz w:val="10"/>
                <w:szCs w:val="10"/>
                <w:color w:val="008000"/>
              </w:rPr>
              <w:t>(7)</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9"/>
              </w:rPr>
              <w:t>04/01/2035</w:t>
            </w:r>
            <w:r>
              <w:rPr>
                <w:rFonts w:ascii="Times New Roman" w:cs="Times New Roman" w:eastAsia="Times New Roman" w:hAnsi="Times New Roman"/>
                <w:sz w:val="20"/>
                <w:szCs w:val="20"/>
                <w:color w:val="008000"/>
                <w:w w:val="99"/>
                <w:vertAlign w:val="superscript"/>
              </w:rPr>
              <w:t>(7)</w:t>
            </w: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7"/>
              </w:rPr>
              <w:t>46,666</w:t>
            </w:r>
            <w:r>
              <w:rPr>
                <w:rFonts w:ascii="Times New Roman" w:cs="Times New Roman" w:eastAsia="Times New Roman" w:hAnsi="Times New Roman"/>
                <w:sz w:val="20"/>
                <w:szCs w:val="20"/>
                <w:color w:val="008000"/>
                <w:w w:val="97"/>
                <w:vertAlign w:val="superscript"/>
              </w:rPr>
              <w:t>(1)</w:t>
            </w: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60" w:type="dxa"/>
            <w:vAlign w:val="bottom"/>
          </w:tcPr>
          <w:p>
            <w:pPr>
              <w:ind w:left="3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04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04/01/2025</w:t>
            </w:r>
          </w:p>
        </w:tc>
        <w:tc>
          <w:tcPr>
            <w:tcW w:w="1040" w:type="dxa"/>
            <w:vAlign w:val="bottom"/>
          </w:tcPr>
          <w:p>
            <w:pPr>
              <w:spacing w:after="0"/>
              <w:rPr>
                <w:sz w:val="11"/>
                <w:szCs w:val="11"/>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2"/>
                <w:szCs w:val="12"/>
                <w:color w:val="0000FF"/>
              </w:rPr>
              <w:t>A</w:t>
            </w:r>
          </w:p>
        </w:tc>
        <w:tc>
          <w:tcPr>
            <w:tcW w:w="520" w:type="dxa"/>
            <w:vAlign w:val="bottom"/>
          </w:tcPr>
          <w:p>
            <w:pPr>
              <w:ind w:left="80"/>
              <w:spacing w:after="0"/>
              <w:rPr>
                <w:sz w:val="20"/>
                <w:szCs w:val="20"/>
                <w:color w:val="auto"/>
              </w:rPr>
            </w:pPr>
            <w:r>
              <w:rPr>
                <w:rFonts w:ascii="Times New Roman" w:cs="Times New Roman" w:eastAsia="Times New Roman" w:hAnsi="Times New Roman"/>
                <w:sz w:val="12"/>
                <w:szCs w:val="12"/>
                <w:color w:val="0000FF"/>
              </w:rPr>
              <w:t>46,666</w:t>
            </w:r>
          </w:p>
        </w:tc>
        <w:tc>
          <w:tcPr>
            <w:tcW w:w="38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90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46,666</w:t>
            </w:r>
          </w:p>
        </w:tc>
        <w:tc>
          <w:tcPr>
            <w:tcW w:w="720" w:type="dxa"/>
            <w:vAlign w:val="bottom"/>
          </w:tcPr>
          <w:p>
            <w:pPr>
              <w:ind w:left="320"/>
              <w:spacing w:after="0"/>
              <w:rPr>
                <w:sz w:val="20"/>
                <w:szCs w:val="20"/>
                <w:color w:val="auto"/>
              </w:rPr>
            </w:pPr>
            <w:r>
              <w:rPr>
                <w:rFonts w:ascii="Times New Roman" w:cs="Times New Roman" w:eastAsia="Times New Roman" w:hAnsi="Times New Roman"/>
                <w:sz w:val="12"/>
                <w:szCs w:val="12"/>
                <w:color w:val="0000FF"/>
              </w:rPr>
              <w:t>D</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0" w:type="dxa"/>
            <w:vAlign w:val="bottom"/>
          </w:tcPr>
          <w:p>
            <w:pPr>
              <w:ind w:left="160"/>
              <w:spacing w:after="0" w:line="125" w:lineRule="exact"/>
              <w:rPr>
                <w:sz w:val="20"/>
                <w:szCs w:val="20"/>
                <w:color w:val="auto"/>
              </w:rPr>
            </w:pPr>
            <w:r>
              <w:rPr>
                <w:rFonts w:ascii="Times New Roman" w:cs="Times New Roman" w:eastAsia="Times New Roman" w:hAnsi="Times New Roman"/>
                <w:sz w:val="12"/>
                <w:szCs w:val="12"/>
                <w:color w:val="0000FF"/>
              </w:rPr>
              <w:t>Stock</w:t>
            </w: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66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3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86"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9" w:lineRule="exact"/>
        <w:rPr>
          <w:sz w:val="24"/>
          <w:szCs w:val="24"/>
          <w:color w:val="auto"/>
        </w:rPr>
      </w:pPr>
    </w:p>
    <w:p>
      <w:pPr>
        <w:ind w:left="160" w:hanging="123"/>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Restricted Stock Units ("RSUs") converted into common stock on a one-for-one basis.</w:t>
      </w:r>
    </w:p>
    <w:p>
      <w:pPr>
        <w:spacing w:after="0" w:line="48" w:lineRule="exact"/>
        <w:rPr>
          <w:rFonts w:ascii="Times New Roman" w:cs="Times New Roman" w:eastAsia="Times New Roman" w:hAnsi="Times New Roman"/>
          <w:sz w:val="12"/>
          <w:szCs w:val="12"/>
          <w:color w:val="008000"/>
        </w:rPr>
      </w:pPr>
    </w:p>
    <w:p>
      <w:pPr>
        <w:ind w:left="160" w:hanging="123"/>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shares withheld from shares otherwise issuable upon vesting of RSUs for payment of taxes.</w:t>
      </w:r>
    </w:p>
    <w:p>
      <w:pPr>
        <w:spacing w:after="0" w:line="48" w:lineRule="exact"/>
        <w:rPr>
          <w:rFonts w:ascii="Times New Roman" w:cs="Times New Roman" w:eastAsia="Times New Roman" w:hAnsi="Times New Roman"/>
          <w:sz w:val="12"/>
          <w:szCs w:val="12"/>
          <w:color w:val="008000"/>
        </w:rPr>
      </w:pPr>
    </w:p>
    <w:p>
      <w:pPr>
        <w:ind w:left="160" w:hanging="123"/>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RSUs for the time-based portion of the 2022-2024 Long-Term Incentive Plan award to the Reporting Person on November 27, 2023. The remaining RSUs vest and become exercisable on April 1, 2026.</w:t>
      </w:r>
    </w:p>
    <w:p>
      <w:pPr>
        <w:spacing w:after="0" w:line="48" w:lineRule="exact"/>
        <w:rPr>
          <w:rFonts w:ascii="Times New Roman" w:cs="Times New Roman" w:eastAsia="Times New Roman" w:hAnsi="Times New Roman"/>
          <w:sz w:val="12"/>
          <w:szCs w:val="12"/>
          <w:color w:val="008000"/>
        </w:rPr>
      </w:pPr>
    </w:p>
    <w:p>
      <w:pPr>
        <w:ind w:left="40" w:right="340" w:hanging="3"/>
        <w:spacing w:after="0" w:line="281" w:lineRule="auto"/>
        <w:tabs>
          <w:tab w:leader="none" w:pos="165"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RSUs for the time-based portion of the 2023-2025 Long-Term Incentive Plan award to the Reporting Person on November 27, 2023. The remaining RSUs vest and become exercisable on April 1, 2026 and April 1, 2027.</w:t>
      </w:r>
    </w:p>
    <w:p>
      <w:pPr>
        <w:ind w:left="40" w:right="200" w:hanging="3"/>
        <w:spacing w:after="0" w:line="281" w:lineRule="auto"/>
        <w:tabs>
          <w:tab w:leader="none" w:pos="165"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RSUs for the time-based portion of the 2024-2026 Long-Term Incentive Plan award to the Reporting Person on April 1, 2024. The remaining RSUs vest and become exercisable on April 1, 2026, April 1, 2027 and April 1, 2028.</w:t>
      </w:r>
    </w:p>
    <w:p>
      <w:pPr>
        <w:ind w:left="40" w:right="540" w:hanging="3"/>
        <w:spacing w:after="0" w:line="281" w:lineRule="auto"/>
        <w:tabs>
          <w:tab w:leader="none" w:pos="165"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RSUs for performance-based compensation to the Reporting Person on April 1, 2025 based on the Company's performance over the applicable performance period under the 2022-2024 Long-Term Incentive Plan. The RSUs vest and become exercisable on August 31, 2025.</w:t>
      </w:r>
    </w:p>
    <w:p>
      <w:pPr>
        <w:ind w:left="40" w:right="180" w:hanging="3"/>
        <w:spacing w:after="0" w:line="282" w:lineRule="auto"/>
        <w:tabs>
          <w:tab w:leader="none" w:pos="165"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RSUs for the time-based portion of the 2025-2027 Long-Term Incentive Plan award to the Reporting Person on April 1, 2025. The RSUs vest and become exercisable in four equal installments on April 1, 2026, April 1, 2027, April 1, 2028 and April 1, 2029.</w:t>
      </w:r>
    </w:p>
    <w:p>
      <w:pPr>
        <w:spacing w:after="0" w:line="16"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1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0000FF"/>
                <w:w w:val="99"/>
              </w:rPr>
              <w:t>Robert A. Bogan</w:t>
            </w:r>
          </w:p>
        </w:tc>
        <w:tc>
          <w:tcPr>
            <w:tcW w:w="1100" w:type="dxa"/>
            <w:vAlign w:val="bottom"/>
          </w:tcPr>
          <w:p>
            <w:pPr>
              <w:spacing w:after="0"/>
              <w:rPr>
                <w:sz w:val="15"/>
                <w:szCs w:val="15"/>
                <w:color w:val="auto"/>
              </w:rPr>
            </w:pPr>
          </w:p>
        </w:tc>
        <w:tc>
          <w:tcPr>
            <w:tcW w:w="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0000FF"/>
                <w:w w:val="98"/>
              </w:rPr>
              <w:t>04/03/2025</w:t>
            </w:r>
          </w:p>
        </w:tc>
      </w:tr>
      <w:tr>
        <w:trPr>
          <w:trHeight w:val="219"/>
        </w:trPr>
        <w:tc>
          <w:tcPr>
            <w:tcW w:w="2200" w:type="dxa"/>
            <w:vAlign w:val="bottom"/>
            <w:gridSpan w:val="2"/>
          </w:tcPr>
          <w:p>
            <w:pPr>
              <w:spacing w:after="0"/>
              <w:rPr>
                <w:sz w:val="20"/>
                <w:szCs w:val="20"/>
                <w:color w:val="auto"/>
              </w:rPr>
            </w:pPr>
            <w:r>
              <w:rPr>
                <w:rFonts w:ascii="Arial" w:cs="Arial" w:eastAsia="Arial" w:hAnsi="Arial"/>
                <w:sz w:val="12"/>
                <w:szCs w:val="12"/>
                <w:color w:val="auto"/>
              </w:rPr>
              <w:t>** Signature of Reporting Person</w:t>
            </w:r>
          </w:p>
        </w:tc>
        <w:tc>
          <w:tcPr>
            <w:tcW w:w="740" w:type="dxa"/>
            <w:vAlign w:val="bottom"/>
          </w:tcPr>
          <w:p>
            <w:pPr>
              <w:spacing w:after="0"/>
              <w:rPr>
                <w:sz w:val="20"/>
                <w:szCs w:val="20"/>
                <w:color w:val="auto"/>
              </w:rPr>
            </w:pPr>
            <w:r>
              <w:rPr>
                <w:rFonts w:ascii="Arial" w:cs="Arial" w:eastAsia="Arial" w:hAnsi="Arial"/>
                <w:sz w:val="12"/>
                <w:szCs w:val="12"/>
                <w:color w:val="auto"/>
              </w:rPr>
              <w:t>Date</w:t>
            </w: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4"/>
          <w:szCs w:val="24"/>
          <w:color w:val="auto"/>
        </w:rPr>
      </w:pPr>
    </w:p>
    <w:p>
      <w:pPr>
        <w:jc w:val="both"/>
        <w:ind w:left="40" w:right="3840" w:hanging="3"/>
        <w:spacing w:after="0" w:line="325" w:lineRule="auto"/>
        <w:tabs>
          <w:tab w:leader="none" w:pos="172"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4" w:right="359" w:bottom="3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2001763" TargetMode="External"/><Relationship Id="rId14"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2025-04-03T16:35:38Z</dcterms:created>
  <dcterms:modified xsi:type="dcterms:W3CDTF">2025-04-03T16:35:38Z</dcterms:modified>
</cp:coreProperties>
</file>