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940" w:right="1600" w:hanging="3919"/>
        <w:spacing w:after="0" w:line="373" w:lineRule="auto"/>
        <w:tabs>
          <w:tab w:leader="none" w:pos="49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4, 2024</w:t>
      </w: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240" w:right="1580" w:hanging="4219"/>
        <w:spacing w:after="0" w:line="427"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ectPr>
          <w:pgSz w:w="11900" w:h="16838" w:orient="portrait"/>
          <w:cols w:equalWidth="0" w:num="1">
            <w:col w:w="11240"/>
          </w:cols>
          <w:pgMar w:left="320" w:top="1388"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Canton,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02021</w:t>
      </w:r>
    </w:p>
    <w:p>
      <w:pPr>
        <w:spacing w:after="0" w:line="38" w:lineRule="exact"/>
        <w:rPr>
          <w:sz w:val="24"/>
          <w:szCs w:val="24"/>
          <w:color w:val="auto"/>
        </w:rPr>
      </w:pPr>
    </w:p>
    <w:p>
      <w:pPr>
        <w:sectPr>
          <w:pgSz w:w="11900" w:h="16838" w:orient="portrait"/>
          <w:cols w:equalWidth="0" w:num="2">
            <w:col w:w="7720" w:space="220"/>
            <w:col w:w="3300"/>
          </w:cols>
          <w:pgMar w:left="320" w:top="1388"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0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48"/>
        </w:trPr>
        <w:tc>
          <w:tcPr>
            <w:tcW w:w="140" w:type="dxa"/>
            <w:vAlign w:val="bottom"/>
            <w:tcBorders>
              <w:right w:val="single" w:sz="8" w:color="auto"/>
            </w:tcBorders>
          </w:tcPr>
          <w:p>
            <w:pPr>
              <w:spacing w:after="0"/>
              <w:rPr>
                <w:sz w:val="24"/>
                <w:szCs w:val="24"/>
                <w:color w:val="auto"/>
              </w:rPr>
            </w:pP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14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DXLG</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94" w:lineRule="exact"/>
        <w:rPr>
          <w:sz w:val="24"/>
          <w:szCs w:val="24"/>
          <w:color w:val="auto"/>
        </w:rPr>
      </w:pPr>
    </w:p>
    <w:p>
      <w:pPr>
        <w:jc w:val="both"/>
        <w:ind w:firstLine="599"/>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00" w:firstLine="599"/>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10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360" w:firstLine="599"/>
        <w:spacing w:after="0" w:line="217" w:lineRule="exact"/>
        <w:rPr>
          <w:sz w:val="20"/>
          <w:szCs w:val="20"/>
          <w:color w:val="auto"/>
        </w:rPr>
      </w:pPr>
      <w:r>
        <w:rPr>
          <w:rFonts w:ascii="Times New Roman" w:cs="Times New Roman" w:eastAsia="Times New Roman" w:hAnsi="Times New Roman"/>
          <w:sz w:val="16"/>
          <w:szCs w:val="16"/>
          <w:color w:val="auto"/>
        </w:rPr>
        <w:t xml:space="preserve">Indicate by a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15, 2024, the registrant had 58,228,053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May 4, 2024</w:t>
            </w:r>
          </w:p>
        </w:tc>
        <w:tc>
          <w:tcPr>
            <w:tcW w:w="200" w:type="dxa"/>
            <w:vAlign w:val="bottom"/>
          </w:tcPr>
          <w:p>
            <w:pPr>
              <w:spacing w:after="0"/>
              <w:rPr>
                <w:sz w:val="15"/>
                <w:szCs w:val="15"/>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February 3, 2024</w:t>
            </w:r>
          </w:p>
        </w:tc>
      </w:tr>
      <w:tr>
        <w:trPr>
          <w:trHeight w:val="185"/>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(Fiscal 2024)</w:t>
            </w:r>
          </w:p>
        </w:tc>
        <w:tc>
          <w:tcPr>
            <w:tcW w:w="20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2023)</w:t>
            </w:r>
          </w:p>
        </w:tc>
      </w:tr>
      <w:tr>
        <w:trPr>
          <w:trHeight w:val="169"/>
        </w:trPr>
        <w:tc>
          <w:tcPr>
            <w:tcW w:w="77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80,968</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376,627</w:t>
            </w:r>
          </w:p>
        </w:tc>
        <w:tc>
          <w:tcPr>
            <w:tcW w:w="2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w:t>
            </w:r>
          </w:p>
        </w:tc>
        <w:tc>
          <w:tcPr>
            <w:tcW w:w="100" w:type="dxa"/>
            <w:vAlign w:val="bottom"/>
          </w:tcPr>
          <w:p>
            <w:pPr>
              <w:spacing w:after="0"/>
              <w:rPr>
                <w:sz w:val="21"/>
                <w:szCs w:val="21"/>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86,954</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134,583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117,316</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136,123</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118,912</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125,000,000 shares authorized, 79,299,215 and 79,033,378 shares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at May 4, 2024 and February 3, 2024, respectively</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326,214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325,202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21,094,463 shares at May 4, 2024 and 21,041,661 shares at February 3, 2024</w:t>
            </w: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(130,348 )</w:t>
            </w:r>
          </w:p>
        </w:tc>
        <w:tc>
          <w:tcPr>
            <w:tcW w:w="2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(130,137 )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(43,109 )</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(46,902 )</w:t>
            </w: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153,550</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148,953</w:t>
            </w:r>
          </w:p>
        </w:tc>
        <w:tc>
          <w:tcPr>
            <w:tcW w:w="100" w:type="dxa"/>
            <w:vAlign w:val="bottom"/>
            <w:tcBorders>
              <w:top w:val="single" w:sz="8" w:color="CFF0FC"/>
            </w:tcBorders>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376,627</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-5194300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-5194300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-3950970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-2673985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-2047875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60" w:type="dxa"/>
            <w:vAlign w:val="bottom"/>
            <w:gridSpan w:val="7"/>
          </w:tcPr>
          <w:p>
            <w:pPr>
              <w:ind w:left="130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6"/>
        </w:trPr>
        <w:tc>
          <w:tcPr>
            <w:tcW w:w="6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2024</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April 29, 2023</w:t>
            </w:r>
          </w:p>
        </w:tc>
      </w:tr>
      <w:tr>
        <w:trPr>
          <w:trHeight w:val="185"/>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(Fiscal 2024)</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(Fiscal 2023)</w:t>
            </w:r>
          </w:p>
        </w:tc>
      </w:tr>
      <w:tr>
        <w:trPr>
          <w:trHeight w:val="169"/>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4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115,489</w:t>
            </w:r>
          </w:p>
        </w:tc>
        <w:tc>
          <w:tcPr>
            <w:tcW w:w="6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125,442</w:t>
            </w:r>
          </w:p>
        </w:tc>
        <w:tc>
          <w:tcPr>
            <w:tcW w:w="220" w:type="dxa"/>
            <w:vAlign w:val="bottom"/>
            <w:shd w:val="clear" w:color="auto" w:fill="CFF0FC"/>
          </w:tcPr>
          <w:p>
            <w:pPr>
              <w:spacing w:after="0"/>
              <w:rPr>
                <w:sz w:val="21"/>
                <w:szCs w:val="21"/>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22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64,526</w:t>
            </w:r>
          </w:p>
        </w:tc>
        <w:tc>
          <w:tcPr>
            <w:tcW w:w="220" w:type="dxa"/>
            <w:vAlign w:val="bottom"/>
          </w:tcPr>
          <w:p>
            <w:pPr>
              <w:spacing w:after="0"/>
              <w:rPr>
                <w:sz w:val="21"/>
                <w:szCs w:val="21"/>
                <w:color w:val="auto"/>
              </w:rPr>
            </w:pPr>
          </w:p>
        </w:tc>
      </w:tr>
      <w:tr>
        <w:trPr>
          <w:trHeight w:val="23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60,916</w:t>
            </w:r>
          </w:p>
        </w:tc>
        <w:tc>
          <w:tcPr>
            <w:tcW w:w="220" w:type="dxa"/>
            <w:vAlign w:val="bottom"/>
            <w:shd w:val="clear" w:color="auto" w:fill="CFF0FC"/>
          </w:tcPr>
          <w:p>
            <w:pPr>
              <w:spacing w:after="0"/>
              <w:rPr>
                <w:sz w:val="20"/>
                <w:szCs w:val="20"/>
                <w:color w:val="auto"/>
              </w:rPr>
            </w:pPr>
          </w:p>
        </w:tc>
      </w:tr>
      <w:tr>
        <w:trPr>
          <w:trHeight w:val="243"/>
        </w:trPr>
        <w:tc>
          <w:tcPr>
            <w:tcW w:w="6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48,281</w:t>
            </w:r>
          </w:p>
        </w:tc>
        <w:tc>
          <w:tcPr>
            <w:tcW w:w="220" w:type="dxa"/>
            <w:vAlign w:val="bottom"/>
          </w:tcPr>
          <w:p>
            <w:pPr>
              <w:spacing w:after="0"/>
              <w:rPr>
                <w:sz w:val="20"/>
                <w:szCs w:val="20"/>
                <w:color w:val="auto"/>
              </w:rPr>
            </w:pPr>
          </w:p>
        </w:tc>
      </w:tr>
      <w:tr>
        <w:trPr>
          <w:trHeight w:val="247"/>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51,758</w:t>
            </w:r>
          </w:p>
        </w:tc>
        <w:tc>
          <w:tcPr>
            <w:tcW w:w="220" w:type="dxa"/>
            <w:vAlign w:val="bottom"/>
          </w:tcPr>
          <w:p>
            <w:pPr>
              <w:spacing w:after="0"/>
              <w:rPr>
                <w:sz w:val="20"/>
                <w:szCs w:val="20"/>
                <w:color w:val="auto"/>
              </w:rPr>
            </w:pPr>
          </w:p>
        </w:tc>
      </w:tr>
      <w:tr>
        <w:trPr>
          <w:trHeight w:val="237"/>
        </w:trPr>
        <w:tc>
          <w:tcPr>
            <w:tcW w:w="6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220" w:type="dxa"/>
            <w:vAlign w:val="bottom"/>
          </w:tcPr>
          <w:p>
            <w:pPr>
              <w:spacing w:after="0"/>
              <w:rPr>
                <w:sz w:val="20"/>
                <w:szCs w:val="20"/>
                <w:color w:val="auto"/>
              </w:rPr>
            </w:pPr>
          </w:p>
        </w:tc>
      </w:tr>
      <w:tr>
        <w:trPr>
          <w:trHeight w:val="490"/>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236"/>
        </w:trPr>
        <w:tc>
          <w:tcPr>
            <w:tcW w:w="6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220" w:type="dxa"/>
            <w:vAlign w:val="bottom"/>
            <w:shd w:val="clear" w:color="auto" w:fill="CFF0FC"/>
          </w:tcPr>
          <w:p>
            <w:pPr>
              <w:spacing w:after="0"/>
              <w:rPr>
                <w:sz w:val="21"/>
                <w:szCs w:val="21"/>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20" w:type="dxa"/>
            <w:vAlign w:val="bottom"/>
          </w:tcPr>
          <w:p>
            <w:pPr>
              <w:spacing w:after="0"/>
              <w:rPr>
                <w:sz w:val="21"/>
                <w:szCs w:val="21"/>
                <w:color w:val="auto"/>
              </w:rPr>
            </w:pPr>
          </w:p>
        </w:tc>
      </w:tr>
      <w:tr>
        <w:trPr>
          <w:trHeight w:val="237"/>
        </w:trPr>
        <w:tc>
          <w:tcPr>
            <w:tcW w:w="6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43"/>
        </w:trPr>
        <w:tc>
          <w:tcPr>
            <w:tcW w:w="6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8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6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220" w:type="dxa"/>
            <w:vAlign w:val="bottom"/>
            <w:shd w:val="clear" w:color="auto" w:fill="CFF0FC"/>
          </w:tcPr>
          <w:p>
            <w:pPr>
              <w:spacing w:after="0"/>
              <w:rPr>
                <w:sz w:val="24"/>
                <w:szCs w:val="24"/>
                <w:color w:val="auto"/>
              </w:rPr>
            </w:pPr>
          </w:p>
        </w:tc>
      </w:tr>
      <w:tr>
        <w:trPr>
          <w:trHeight w:val="223"/>
        </w:trPr>
        <w:tc>
          <w:tcPr>
            <w:tcW w:w="65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r>
      <w:tr>
        <w:trPr>
          <w:trHeight w:val="243"/>
        </w:trPr>
        <w:tc>
          <w:tcPr>
            <w:tcW w:w="6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640" w:type="dxa"/>
            <w:vAlign w:val="bottom"/>
            <w:gridSpan w:val="2"/>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Pr>
          <w:p>
            <w:pPr>
              <w:spacing w:after="0"/>
              <w:rPr>
                <w:sz w:val="20"/>
                <w:szCs w:val="20"/>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64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shd w:val="clear" w:color="auto" w:fill="CFF0FC"/>
          </w:tcPr>
          <w:p>
            <w:pPr>
              <w:spacing w:after="0"/>
              <w:rPr>
                <w:sz w:val="21"/>
                <w:szCs w:val="21"/>
                <w:color w:val="auto"/>
              </w:rPr>
            </w:pPr>
          </w:p>
        </w:tc>
      </w:tr>
      <w:tr>
        <w:trPr>
          <w:trHeight w:val="243"/>
        </w:trPr>
        <w:tc>
          <w:tcPr>
            <w:tcW w:w="6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9"/>
        </w:trPr>
        <w:tc>
          <w:tcPr>
            <w:tcW w:w="6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62,690</w:t>
            </w:r>
          </w:p>
        </w:tc>
        <w:tc>
          <w:tcPr>
            <w:tcW w:w="220" w:type="dxa"/>
            <w:vAlign w:val="bottom"/>
          </w:tcPr>
          <w:p>
            <w:pPr>
              <w:spacing w:after="0"/>
              <w:rPr>
                <w:sz w:val="20"/>
                <w:szCs w:val="20"/>
                <w:color w:val="auto"/>
              </w:rPr>
            </w:pPr>
          </w:p>
        </w:tc>
      </w:tr>
      <w:tr>
        <w:trPr>
          <w:trHeight w:val="247"/>
        </w:trPr>
        <w:tc>
          <w:tcPr>
            <w:tcW w:w="6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66,316</w:t>
            </w:r>
          </w:p>
        </w:tc>
        <w:tc>
          <w:tcPr>
            <w:tcW w:w="2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-2990850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-2990850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-2202180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-2202180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-1259205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-1242060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-1259205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-1242060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20" w:type="dxa"/>
            <w:vAlign w:val="bottom"/>
          </w:tcPr>
          <w:p>
            <w:pPr>
              <w:spacing w:after="0"/>
              <w:rPr>
                <w:sz w:val="16"/>
                <w:szCs w:val="16"/>
                <w:color w:val="auto"/>
              </w:rPr>
            </w:pPr>
          </w:p>
        </w:tc>
        <w:tc>
          <w:tcPr>
            <w:tcW w:w="330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76"/>
        </w:trPr>
        <w:tc>
          <w:tcPr>
            <w:tcW w:w="7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2024</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29, 2023</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5"/>
        </w:trPr>
        <w:tc>
          <w:tcPr>
            <w:tcW w:w="722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(Fiscal 2024)</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(Fiscal 2023)</w:t>
            </w:r>
          </w:p>
        </w:tc>
        <w:tc>
          <w:tcPr>
            <w:tcW w:w="4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237"/>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FF0FC"/>
          </w:tcPr>
          <w:p>
            <w:pPr>
              <w:jc w:val="right"/>
              <w:ind w:right="11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580" w:type="dxa"/>
            <w:vAlign w:val="bottom"/>
            <w:gridSpan w:val="2"/>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6,967</w:t>
            </w:r>
          </w:p>
        </w:tc>
        <w:tc>
          <w:tcPr>
            <w:tcW w:w="300" w:type="dxa"/>
            <w:vAlign w:val="bottom"/>
            <w:shd w:val="clear" w:color="auto" w:fill="CFF0FC"/>
          </w:tcPr>
          <w:p>
            <w:pPr>
              <w:spacing w:after="0"/>
              <w:rPr>
                <w:sz w:val="20"/>
                <w:szCs w:val="20"/>
                <w:color w:val="auto"/>
              </w:rPr>
            </w:pPr>
          </w:p>
        </w:tc>
      </w:tr>
      <w:tr>
        <w:trPr>
          <w:trHeight w:val="243"/>
        </w:trPr>
        <w:tc>
          <w:tcPr>
            <w:tcW w:w="7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r>
      <w:tr>
        <w:trPr>
          <w:trHeight w:val="243"/>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Retirement plans</w:t>
            </w:r>
          </w:p>
        </w:tc>
        <w:tc>
          <w:tcPr>
            <w:tcW w:w="1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21"/>
                <w:szCs w:val="21"/>
                <w:color w:val="auto"/>
              </w:rPr>
            </w:pPr>
          </w:p>
        </w:tc>
      </w:tr>
      <w:tr>
        <w:trPr>
          <w:trHeight w:val="232"/>
        </w:trPr>
        <w:tc>
          <w:tcPr>
            <w:tcW w:w="7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20"/>
                <w:szCs w:val="20"/>
                <w:color w:val="auto"/>
              </w:rPr>
            </w:pPr>
          </w:p>
        </w:tc>
      </w:tr>
      <w:tr>
        <w:trPr>
          <w:trHeight w:val="247"/>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 related to items of other comprehensive income</w:t>
            </w:r>
          </w:p>
        </w:tc>
        <w:tc>
          <w:tcPr>
            <w:tcW w:w="12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(17 )</w:t>
            </w:r>
          </w:p>
        </w:tc>
      </w:tr>
      <w:tr>
        <w:trPr>
          <w:trHeight w:val="237"/>
        </w:trPr>
        <w:tc>
          <w:tcPr>
            <w:tcW w:w="7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Borders>
              <w:top w:val="single" w:sz="8" w:color="CFF0FC"/>
            </w:tcBorders>
          </w:tcPr>
          <w:p>
            <w:pPr>
              <w:spacing w:after="0"/>
              <w:rPr>
                <w:sz w:val="20"/>
                <w:szCs w:val="20"/>
                <w:color w:val="auto"/>
              </w:rPr>
            </w:pPr>
          </w:p>
        </w:tc>
      </w:tr>
      <w:tr>
        <w:trPr>
          <w:trHeight w:val="277"/>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80" w:type="dxa"/>
            <w:vAlign w:val="bottom"/>
            <w:tcBorders>
              <w:bottom w:val="single" w:sz="8" w:color="auto"/>
            </w:tcBorders>
            <w:shd w:val="clear" w:color="auto" w:fill="CFF0FC"/>
          </w:tcPr>
          <w:p>
            <w:pPr>
              <w:jc w:val="right"/>
              <w:ind w:right="110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3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7,016</w:t>
            </w:r>
          </w:p>
        </w:tc>
        <w:tc>
          <w:tcPr>
            <w:tcW w:w="3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-350520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-350520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1720" w:type="dxa"/>
            <w:vAlign w:val="bottom"/>
            <w:gridSpan w:val="4"/>
          </w:tcPr>
          <w:p>
            <w:pPr>
              <w:jc w:val="right"/>
              <w:ind w:right="381"/>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color w:val="auto"/>
                <w:w w:val="95"/>
              </w:rPr>
              <w:t>Paid-in</w:t>
            </w:r>
          </w:p>
        </w:tc>
        <w:tc>
          <w:tcPr>
            <w:tcW w:w="2080" w:type="dxa"/>
            <w:vAlign w:val="bottom"/>
            <w:gridSpan w:val="6"/>
          </w:tcPr>
          <w:p>
            <w:pPr>
              <w:jc w:val="right"/>
              <w:ind w:right="760"/>
              <w:spacing w:after="0"/>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w w:val="95"/>
              </w:rPr>
              <w:t>Accumulated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800" w:type="dxa"/>
            <w:vAlign w:val="bottom"/>
          </w:tcPr>
          <w:p>
            <w:pPr>
              <w:spacing w:after="0"/>
              <w:rPr>
                <w:sz w:val="14"/>
                <w:szCs w:val="14"/>
                <w:color w:val="auto"/>
              </w:rPr>
            </w:pPr>
          </w:p>
        </w:tc>
        <w:tc>
          <w:tcPr>
            <w:tcW w:w="7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color w:val="auto"/>
                <w:w w:val="95"/>
              </w:rPr>
              <w:t>Capital</w:t>
            </w:r>
          </w:p>
        </w:tc>
        <w:tc>
          <w:tcPr>
            <w:tcW w:w="220" w:type="dxa"/>
            <w:vAlign w:val="bottom"/>
            <w:gridSpan w:val="2"/>
          </w:tcPr>
          <w:p>
            <w:pPr>
              <w:spacing w:after="0"/>
              <w:rPr>
                <w:sz w:val="14"/>
                <w:szCs w:val="14"/>
                <w:color w:val="auto"/>
              </w:rPr>
            </w:pP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color w:val="auto"/>
              </w:rPr>
              <w:t>Amounts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color w:val="auto"/>
              </w:rPr>
              <w:t>Deficit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4"/>
                <w:szCs w:val="14"/>
                <w:color w:val="auto"/>
              </w:rPr>
            </w:pPr>
          </w:p>
        </w:tc>
      </w:tr>
      <w:tr>
        <w:trPr>
          <w:trHeight w:val="224"/>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February 3,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325,202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(21,041 )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(130,137 )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(46,902 )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148,953</w:t>
            </w:r>
          </w:p>
        </w:tc>
        <w:tc>
          <w:tcPr>
            <w:tcW w:w="100" w:type="dxa"/>
            <w:vAlign w:val="bottom"/>
            <w:shd w:val="clear" w:color="auto" w:fill="CFF0FC"/>
          </w:tcPr>
          <w:p>
            <w:pPr>
              <w:spacing w:after="0"/>
              <w:rPr>
                <w:sz w:val="19"/>
                <w:szCs w:val="19"/>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9"/>
                <w:szCs w:val="19"/>
                <w:color w:val="auto"/>
              </w:rPr>
            </w:pPr>
          </w:p>
        </w:tc>
      </w:tr>
      <w:tr>
        <w:trPr>
          <w:trHeight w:val="239"/>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FF0FC"/>
          </w:tcPr>
          <w:p>
            <w:pPr>
              <w:spacing w:after="0"/>
              <w:rPr>
                <w:sz w:val="20"/>
                <w:szCs w:val="20"/>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r>
      <w:tr>
        <w:trPr>
          <w:trHeight w:val="239"/>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(211 )</w:t>
            </w:r>
          </w:p>
        </w:tc>
      </w:tr>
      <w:tr>
        <w:trPr>
          <w:trHeight w:val="22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Pr>
          <w:p>
            <w:pPr>
              <w:spacing w:after="0"/>
              <w:rPr>
                <w:sz w:val="19"/>
                <w:szCs w:val="19"/>
                <w:color w:val="auto"/>
              </w:rPr>
            </w:pPr>
          </w:p>
        </w:tc>
      </w:tr>
      <w:tr>
        <w:trPr>
          <w:trHeight w:val="22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May 4,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79,298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326,214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(21,094 )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(130,348 )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(43,109 )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153,550</w:t>
            </w:r>
          </w:p>
        </w:tc>
        <w:tc>
          <w:tcPr>
            <w:tcW w:w="100" w:type="dxa"/>
            <w:vAlign w:val="bottom"/>
            <w:shd w:val="clear" w:color="auto" w:fill="CFF0FC"/>
          </w:tcPr>
          <w:p>
            <w:pPr>
              <w:spacing w:after="0"/>
              <w:rPr>
                <w:sz w:val="19"/>
                <w:szCs w:val="19"/>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5"/>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w w:val="93"/>
              </w:rPr>
              <w:t>Additional</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4"/>
              </w:rPr>
              <w:t>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Paid-in</w:t>
            </w:r>
          </w:p>
        </w:tc>
        <w:tc>
          <w:tcPr>
            <w:tcW w:w="190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color w:val="auto"/>
              </w:rPr>
              <w:t>Treasury Stock</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Accumulated</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color w:val="auto"/>
                <w:w w:val="95"/>
              </w:rPr>
              <w:t>Comprehensive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48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gridSpan w:val="2"/>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Amounts</w:t>
            </w:r>
          </w:p>
        </w:tc>
        <w:tc>
          <w:tcPr>
            <w:tcW w:w="24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color w:val="auto"/>
              </w:rPr>
              <w:t>Capital</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color w:val="auto"/>
              </w:rPr>
              <w:t>Amounts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color w:val="auto"/>
              </w:rPr>
              <w:t>Deficit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color w:val="auto"/>
                <w:w w:val="97"/>
              </w:rPr>
              <w:t>Loss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4"/>
                <w:szCs w:val="14"/>
                <w:color w:val="auto"/>
              </w:rPr>
            </w:pPr>
          </w:p>
        </w:tc>
      </w:tr>
      <w:tr>
        <w:trPr>
          <w:trHeight w:val="224"/>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28, 2023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321,516</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(15,625 )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(105,386 )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(74,756 )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(4,928 )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137,228</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9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FF0FC"/>
          </w:tcPr>
          <w:p>
            <w:pPr>
              <w:spacing w:after="0"/>
              <w:rPr>
                <w:sz w:val="20"/>
                <w:szCs w:val="20"/>
                <w:color w:val="auto"/>
              </w:rPr>
            </w:pPr>
          </w:p>
        </w:tc>
      </w:tr>
      <w:tr>
        <w:trPr>
          <w:trHeight w:val="202"/>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 (RSUs) granted for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achievement of performance-based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reclassified from liability to equity</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 related to net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(445 )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(446 )</w:t>
            </w:r>
          </w:p>
        </w:tc>
      </w:tr>
      <w:tr>
        <w:trPr>
          <w:trHeight w:val="23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FF0FC"/>
          </w:tcPr>
          <w:p>
            <w:pPr>
              <w:spacing w:after="0"/>
              <w:rPr>
                <w:sz w:val="20"/>
                <w:szCs w:val="20"/>
                <w:color w:val="auto"/>
              </w:rPr>
            </w:pPr>
          </w:p>
        </w:tc>
      </w:tr>
      <w:tr>
        <w:trPr>
          <w:trHeight w:val="220"/>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taxes</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9"/>
                <w:szCs w:val="19"/>
                <w:color w:val="auto"/>
              </w:rPr>
            </w:pPr>
          </w:p>
        </w:tc>
      </w:tr>
      <w:tr>
        <w:trPr>
          <w:trHeight w:val="236"/>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7"/>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April 29,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322,941</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(15,625 )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(105,386 )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(67,789 )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(4,879 )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145,672</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-141605</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-141605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-141605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-141605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-141605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-141605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-141605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May 4, 2024</w:t>
            </w:r>
          </w:p>
        </w:tc>
        <w:tc>
          <w:tcPr>
            <w:tcW w:w="200" w:type="dxa"/>
            <w:vAlign w:val="bottom"/>
          </w:tcPr>
          <w:p>
            <w:pPr>
              <w:spacing w:after="0"/>
              <w:rPr>
                <w:sz w:val="15"/>
                <w:szCs w:val="15"/>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April 29, 2023</w:t>
            </w:r>
          </w:p>
        </w:tc>
      </w:tr>
      <w:tr>
        <w:trPr>
          <w:trHeight w:val="185"/>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(Fiscal 2024)</w:t>
            </w:r>
          </w:p>
        </w:tc>
        <w:tc>
          <w:tcPr>
            <w:tcW w:w="200" w:type="dxa"/>
            <w:vAlign w:val="bottom"/>
          </w:tcPr>
          <w:p>
            <w:pPr>
              <w:spacing w:after="0"/>
              <w:rPr>
                <w:sz w:val="16"/>
                <w:szCs w:val="16"/>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(Fiscal 2023)</w:t>
            </w:r>
          </w:p>
        </w:tc>
      </w:tr>
      <w:tr>
        <w:trPr>
          <w:trHeight w:val="23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26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used for operating activities:</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from the sale of equipment</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(4 )</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(96 )</w:t>
            </w:r>
          </w:p>
        </w:tc>
      </w:tr>
      <w:tr>
        <w:trPr>
          <w:trHeight w:val="220"/>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taxes, net of valuation allowance</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shd w:val="clear" w:color="auto" w:fill="CFF0FC"/>
          </w:tcPr>
          <w:p>
            <w:pPr>
              <w:spacing w:after="0"/>
              <w:rPr>
                <w:sz w:val="20"/>
                <w:szCs w:val="20"/>
                <w:color w:val="auto"/>
              </w:rPr>
            </w:pPr>
          </w:p>
        </w:tc>
      </w:tr>
      <w:tr>
        <w:trPr>
          <w:trHeight w:val="23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20"/>
                <w:szCs w:val="20"/>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Board of directors' stock compensation</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FF0FC"/>
          </w:tcPr>
          <w:p>
            <w:pPr>
              <w:spacing w:after="0"/>
              <w:rPr>
                <w:sz w:val="20"/>
                <w:szCs w:val="20"/>
                <w:color w:val="auto"/>
              </w:rPr>
            </w:pPr>
          </w:p>
        </w:tc>
      </w:tr>
      <w:tr>
        <w:trPr>
          <w:trHeight w:val="229"/>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(10,270 )</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(7,254 )</w:t>
            </w:r>
          </w:p>
        </w:tc>
      </w:tr>
      <w:tr>
        <w:trPr>
          <w:trHeight w:val="220"/>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(1,249 )</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(495 )</w:t>
            </w:r>
          </w:p>
        </w:tc>
      </w:tr>
      <w:tr>
        <w:trPr>
          <w:trHeight w:val="239"/>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(47 )</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r>
      <w:tr>
        <w:trPr>
          <w:trHeight w:val="220"/>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(1,669 )</w:t>
            </w:r>
          </w:p>
        </w:tc>
      </w:tr>
      <w:tr>
        <w:trPr>
          <w:trHeight w:val="239"/>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leases, net</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(2,783 )</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(1,950 )</w:t>
            </w:r>
          </w:p>
        </w:tc>
      </w:tr>
      <w:tr>
        <w:trPr>
          <w:trHeight w:val="226"/>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(10,033 )</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(6,657 )</w:t>
            </w:r>
          </w:p>
        </w:tc>
      </w:tr>
      <w:tr>
        <w:trPr>
          <w:trHeight w:val="20"/>
        </w:trPr>
        <w:tc>
          <w:tcPr>
            <w:tcW w:w="8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for operating activities</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(1,125 )</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(4,234 )</w:t>
            </w:r>
          </w:p>
        </w:tc>
      </w:tr>
      <w:tr>
        <w:trPr>
          <w:trHeight w:val="226"/>
        </w:trPr>
        <w:tc>
          <w:tcPr>
            <w:tcW w:w="80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property and equipment, net</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(5,863 )</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(1,709 )</w:t>
            </w:r>
          </w:p>
        </w:tc>
      </w:tr>
      <w:tr>
        <w:trPr>
          <w:trHeight w:val="239"/>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sale of equipment</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FF0FC"/>
          </w:tcPr>
          <w:p>
            <w:pPr>
              <w:spacing w:after="0"/>
              <w:rPr>
                <w:sz w:val="20"/>
                <w:szCs w:val="20"/>
                <w:color w:val="auto"/>
              </w:rPr>
            </w:pPr>
          </w:p>
        </w:tc>
      </w:tr>
      <w:tr>
        <w:trPr>
          <w:trHeight w:val="220"/>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(10,003 )</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(16,064 )</w:t>
            </w:r>
          </w:p>
        </w:tc>
      </w:tr>
      <w:tr>
        <w:trPr>
          <w:trHeight w:val="236"/>
        </w:trPr>
        <w:tc>
          <w:tcPr>
            <w:tcW w:w="8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2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(9,954 )</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(17,677 )</w:t>
            </w:r>
          </w:p>
        </w:tc>
      </w:tr>
      <w:tr>
        <w:trPr>
          <w:trHeight w:val="226"/>
        </w:trPr>
        <w:tc>
          <w:tcPr>
            <w:tcW w:w="80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(211 )</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 withholdings paid related to net share settlements</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(48 )</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(446 )</w:t>
            </w:r>
          </w:p>
        </w:tc>
      </w:tr>
      <w:tr>
        <w:trPr>
          <w:trHeight w:val="236"/>
        </w:trPr>
        <w:tc>
          <w:tcPr>
            <w:tcW w:w="8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2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(183 )</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(230 )</w:t>
            </w:r>
          </w:p>
        </w:tc>
      </w:tr>
      <w:tr>
        <w:trPr>
          <w:trHeight w:val="20"/>
        </w:trPr>
        <w:tc>
          <w:tcPr>
            <w:tcW w:w="8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(11,262 )</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(22,141 )</w:t>
            </w:r>
          </w:p>
        </w:tc>
      </w:tr>
      <w:tr>
        <w:trPr>
          <w:trHeight w:val="22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8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27,590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29,933</w:t>
            </w:r>
          </w:p>
        </w:tc>
        <w:tc>
          <w:tcPr>
            <w:tcW w:w="10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6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9"/>
                <w:szCs w:val="19"/>
                <w:color w:val="auto"/>
              </w:rPr>
            </w:pPr>
          </w:p>
        </w:tc>
      </w:tr>
      <w:tr>
        <w:trPr>
          <w:trHeight w:val="239"/>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Non-cash activity during the period:</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-3416300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-2533015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-2533015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-1641475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-1641475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-1041400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-1041400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ind w:left="428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3, 2024 included in the Company’s Annual Report on Form 10-K, which was filed with the Securities and Exchange Commission on March 21,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fiscal year is a 52- or 53- week period ending on the Saturday closest to January 31. Fiscal 2024 is a 52-week period ending on February 1, 2025 and fiscal 2023 was a 53-week period ending on February 3,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omni-channel business approach.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Short-term investments consist of those investments that have a maturity date, when acquired, that is greater than three months and twelve months or less. </w:t>
      </w:r>
      <w:r>
        <w:rPr>
          <w:rFonts w:ascii="Times New Roman" w:cs="Times New Roman" w:eastAsia="Times New Roman" w:hAnsi="Times New Roman"/>
          <w:sz w:val="18"/>
          <w:szCs w:val="18"/>
          <w:color w:val="212121"/>
        </w:rPr>
        <w:t>These investments are classified as held-to-maturity and are carried at amortized cost, which approximates fair value due to the short period between purchase and maturity.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 high credit ratings and it has not historically sustained any credit losses associated with its cash and cash equivalents balances. In addition, the Company's cash and cash equivalents include money market accounts with Citizens Bank, N.A. and investments in U.S. government-backed securities held with Fidelity Investments.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disclosure of the fair value of certain financial instruments.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Disclosures</w:t>
      </w:r>
      <w:r>
        <w:rPr>
          <w:rFonts w:ascii="Times New Roman" w:cs="Times New Roman" w:eastAsia="Times New Roman" w:hAnsi="Times New Roman"/>
          <w:sz w:val="18"/>
          <w:szCs w:val="18"/>
          <w:color w:val="auto"/>
        </w:rPr>
        <w:t>,” defines fair value, establishes a framework for measuring fair value and enhances disclosures about fair value measurements.</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26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accounts receivable, accounts payable and accrued expenses approximate fair value because of the short maturity of these instruments. See Note 9 -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information regarding the fair value of certain financial assets.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 (“AOCI”)</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fourth quarter of fiscal 2023, the Company terminated its frozen retirement plans, which was the only AOCI activity. As a result, there is no remaining AOCI as of February 3,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three months of fiscal 2023, other comprehensive income and reclassifications from AOCI was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For the three months ended:</w:t>
            </w: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421"/>
              <w:spacing w:after="0"/>
              <w:rPr>
                <w:sz w:val="20"/>
                <w:szCs w:val="20"/>
                <w:color w:val="auto"/>
              </w:rPr>
            </w:pPr>
            <w:r>
              <w:rPr>
                <w:rFonts w:ascii="Times New Roman" w:cs="Times New Roman" w:eastAsia="Times New Roman" w:hAnsi="Times New Roman"/>
                <w:sz w:val="14"/>
                <w:szCs w:val="14"/>
                <w:color w:val="auto"/>
              </w:rPr>
              <w:t>April 29, 2023</w:t>
            </w:r>
          </w:p>
        </w:tc>
        <w:tc>
          <w:tcPr>
            <w:tcW w:w="0" w:type="dxa"/>
            <w:vAlign w:val="bottom"/>
          </w:tcPr>
          <w:p>
            <w:pPr>
              <w:spacing w:after="0"/>
              <w:rPr>
                <w:sz w:val="1"/>
                <w:szCs w:val="1"/>
                <w:color w:val="auto"/>
              </w:rPr>
            </w:pPr>
          </w:p>
        </w:tc>
      </w:tr>
      <w:tr>
        <w:trPr>
          <w:trHeight w:val="160"/>
        </w:trPr>
        <w:tc>
          <w:tcPr>
            <w:tcW w:w="9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441"/>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148"/>
        </w:trPr>
        <w:tc>
          <w:tcPr>
            <w:tcW w:w="9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right"/>
              <w:ind w:right="681"/>
              <w:spacing w:after="0" w:line="149" w:lineRule="exact"/>
              <w:rPr>
                <w:sz w:val="20"/>
                <w:szCs w:val="20"/>
                <w:color w:val="auto"/>
              </w:rPr>
            </w:pPr>
            <w:r>
              <w:rPr>
                <w:rFonts w:ascii="Times New Roman" w:cs="Times New Roman" w:eastAsia="Times New Roman" w:hAnsi="Times New Roman"/>
                <w:sz w:val="14"/>
                <w:szCs w:val="14"/>
                <w:color w:val="auto"/>
              </w:rPr>
              <w:t>Retirement</w:t>
            </w:r>
          </w:p>
        </w:tc>
        <w:tc>
          <w:tcPr>
            <w:tcW w:w="0" w:type="dxa"/>
            <w:vAlign w:val="bottom"/>
          </w:tcPr>
          <w:p>
            <w:pPr>
              <w:spacing w:after="0"/>
              <w:rPr>
                <w:sz w:val="1"/>
                <w:szCs w:val="1"/>
                <w:color w:val="auto"/>
              </w:rPr>
            </w:pPr>
          </w:p>
        </w:tc>
      </w:tr>
      <w:tr>
        <w:trPr>
          <w:trHeight w:val="185"/>
        </w:trPr>
        <w:tc>
          <w:tcPr>
            <w:tcW w:w="9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right"/>
              <w:ind w:right="861"/>
              <w:spacing w:after="0"/>
              <w:rPr>
                <w:sz w:val="20"/>
                <w:szCs w:val="20"/>
                <w:color w:val="auto"/>
              </w:rPr>
            </w:pPr>
            <w:r>
              <w:rPr>
                <w:rFonts w:ascii="Times New Roman" w:cs="Times New Roman" w:eastAsia="Times New Roman" w:hAnsi="Times New Roman"/>
                <w:sz w:val="14"/>
                <w:szCs w:val="14"/>
                <w:color w:val="auto"/>
              </w:rPr>
              <w:t>Plans</w:t>
            </w:r>
          </w:p>
        </w:tc>
        <w:tc>
          <w:tcPr>
            <w:tcW w:w="0" w:type="dxa"/>
            <w:vAlign w:val="bottom"/>
          </w:tcPr>
          <w:p>
            <w:pPr>
              <w:spacing w:after="0"/>
              <w:rPr>
                <w:sz w:val="1"/>
                <w:szCs w:val="1"/>
                <w:color w:val="auto"/>
              </w:rPr>
            </w:pPr>
          </w:p>
        </w:tc>
      </w:tr>
      <w:tr>
        <w:trPr>
          <w:trHeight w:val="232"/>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the quarter</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7"/>
        </w:trPr>
        <w:tc>
          <w:tcPr>
            <w:tcW w:w="9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reclassifications, net of taxes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9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9400" w:type="dxa"/>
            <w:vAlign w:val="bottom"/>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comprehensive income, net of taxes </w:t>
            </w:r>
            <w:r>
              <w:rPr>
                <w:rFonts w:ascii="Times New Roman" w:cs="Times New Roman" w:eastAsia="Times New Roman" w:hAnsi="Times New Roman"/>
                <w:sz w:val="24"/>
                <w:szCs w:val="24"/>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9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for the period</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quarter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(4,879 )</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-187960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the unrecognized loss on retirement plans, which was charged to “Selling, General and Administrative” Expense on the Consolidated Statements of Operations for all periods presented. The Company recognized expense of $58,000, or $43,000 net of taxes, for the three months ended April 29,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that will ultimately vest requires judgment. Actual results and future changes in estimates may differ from the Company’s current estimates.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grants of stock options in the first three months of fiscal 2024. For the first three months of fiscal 2023, the fair value of each stock option grant was estimated on the date of grant using the Black-Scholes option-pricing model based on the assumptions in the table below as it relates to stock options granted.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April 29, 2023</w:t>
            </w:r>
          </w:p>
        </w:tc>
      </w:tr>
      <w:tr>
        <w:trPr>
          <w:trHeight w:val="23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 - 92.1%</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3.71%-4.42%</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3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2.5 yrs.</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30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impairments or non-cash gains recognized in the first three months of fiscal 2024 and fiscal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Advertising expense, which is included in selling, general and administrative expenses, was $7.3 million and $7.0 million for the first three months of fiscal 2024 and fiscal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ROU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May 4, 2024, the Company had no short-term leases.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includes real estate taxes, common area maintenance and insurance. These fixed payments are considered part of the lease payment and included in the ROU assets and lease liabilities. Tenant allowances are included as an offset to the right-of-use asset and amortized as reductions to rent expense over the associated lease term.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July 2023, the FASB issued ASU 2023-03, </w:t>
      </w:r>
      <w:r>
        <w:rPr>
          <w:rFonts w:ascii="Times New Roman" w:cs="Times New Roman" w:eastAsia="Times New Roman" w:hAnsi="Times New Roman"/>
          <w:sz w:val="18"/>
          <w:szCs w:val="18"/>
          <w:i w:val="1"/>
          <w:iCs w:val="1"/>
          <w:color w:val="auto"/>
        </w:rPr>
        <w:t>Presentation of Financial Statements (Topic 205), Income Statement - 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w:t>
      </w:r>
      <w:r>
        <w:rPr>
          <w:rFonts w:ascii="Times New Roman" w:cs="Times New Roman" w:eastAsia="Times New Roman" w:hAnsi="Times New Roman"/>
          <w:sz w:val="18"/>
          <w:szCs w:val="18"/>
          <w:color w:val="auto"/>
        </w:rPr>
        <w:t>, which amends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supersedes various SEC paragraphs within the Accounting Standards Codification to conform to past SEC announcements and guidance issued by the SEC. The ASU does not provide any new guidance, and as such, there is no transition effective date. ASU 2023-03 is not expected to have a material impact on the Company's Consolidated Financial Statements.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 in Response to the SEC</w:t>
      </w:r>
      <w:r>
        <w:rPr>
          <w:rFonts w:ascii="Times New Roman" w:cs="Times New Roman" w:eastAsia="Times New Roman" w:hAnsi="Times New Roman"/>
          <w:sz w:val="18"/>
          <w:szCs w:val="18"/>
          <w:i w:val="1"/>
          <w:iCs w:val="1"/>
          <w:color w:val="212121"/>
        </w:rPr>
        <w:t>’</w:t>
      </w:r>
      <w:r>
        <w:rPr>
          <w:rFonts w:ascii="Times New Roman" w:cs="Times New Roman" w:eastAsia="Times New Roman" w:hAnsi="Times New Roman"/>
          <w:sz w:val="18"/>
          <w:szCs w:val="18"/>
          <w:i w:val="1"/>
          <w:iCs w:val="1"/>
          <w:color w:val="auto"/>
        </w:rPr>
        <w:t>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52525"/>
        </w:rPr>
        <w:t>ASU-2023-06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 xml:space="preserve">incorporates several disclosure and presentation requirements currently residing in the SEC Regulations S-X and S-K. The amendments will be applied prospectively and are effective when the SEC removes the related requirements from Regulations S-X or S-K. Any amendments the SEC does not remove by June 30, 2027 will not be effective. The </w:t>
      </w:r>
      <w:r>
        <w:rPr>
          <w:rFonts w:ascii="Times New Roman" w:cs="Times New Roman" w:eastAsia="Times New Roman" w:hAnsi="Times New Roman"/>
          <w:sz w:val="18"/>
          <w:szCs w:val="18"/>
          <w:color w:val="252525"/>
        </w:rPr>
        <w:t>ASU</w:t>
      </w:r>
      <w:r>
        <w:rPr>
          <w:rFonts w:ascii="Times New Roman" w:cs="Times New Roman" w:eastAsia="Times New Roman" w:hAnsi="Times New Roman"/>
          <w:sz w:val="18"/>
          <w:szCs w:val="18"/>
          <w:color w:val="212121"/>
        </w:rPr>
        <w:t xml:space="preserve"> is not expected to have a material impact on our consolidated financial statements or related disclosures because the Company is currently subjected to the reporting requirements of Regulations S-X and S-K.</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which requires all public entities to provide enhanced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about significant segment expenses. The amendments in this </w:t>
      </w:r>
      <w:r>
        <w:rPr>
          <w:rFonts w:ascii="Times New Roman" w:cs="Times New Roman" w:eastAsia="Times New Roman" w:hAnsi="Times New Roman"/>
          <w:sz w:val="18"/>
          <w:szCs w:val="18"/>
          <w:color w:val="252525"/>
        </w:rPr>
        <w:t>ASU</w:t>
      </w:r>
      <w:r>
        <w:rPr>
          <w:rFonts w:ascii="Times New Roman" w:cs="Times New Roman" w:eastAsia="Times New Roman" w:hAnsi="Times New Roman"/>
          <w:sz w:val="18"/>
          <w:szCs w:val="18"/>
          <w:color w:val="212121"/>
        </w:rPr>
        <w:t xml:space="preserve"> are to be applied retrospectively and are effective for our annual financial statements starting in fiscal 2024 and interim periods starting in fiscal 2025, with early adoption permitted. We are currently evaluating the impact of this accounting standard.</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which enhances transparency about income tax information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improvements to income tax disclosures primarily related to the rate reconciliation and income taxes paid and to improve the effectiveness of income tax disclosures. This ASU will be effective for fiscal year 2025, and allows for adoption on a prospective basis, with a retrospective option. Early adoption is permitted. We are </w:t>
      </w:r>
      <w:r>
        <w:rPr>
          <w:rFonts w:ascii="Times New Roman" w:cs="Times New Roman" w:eastAsia="Times New Roman" w:hAnsi="Times New Roman"/>
          <w:sz w:val="18"/>
          <w:szCs w:val="18"/>
          <w:color w:val="000000"/>
        </w:rPr>
        <w:t>currently evaluating the effect of adopting this new accounting standard.</w:t>
      </w:r>
    </w:p>
    <w:p>
      <w:pPr>
        <w:spacing w:after="0" w:line="18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212121"/>
        </w:rPr>
        <w:t xml:space="preserve">In March 2024, the FASB issued ASU 2024-01 </w:t>
      </w:r>
      <w:r>
        <w:rPr>
          <w:rFonts w:ascii="Times New Roman" w:cs="Times New Roman" w:eastAsia="Times New Roman" w:hAnsi="Times New Roman"/>
          <w:sz w:val="18"/>
          <w:szCs w:val="18"/>
          <w:i w:val="1"/>
          <w:iCs w:val="1"/>
          <w:color w:val="212121"/>
        </w:rPr>
        <w:t>Compensation – Stock Compensation (Topic 718): Scope Application of Profits Interest and Similar</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212121"/>
        </w:rPr>
        <w:t xml:space="preserve">Awards, </w:t>
      </w:r>
      <w:r>
        <w:rPr>
          <w:rFonts w:ascii="Times New Roman" w:cs="Times New Roman" w:eastAsia="Times New Roman" w:hAnsi="Times New Roman"/>
          <w:sz w:val="18"/>
          <w:szCs w:val="18"/>
          <w:color w:val="212121"/>
        </w:rPr>
        <w:t>which clarified how an entity determines whether a profits interest or similar award is within the scope of Accounting Standards Codification</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(“ASC”) 718, Compensation – Stock Compensation, by adding illustrative guidance. The guidance in ASU 2024-01 is effective for annual reporting periods beginning after December 15, 2024, and can be applied either retrospectively to all prior periods presented in the consolidated financial statements or prospectively to profits interest and similar awards granted or modified on or after the date at which the entity first applies the amendments. Early adoption is permitted. The adoption of ASU 2024-01 is not expected to have any impact on the Company’s consolidated financial statements.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other new accounting pronouncements, issued or effective during the first three months of fiscal 2024, which had or are expected to have a significant impact on the Company’s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121"/>
        </w:rPr>
        <w:t xml:space="preserve">The Company operates as a retailer of big and tall men’s clothing, which includes stores and direct. </w:t>
      </w:r>
      <w:r>
        <w:rPr>
          <w:rFonts w:ascii="Times New Roman" w:cs="Times New Roman" w:eastAsia="Times New Roman" w:hAnsi="Times New Roman"/>
          <w:sz w:val="18"/>
          <w:szCs w:val="18"/>
          <w:color w:val="000000"/>
        </w:rPr>
        <w:t>Revenue is recognized by the operating segment that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initiates a customer’s order. Store sales are defined as sales that originate and are fulfilled directly at the store level. Direct sales are defined as sales that originate online, including those initiated online at the store level, on its website or on third-party marketplaces. </w:t>
      </w:r>
      <w:r>
        <w:rPr>
          <w:rFonts w:ascii="Times New Roman" w:cs="Times New Roman" w:eastAsia="Times New Roman" w:hAnsi="Times New Roman"/>
          <w:sz w:val="18"/>
          <w:szCs w:val="18"/>
          <w:color w:val="212121"/>
        </w:rPr>
        <w:t>Generally, all revenues are recognized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when control of the promised goods is transferred to customers, in an amount that reflects the consideration in exchange for those goods. </w:t>
      </w:r>
      <w:r>
        <w:rPr>
          <w:rFonts w:ascii="Times New Roman" w:cs="Times New Roman" w:eastAsia="Times New Roman" w:hAnsi="Times New Roman"/>
          <w:sz w:val="18"/>
          <w:szCs w:val="18"/>
          <w:color w:val="000000"/>
        </w:rPr>
        <w:t>Sales tax</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collected from customers and remitted to taxing authorities is excluded from revenue and is included as part of accrued expenses on the Consolidated Balance Sheets.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$2.4 million and $3.2 million at May 4, 2024 and February 3, 2024,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merchandise.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$1.4 million and $1.7 million at May 4, 2024 and February 3, 2024, respectively.</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1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1, the Company’s business consists of one reportable segment, its retail segment. Substantially all of the Company’s revenue is generated from its stores and direct businesses. Accordingly, the Company has determined that the following sales channels depict the nature, amount, timing, and uncertainty of how revenue and cash flows are affected by economic factors: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May 4, 2024</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April 29, 2023</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sales</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80,848</w:t>
            </w:r>
          </w:p>
        </w:tc>
        <w:tc>
          <w:tcPr>
            <w:tcW w:w="15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i w:val="1"/>
                <w:iCs w:val="1"/>
                <w:color w:val="auto"/>
              </w:rPr>
              <w:t>70.0%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87,297</w:t>
            </w:r>
          </w:p>
        </w:tc>
        <w:tc>
          <w:tcPr>
            <w:tcW w:w="13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69.6%</w:t>
            </w:r>
          </w:p>
        </w:tc>
      </w:tr>
      <w:tr>
        <w:trPr>
          <w:trHeight w:val="247"/>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34,641</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i w:val="1"/>
                <w:iCs w:val="1"/>
                <w:color w:val="auto"/>
                <w:w w:val="98"/>
              </w:rPr>
              <w:t>30.0%</w:t>
            </w:r>
          </w:p>
        </w:tc>
        <w:tc>
          <w:tcPr>
            <w:tcW w:w="3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38,145</w:t>
            </w: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w w:val="98"/>
              </w:rPr>
              <w:t>30.4%</w:t>
            </w: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125,442</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-187960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with Citizens Bank, N.A.</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credit facility with Citizens Bank, N.A, which provides for a $125.0 million secured, asset-based credit facility with a maturity date of October 28, 2026 (the "Credit Facility").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Borrowings under the Credit Facility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w:t>
      </w:r>
    </w:p>
    <w:p>
      <w:pPr>
        <w:spacing w:after="0" w:line="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At May 4, 2024, the Company had no borrowings outstanding under the Credit Facility and unused availability was $79.2 million. The Company had no borrowings during the first quarter of fiscal 2024, resulting in an average unused excess availability of approximately $71.8 million. Outstanding standby letters of credit were $4.3 million and outstanding documentary letters were $1.5 million at May 4, 2024. At May 4, 2024, the Company’s prime-based interest rate was 8.75%.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headquarters is for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 w:name="page13"/>
    <w:bookmarkEnd w:id="12"/>
    <w:p>
      <w:pPr>
        <w:ind w:right="260"/>
        <w:spacing w:after="0" w:line="282" w:lineRule="auto"/>
        <w:rPr>
          <w:sz w:val="20"/>
          <w:szCs w:val="20"/>
          <w:color w:val="auto"/>
        </w:rPr>
      </w:pPr>
      <w:r>
        <w:rPr>
          <w:rFonts w:ascii="Times New Roman" w:cs="Times New Roman" w:eastAsia="Times New Roman" w:hAnsi="Times New Roman"/>
          <w:sz w:val="18"/>
          <w:szCs w:val="18"/>
          <w:color w:val="auto"/>
        </w:rPr>
        <w:t>liability and lease expense over the respective lease term. As of May 4, 2024, the Company’s operating leases liabilities represent the present value of the remaining future minimum lease payments updated based on concessions and lease modifications.</w:t>
      </w:r>
    </w:p>
    <w:p>
      <w:pPr>
        <w:spacing w:after="0" w:line="5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three months ended May 4, 2024 and April 29, 2023:</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0" w:type="dxa"/>
            <w:vAlign w:val="bottom"/>
            <w:gridSpan w:val="7"/>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189"/>
        </w:trPr>
        <w:tc>
          <w:tcPr>
            <w:tcW w:w="5980" w:type="dxa"/>
            <w:vAlign w:val="bottom"/>
          </w:tcPr>
          <w:p>
            <w:pPr>
              <w:spacing w:after="0"/>
              <w:rPr>
                <w:sz w:val="16"/>
                <w:szCs w:val="16"/>
                <w:color w:val="auto"/>
              </w:rPr>
            </w:pPr>
          </w:p>
        </w:tc>
        <w:tc>
          <w:tcPr>
            <w:tcW w:w="1780" w:type="dxa"/>
            <w:vAlign w:val="bottom"/>
            <w:gridSpan w:val="3"/>
          </w:tcPr>
          <w:p>
            <w:pPr>
              <w:ind w:left="760"/>
              <w:spacing w:after="0" w:line="189" w:lineRule="exact"/>
              <w:rPr>
                <w:sz w:val="20"/>
                <w:szCs w:val="20"/>
                <w:color w:val="auto"/>
              </w:rPr>
            </w:pPr>
            <w:r>
              <w:rPr>
                <w:rFonts w:ascii="Times New Roman" w:cs="Times New Roman" w:eastAsia="Times New Roman" w:hAnsi="Times New Roman"/>
                <w:sz w:val="18"/>
                <w:szCs w:val="18"/>
                <w:color w:val="auto"/>
              </w:rPr>
              <w:t>May 4, 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3"/>
          </w:tcPr>
          <w:p>
            <w:pPr>
              <w:ind w:left="920"/>
              <w:spacing w:after="0" w:line="189" w:lineRule="exact"/>
              <w:rPr>
                <w:sz w:val="20"/>
                <w:szCs w:val="20"/>
                <w:color w:val="auto"/>
              </w:rPr>
            </w:pPr>
            <w:r>
              <w:rPr>
                <w:rFonts w:ascii="Times New Roman" w:cs="Times New Roman" w:eastAsia="Times New Roman" w:hAnsi="Times New Roman"/>
                <w:sz w:val="18"/>
                <w:szCs w:val="18"/>
                <w:color w:val="auto"/>
              </w:rPr>
              <w:t>April 29, 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5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Pr>
          <w:p>
            <w:pPr>
              <w:spacing w:after="0"/>
              <w:rPr>
                <w:sz w:val="20"/>
                <w:szCs w:val="20"/>
                <w:color w:val="auto"/>
              </w:rPr>
            </w:pPr>
          </w:p>
        </w:tc>
      </w:tr>
      <w:tr>
        <w:trPr>
          <w:trHeight w:val="247"/>
        </w:trPr>
        <w:tc>
          <w:tcPr>
            <w:tcW w:w="5980" w:type="dxa"/>
            <w:vAlign w:val="bottom"/>
            <w:tcBorders>
              <w:bottom w:val="single" w:sz="8" w:color="CFF0FC"/>
            </w:tcBorders>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7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10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-187960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Variable lease costs include the cost of property taxes, insurance and common area maintenance fees related to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balance sheet information related to leases for the first three months ended May 4, 2024 and April 29, 2023 was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540" w:type="dxa"/>
            <w:vAlign w:val="bottom"/>
            <w:shd w:val="clear" w:color="auto" w:fill="CFF0FC"/>
          </w:tcPr>
          <w:p>
            <w:pPr>
              <w:spacing w:after="0"/>
              <w:rPr>
                <w:sz w:val="21"/>
                <w:szCs w:val="21"/>
                <w:color w:val="auto"/>
              </w:rPr>
            </w:pPr>
          </w:p>
        </w:tc>
        <w:tc>
          <w:tcPr>
            <w:tcW w:w="3280" w:type="dxa"/>
            <w:vAlign w:val="bottom"/>
            <w:gridSpan w:val="6"/>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4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40" w:type="dxa"/>
            <w:vAlign w:val="bottom"/>
          </w:tcPr>
          <w:p>
            <w:pPr>
              <w:spacing w:after="0"/>
              <w:rPr>
                <w:sz w:val="16"/>
                <w:szCs w:val="16"/>
                <w:color w:val="auto"/>
              </w:rPr>
            </w:pPr>
          </w:p>
        </w:tc>
        <w:tc>
          <w:tcPr>
            <w:tcW w:w="1460" w:type="dxa"/>
            <w:vAlign w:val="bottom"/>
            <w:gridSpan w:val="2"/>
          </w:tcPr>
          <w:p>
            <w:pPr>
              <w:jc w:val="right"/>
              <w:ind w:right="540"/>
              <w:spacing w:after="0" w:line="189" w:lineRule="exact"/>
              <w:rPr>
                <w:sz w:val="20"/>
                <w:szCs w:val="20"/>
                <w:color w:val="auto"/>
              </w:rPr>
            </w:pPr>
            <w:r>
              <w:rPr>
                <w:rFonts w:ascii="Times New Roman" w:cs="Times New Roman" w:eastAsia="Times New Roman" w:hAnsi="Times New Roman"/>
                <w:sz w:val="18"/>
                <w:szCs w:val="18"/>
                <w:color w:val="auto"/>
                <w:w w:val="98"/>
              </w:rPr>
              <w:t>May 4, 2024</w:t>
            </w:r>
          </w:p>
        </w:tc>
        <w:tc>
          <w:tcPr>
            <w:tcW w:w="260" w:type="dxa"/>
            <w:vAlign w:val="bottom"/>
          </w:tcPr>
          <w:p>
            <w:pPr>
              <w:spacing w:after="0"/>
              <w:rPr>
                <w:sz w:val="16"/>
                <w:szCs w:val="16"/>
                <w:color w:val="auto"/>
              </w:rPr>
            </w:pPr>
          </w:p>
        </w:tc>
        <w:tc>
          <w:tcPr>
            <w:tcW w:w="1560" w:type="dxa"/>
            <w:vAlign w:val="bottom"/>
            <w:gridSpan w:val="3"/>
          </w:tcPr>
          <w:p>
            <w:pPr>
              <w:jc w:val="right"/>
              <w:ind w:right="420"/>
              <w:spacing w:after="0" w:line="189" w:lineRule="exact"/>
              <w:rPr>
                <w:sz w:val="20"/>
                <w:szCs w:val="20"/>
                <w:color w:val="auto"/>
              </w:rPr>
            </w:pPr>
            <w:r>
              <w:rPr>
                <w:rFonts w:ascii="Times New Roman" w:cs="Times New Roman" w:eastAsia="Times New Roman" w:hAnsi="Times New Roman"/>
                <w:sz w:val="18"/>
                <w:szCs w:val="18"/>
                <w:color w:val="auto"/>
              </w:rPr>
              <w:t>April 29, 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shd w:val="clear" w:color="auto" w:fill="CFF0FC"/>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Operating cash flows for operating leases </w:t>
            </w:r>
            <w:r>
              <w:rPr>
                <w:rFonts w:ascii="Times New Roman" w:cs="Times New Roman" w:eastAsia="Times New Roman" w:hAnsi="Times New Roman"/>
                <w:sz w:val="24"/>
                <w:szCs w:val="24"/>
                <w:color w:val="auto"/>
                <w:vertAlign w:val="superscript"/>
              </w:rPr>
              <w:t>(1)</w:t>
            </w:r>
          </w:p>
        </w:tc>
        <w:tc>
          <w:tcPr>
            <w:tcW w:w="5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12,966</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5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26,370</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54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 yrs.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 yrs.</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6.45 %</w:t>
            </w:r>
          </w:p>
        </w:tc>
        <w:tc>
          <w:tcPr>
            <w:tcW w:w="26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cash paid for the first three months of fiscal 2024 and fiscal 2023 included prepaid rent of $4.3 million and $4.2 million, respectively.</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May 4,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35,037</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28,001</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201,750</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169,227</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134,583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-791210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May 4, 2024, the Company had entered into four ten-year store leases that have not yet commenced with aggregated estimated future lease payments of approximately $6.3 million, which are not included in the above table. The leases are expected to commence during the second and third quarters of fiscal 2024.</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Long-Term Incentive Plans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2021-2023 LTIP</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targets for the Company’s 2021-2023 LTIP were approved by the Compensation Committee of the Board of Directors (the "Compensation Committee”) on March 8, 2021, and covered a three-year period performance period, which ended on February 3, 2024. The time-vested portion of the 2021-2023 LTIP vests in four annual installments, with the remaining installment vesting on April 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2024, the Compensation Committee approved a grant of awards, effective April 1, 2024, equal to $3.0 million for the achievement of the performance target for the 2021-2023 LTIP. In an effort to preserve share availability under the 2016 Plan, all awards, which are subject to further vesting through August 31, 2024, were granted in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Active LTIPs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May 4, 2024, the Company had three active LTIPs: the 2022-2024 LTIP, the 2023-2025 LTIP and the 2024-2026 LTIP. The time-based awards under each LTIP were granted in a combination of 50% RSUs and 50% cash.</w:t>
      </w:r>
    </w:p>
    <w:p>
      <w:pPr>
        <w:spacing w:after="0" w:line="5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Performance targets for the 2022-2024 LTIP, the 2023-2025 LTIP and the 2024-2026 LITP were established and approved by the Compensation Committee on April 9, 2022, May 1, 2023 and April 1, 2024, respectively. The performance period for each LTIP is three years. Awards for any achievement of performance targets will not be granted until the performance targets are achieved and then will be subject to an additional service requirement through August 31, 2025, August 31, 2026 and August 31, 2027, respectively. The time-based awards under the 2022-2024 LTIP, the 2023-2025 LTIP, and the</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2024-2026 LTIP vest in four equal installments through April 1, 2026, April 1, 2027 and April 1, 2028, respectively. Assuming that the Company achieves the performance targets at target levels and all time-based awards vest, the compensation expense associated with the 2022-2024 LTIP, 2023-2025 LTIP and 2024-2026 LTIP is estimated to be approximately $4.8 million, $5.1 million and $5.3 million, respectively. Approximately half of the compensation expense for each LTIP relates to the time-based awards, which are being expensed straight-line over 48 months, 47 months and 49 months, respectively.</w:t>
      </w:r>
    </w:p>
    <w:p>
      <w:pPr>
        <w:spacing w:after="0" w:line="8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May 4, 2024, the Company had accrued $1.4 million under the 2022-2024 LTIP and $0.1 million under the 2024-2026 LTIP for the performance awards. At May 4, 2024, the Company had no accrual for the performance-based awards under the 2023-2025 LTIP.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one active stock-based compensation plan: the 2016 Incentive Compensation Plan (as amended,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May 4, 2024, 15,120,538 shares were authorized under the 2016 Plan, of which 1,445,584 shares remained available for grant.</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May 4, 2024, 59,254 stock options remained outstanding under the 2006 Plan.</w:t>
      </w:r>
    </w:p>
    <w:p>
      <w:pPr>
        <w:spacing w:after="0" w:line="7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share activity and stock option activity for the first three months of fiscal 2024:</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Deferred</w:t>
            </w:r>
          </w:p>
        </w:tc>
        <w:tc>
          <w:tcPr>
            <w:tcW w:w="240" w:type="dxa"/>
            <w:vAlign w:val="bottom"/>
          </w:tcPr>
          <w:p>
            <w:pPr>
              <w:spacing w:after="0"/>
              <w:rPr>
                <w:sz w:val="12"/>
                <w:szCs w:val="12"/>
                <w:color w:val="auto"/>
              </w:rPr>
            </w:pPr>
          </w:p>
        </w:tc>
        <w:tc>
          <w:tcPr>
            <w:tcW w:w="9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Performance</w:t>
            </w:r>
          </w:p>
        </w:tc>
        <w:tc>
          <w:tcPr>
            <w:tcW w:w="200" w:type="dxa"/>
            <w:vAlign w:val="bottom"/>
          </w:tcPr>
          <w:p>
            <w:pPr>
              <w:spacing w:after="0"/>
              <w:rPr>
                <w:sz w:val="12"/>
                <w:szCs w:val="12"/>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Fully-Vested</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Total number</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1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20" w:type="dxa"/>
            <w:vAlign w:val="bottom"/>
          </w:tcPr>
          <w:p>
            <w:pPr>
              <w:jc w:val="right"/>
              <w:ind w:right="75"/>
              <w:spacing w:after="0" w:line="189"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4"/>
                <w:szCs w:val="14"/>
                <w:color w:val="auto"/>
              </w:rPr>
              <w:t xml:space="preserve">Share Units </w:t>
            </w:r>
            <w:r>
              <w:rPr>
                <w:rFonts w:ascii="Times New Roman" w:cs="Times New Roman" w:eastAsia="Times New Roman" w:hAnsi="Times New Roman"/>
                <w:sz w:val="19"/>
                <w:szCs w:val="19"/>
                <w:color w:val="auto"/>
                <w:vertAlign w:val="superscript"/>
              </w:rPr>
              <w:t>(3)</w:t>
            </w:r>
          </w:p>
        </w:tc>
        <w:tc>
          <w:tcPr>
            <w:tcW w:w="200" w:type="dxa"/>
            <w:vAlign w:val="bottom"/>
          </w:tcPr>
          <w:p>
            <w:pPr>
              <w:spacing w:after="0"/>
              <w:rPr>
                <w:sz w:val="16"/>
                <w:szCs w:val="16"/>
                <w:color w:val="auto"/>
              </w:rPr>
            </w:pPr>
          </w:p>
        </w:tc>
        <w:tc>
          <w:tcPr>
            <w:tcW w:w="1120" w:type="dxa"/>
            <w:vAlign w:val="bottom"/>
            <w:gridSpan w:val="2"/>
          </w:tcPr>
          <w:p>
            <w:pPr>
              <w:jc w:val="right"/>
              <w:ind w:right="380"/>
              <w:spacing w:after="0" w:line="189"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of shares</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536,285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376,416</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394,863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 and/or issued</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(129,112 )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(9,734 )</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(138,846 )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expired</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7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1,800,87</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end of quarter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783,589</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444,281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2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760" w:hanging="378"/>
        <w:spacing w:after="0" w:line="284"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three months of fiscal 2024, the Company granted time-based RSUs under its 2024-2026 LTIP. See Note 5, </w:t>
      </w:r>
      <w:r>
        <w:rPr>
          <w:rFonts w:ascii="Times New Roman" w:cs="Times New Roman" w:eastAsia="Times New Roman" w:hAnsi="Times New Roman"/>
          <w:sz w:val="18"/>
          <w:szCs w:val="18"/>
          <w:i w:val="1"/>
          <w:iCs w:val="1"/>
          <w:color w:val="auto"/>
        </w:rPr>
        <w:t>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As a result of net share settlements, of the 129,112 RSUs that vested, 115,292 shares of common stock were issued.</w:t>
      </w:r>
    </w:p>
    <w:p>
      <w:pPr>
        <w:spacing w:after="0" w:line="52"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8,713 shares of deferred stock, with a fair value of $36,246 represent director compensation in lieu of cash, in accordance with the director's irrevocable election. The shares of deferred stock will be issued upon the director's separation from service.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2023, the Company granted 573,000 performance share units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The PSUs are subject to a one-year minimum vesting period, and any unvested PSUs will expire on August 11, 2026. The $2.4 million fair value is being expensed over the respective derived service periods of each tranche which range from 12 to 13 months. The respective fair value and derived service periods assigned to the PSUs were determined using a Monte Carlo model based on: a weighted historical volatility of 57.8%, a term of 3 years, stock price on the date of grant of $4.98 per share, a risk-free rate of 4.6% and a cost of equity of 11.0%.</w:t>
      </w:r>
    </w:p>
    <w:p>
      <w:pPr>
        <w:spacing w:after="0" w:line="80"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compensation, with a fair value of $40,493, to certain directors, who are required to receive shares, in lieu of cash, in order to satisfy their minimum equity ownership under the Non-Employee Director Compensation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Weighted-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5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Number of</w:t>
            </w:r>
          </w:p>
        </w:tc>
        <w:tc>
          <w:tcPr>
            <w:tcW w:w="10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 option</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contractual term</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(000's)</w:t>
            </w: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3,180,739</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(132,397 )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expired</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(16,233 )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(1,715 )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options at end of quarter</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3,030,394</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years</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2,790,202</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years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three months of fiscal 2024, the Company granted 376,416 restricted stock units, 8,713 shares of deferred stock and 9,734 fully-vested shares. For the first three months of fiscal 2023, the Company granted stock options to purchase an aggregate of 1,316 shares of common stock, 270,867 restricted stock units and 2,844 fully-vested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Compensation Plan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8,412 shares of common stock, with a fair value of approximately $34,994, to certain of its non-employee directors as compensation in lieu of cash in the first three months of fiscal 2024.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Compensation Expense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$0.9 million and $0.4 million for the first three months of fiscal 2024 and fiscal 2023, respectively. The total compensation cost related to time-vested stock options, RSU awards, and PSU awards not yet recognized as of May 4, 2024 was approximately $3.9 million, net of estimated forfeitures, which will be expensed over a weighted average remaining life of 30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and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3660" w:type="dxa"/>
            <w:vAlign w:val="bottom"/>
            <w:gridSpan w:val="4"/>
          </w:tcPr>
          <w:p>
            <w:pPr>
              <w:ind w:left="9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85"/>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1680" w:type="dxa"/>
            <w:vAlign w:val="bottom"/>
          </w:tcPr>
          <w:p>
            <w:pPr>
              <w:jc w:val="right"/>
              <w:ind w:right="397"/>
              <w:spacing w:after="0"/>
              <w:rPr>
                <w:sz w:val="20"/>
                <w:szCs w:val="20"/>
                <w:color w:val="auto"/>
              </w:rPr>
            </w:pPr>
            <w:r>
              <w:rPr>
                <w:rFonts w:ascii="Times New Roman" w:cs="Times New Roman" w:eastAsia="Times New Roman" w:hAnsi="Times New Roman"/>
                <w:sz w:val="14"/>
                <w:szCs w:val="14"/>
                <w:color w:val="auto"/>
              </w:rPr>
              <w:t>May 4, 2024</w:t>
            </w:r>
          </w:p>
        </w:tc>
        <w:tc>
          <w:tcPr>
            <w:tcW w:w="220" w:type="dxa"/>
            <w:vAlign w:val="bottom"/>
          </w:tcPr>
          <w:p>
            <w:pPr>
              <w:spacing w:after="0"/>
              <w:rPr>
                <w:sz w:val="16"/>
                <w:szCs w:val="16"/>
                <w:color w:val="auto"/>
              </w:rPr>
            </w:pP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April 29, 2023</w:t>
            </w:r>
          </w:p>
        </w:tc>
        <w:tc>
          <w:tcPr>
            <w:tcW w:w="0" w:type="dxa"/>
            <w:vAlign w:val="bottom"/>
          </w:tcPr>
          <w:p>
            <w:pPr>
              <w:spacing w:after="0"/>
              <w:rPr>
                <w:sz w:val="1"/>
                <w:szCs w:val="1"/>
                <w:color w:val="auto"/>
              </w:rPr>
            </w:pPr>
          </w:p>
        </w:tc>
      </w:tr>
      <w:tr>
        <w:trPr>
          <w:trHeight w:val="169"/>
        </w:trPr>
        <w:tc>
          <w:tcPr>
            <w:tcW w:w="6440" w:type="dxa"/>
            <w:vAlign w:val="bottom"/>
            <w:vMerge w:val="continue"/>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equivalents – stock options, restricted stock units and deferred stock</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2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-156845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or restricted stock units had an anti-dilutive effect.</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3780" w:type="dxa"/>
            <w:vAlign w:val="bottom"/>
            <w:gridSpan w:val="4"/>
          </w:tcPr>
          <w:p>
            <w:pPr>
              <w:ind w:left="10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85"/>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74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May 4, 2024</w:t>
            </w:r>
          </w:p>
        </w:tc>
        <w:tc>
          <w:tcPr>
            <w:tcW w:w="240" w:type="dxa"/>
            <w:vAlign w:val="bottom"/>
          </w:tcPr>
          <w:p>
            <w:pPr>
              <w:spacing w:after="0"/>
              <w:rPr>
                <w:sz w:val="16"/>
                <w:szCs w:val="16"/>
                <w:color w:val="auto"/>
              </w:rPr>
            </w:pPr>
          </w:p>
        </w:tc>
        <w:tc>
          <w:tcPr>
            <w:tcW w:w="18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April 29, 2023</w:t>
            </w:r>
          </w:p>
        </w:tc>
        <w:tc>
          <w:tcPr>
            <w:tcW w:w="0" w:type="dxa"/>
            <w:vAlign w:val="bottom"/>
          </w:tcPr>
          <w:p>
            <w:pPr>
              <w:spacing w:after="0"/>
              <w:rPr>
                <w:sz w:val="1"/>
                <w:szCs w:val="1"/>
                <w:color w:val="auto"/>
              </w:rPr>
            </w:pPr>
          </w:p>
        </w:tc>
      </w:tr>
      <w:tr>
        <w:trPr>
          <w:trHeight w:val="169"/>
        </w:trPr>
        <w:tc>
          <w:tcPr>
            <w:tcW w:w="6640" w:type="dxa"/>
            <w:vAlign w:val="bottom"/>
            <w:vMerge w:val="continue"/>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and deferred stock</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$4.48-$6.59</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$7.43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at May 4, 2024, expire from June 1, 2024 to March 20, 2033.</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were 573,000 shares for the first quarter of fiscal 2024. These performance-based awards will be included in the computation of basic and diluted earnings per share if, and when, the respective performance targets are achieved. In addition, 444,281 shares and 435,568 shares of deferred stock at May 4, 2024 and April 29, 2023, respectively, were excluded from the computation of basic earnings per share. Shares of deferred stock are not considered issued and outstanding until the vesting date of the deferral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 xml:space="preserve">The Company's tax provision for income taxes for interim periods is determined using an estimate of its annual effective tax rate, adjusted for discrete items, if any. Each quarter, the Company updates its estimate of the annual effective </w:t>
      </w:r>
      <w:r>
        <w:rPr>
          <w:rFonts w:ascii="Times New Roman" w:cs="Times New Roman" w:eastAsia="Times New Roman" w:hAnsi="Times New Roman"/>
          <w:sz w:val="17"/>
          <w:szCs w:val="17"/>
          <w:color w:val="252525"/>
        </w:rPr>
        <w:t>tax rate</w:t>
      </w:r>
      <w:r>
        <w:rPr>
          <w:rFonts w:ascii="Times New Roman" w:cs="Times New Roman" w:eastAsia="Times New Roman" w:hAnsi="Times New Roman"/>
          <w:sz w:val="17"/>
          <w:szCs w:val="17"/>
          <w:color w:val="auto"/>
        </w:rPr>
        <w:t xml:space="preserve"> and makes a year-to-date </w:t>
      </w:r>
      <w:r>
        <w:rPr>
          <w:rFonts w:ascii="Times New Roman" w:cs="Times New Roman" w:eastAsia="Times New Roman" w:hAnsi="Times New Roman"/>
          <w:sz w:val="17"/>
          <w:szCs w:val="17"/>
          <w:color w:val="252525"/>
        </w:rPr>
        <w:t>adjustment</w:t>
      </w:r>
      <w:r>
        <w:rPr>
          <w:rFonts w:ascii="Times New Roman" w:cs="Times New Roman" w:eastAsia="Times New Roman" w:hAnsi="Times New Roman"/>
          <w:sz w:val="17"/>
          <w:szCs w:val="17"/>
          <w:color w:val="auto"/>
        </w:rPr>
        <w:t xml:space="preserve"> to the provision.</w:t>
      </w:r>
    </w:p>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first quarter of fiscal 2024 and 2023, the Company’s effective tax rate was 30.4% and 26.6%, respectively. The increase in the effective tax rate was primarily due to permanent book to tax differences combined with a lower pretax income as compared to the first quarter of fiscal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4, 2024 and February 3, 2024, the Company held U.S. treasury bills which were classified as held-to maturity and carried at amortized cost.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Quoted Prices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Active</w:t>
            </w:r>
          </w:p>
        </w:tc>
        <w:tc>
          <w:tcPr>
            <w:tcW w:w="2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Markets for</w:t>
            </w:r>
          </w:p>
        </w:tc>
        <w:tc>
          <w:tcPr>
            <w:tcW w:w="2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Identical Assets</w:t>
            </w:r>
          </w:p>
        </w:tc>
        <w:tc>
          <w:tcPr>
            <w:tcW w:w="2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4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Carrying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1"/>
                <w:szCs w:val="21"/>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 (Level 3)</w:t>
            </w:r>
          </w:p>
        </w:tc>
      </w:tr>
      <w:tr>
        <w:trPr>
          <w:trHeight w:val="23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May 4, 2024:</w:t>
            </w:r>
          </w:p>
        </w:tc>
        <w:tc>
          <w:tcPr>
            <w:tcW w:w="13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36,891</w:t>
            </w: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36,869</w:t>
            </w:r>
          </w:p>
        </w:tc>
        <w:tc>
          <w:tcPr>
            <w:tcW w:w="240" w:type="dxa"/>
            <w:vAlign w:val="bottom"/>
          </w:tcPr>
          <w:p>
            <w:pPr>
              <w:spacing w:after="0"/>
              <w:rPr>
                <w:sz w:val="20"/>
                <w:szCs w:val="20"/>
                <w:color w:val="auto"/>
              </w:rPr>
            </w:pPr>
          </w:p>
        </w:tc>
        <w:tc>
          <w:tcPr>
            <w:tcW w:w="16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7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0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February 3, 2024:</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32,479</w:t>
            </w:r>
          </w:p>
        </w:tc>
        <w:tc>
          <w:tcPr>
            <w:tcW w:w="240" w:type="dxa"/>
            <w:vAlign w:val="bottom"/>
          </w:tcPr>
          <w:p>
            <w:pPr>
              <w:spacing w:after="0"/>
              <w:rPr>
                <w:sz w:val="20"/>
                <w:szCs w:val="20"/>
                <w:color w:val="auto"/>
              </w:rPr>
            </w:pPr>
          </w:p>
        </w:tc>
        <w:tc>
          <w:tcPr>
            <w:tcW w:w="16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7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0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Repurchase Program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2023, the Company's Board of Directors (“Board”) approved a stock repurchase program, effective March 16, 2023, which was subsequently amended in November 2023. Under the amended program, the Company was authorized to repurchase up to $25.0 million of its common stock, including excise tax, through open market and privately negotiated transactions.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2024, the Company repurchased 52,802 shares at a total cost, including fees, of $211,182, completing its stock repurchase program.</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imposed a nondeductible 1% excise tax on the net value of certain share repurchases made after December 31, 2022. Beginning in fiscal year 2023, the applicable excise tax is being charged to additional paid-in capital in the Company's Consolidated Balance Sheet as part of the cost basis of the shares repurchased, with the corresponding liability for the excise tax payable recorded in accrued expenses and other current liabilities until paid. This liability is partially offset by a 1% credit permitted under the rules for the fair value of shares issued by the Company. At May 4, 2024, the Company had accrued $0.2 million for the payment of excise taxes.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long-range strategic plan and the expected impact of our strategic initiatives on future growth, including with respect to raising brand awareness, store development, website replatform and future alliances and collaborations; expected marketing costs, gross margin rates and expected capital expenditures in 2024; and expected changes in our store portfolio and long-term plans for new or relocated stores.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3, 2024, included in our Annual Report on Form 10-K for the year ended February 3, 2024, as filed with the Securities and Exchange Commission on March 21, 2024 (our “Fiscal 2023 Annual Report”).</w:t>
      </w:r>
    </w:p>
    <w:p>
      <w:pPr>
        <w:spacing w:after="0" w:line="19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Numerous factors could cause our actual results to differ materially from such forward-looking statements. This discussion sets forth certain risks and uncertainties that may have an impact on future results and direction of our Company, including, without limitation, risks related to changes in consumer spending in response to economic factors; the impact of inflation with rising costs and high interest rates; the Israel-Hamas conflict and the ongoing Russian invasion of Ukraine on the global economy; potential labor shortages; and the Company’s ability to execute on its marketing, digital, store and collaboration strategies, ability to grow its market share, predict customer tastes and fashion trends, forecast sales growth trends and compete successfully in the United States men’s big and tall apparel market, and the other risks and uncertainties set forth in the “Risk Factors” section in Part I, Item 1A of our Fiscal 2023 Annual Report.</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Destination XL Group, Inc., together with our consolidated subsidiaries (the “Company”), is the largest specialty retailer of big and tall men’s clothing with retail and direct operations in the United States. We operate under the trade names of Destination 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 Outlets,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May 4, 2024, we operated 233 Destination XL stores, 15 DXL outlet stores, 17 Casual Male XL retail stores, 19 Casual Male XL outlet stores and a digital business, including an e-commerce site at dxl.com and a mobile site, m.destinationXL.com, mobile app and third-party marketplaces.</w:t>
      </w:r>
    </w:p>
    <w:p>
      <w:pPr>
        <w:spacing w:after="0" w:line="1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“us” and “the Company” refer to Destination XL Group, Inc. and our consolidated subsidiaries. We refer to our fiscal years, which end on February 1, 2025, February 3, 2024 and January 28, 2023 as "fiscal 2024", “fiscal 2023,” and “fiscal 2022” respectively. Fiscal 2024 is a 52-week period, fiscal 2023 was a 53-week period and fiscal 2022 a was a 52-week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currently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omni-channel business approach.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certain transactions that begin online but are ultimately completed at the store level. Similarly, if a customer visits a store and the item is out of stock, the associate can order the item through our website. A customer also has the ability to order online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right="240"/>
        <w:spacing w:after="0" w:line="266" w:lineRule="auto"/>
        <w:rPr>
          <w:sz w:val="20"/>
          <w:szCs w:val="20"/>
          <w:color w:val="auto"/>
        </w:rPr>
      </w:pPr>
      <w:r>
        <w:rPr>
          <w:rFonts w:ascii="Times New Roman" w:cs="Times New Roman" w:eastAsia="Times New Roman" w:hAnsi="Times New Roman"/>
          <w:sz w:val="18"/>
          <w:szCs w:val="18"/>
          <w:color w:val="auto"/>
        </w:rPr>
        <w:t>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is temporarily closed for more than 7 days, it is removed from the calculation of comparable sales until it reopens and upon its anniversary is once again removed from the calculation until the reopen date. The method of calculating comparable sales varies across the retail industry and, as a result, our calculation of comparable sales is not necessarily comparable to similarly titled measures reported by other retailers.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68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May 4, 2024</w:t>
            </w:r>
          </w:p>
        </w:tc>
        <w:tc>
          <w:tcPr>
            <w:tcW w:w="4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April 29, 2023</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3420" w:type="dxa"/>
            <w:vAlign w:val="bottom"/>
            <w:tcBorders>
              <w:bottom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millions, except percentage of sales and per share data)</w:t>
            </w:r>
          </w:p>
        </w:tc>
        <w:tc>
          <w:tcPr>
            <w:tcW w:w="3580" w:type="dxa"/>
            <w:vAlign w:val="bottom"/>
            <w:tcBorders>
              <w:bottom w:val="single" w:sz="8" w:color="CFF0FC"/>
            </w:tcBorders>
            <w:shd w:val="clear" w:color="auto" w:fill="CFF0FC"/>
          </w:tcPr>
          <w:p>
            <w:pPr>
              <w:spacing w:after="0"/>
              <w:rPr>
                <w:sz w:val="12"/>
                <w:szCs w:val="12"/>
                <w:color w:val="auto"/>
              </w:rPr>
            </w:pPr>
          </w:p>
        </w:tc>
        <w:tc>
          <w:tcPr>
            <w:tcW w:w="142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42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360" w:type="dxa"/>
            <w:vAlign w:val="bottom"/>
          </w:tcPr>
          <w:p>
            <w:pPr>
              <w:spacing w:after="0"/>
              <w:rPr>
                <w:sz w:val="15"/>
                <w:szCs w:val="15"/>
                <w:color w:val="auto"/>
              </w:rPr>
            </w:pPr>
          </w:p>
        </w:tc>
        <w:tc>
          <w:tcPr>
            <w:tcW w:w="144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20" w:type="dxa"/>
            <w:vAlign w:val="bottom"/>
            <w:shd w:val="clear" w:color="auto" w:fill="CFF0FC"/>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142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60" w:type="dxa"/>
            <w:vAlign w:val="bottom"/>
          </w:tcPr>
          <w:p>
            <w:pPr>
              <w:spacing w:after="0"/>
              <w:rPr>
                <w:sz w:val="15"/>
                <w:szCs w:val="15"/>
                <w:color w:val="auto"/>
              </w:rPr>
            </w:pPr>
          </w:p>
        </w:tc>
        <w:tc>
          <w:tcPr>
            <w:tcW w:w="144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rPr>
                <w:sz w:val="15"/>
                <w:szCs w:val="15"/>
                <w:color w:val="auto"/>
              </w:rPr>
            </w:pPr>
          </w:p>
        </w:tc>
        <w:tc>
          <w:tcPr>
            <w:tcW w:w="35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Gross margin. as a percentage of sales</w:t>
            </w:r>
          </w:p>
        </w:tc>
        <w:tc>
          <w:tcPr>
            <w:tcW w:w="14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48.2 %</w:t>
            </w:r>
          </w:p>
        </w:tc>
        <w:tc>
          <w:tcPr>
            <w:tcW w:w="14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48.6 %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SG&amp;A expenses, as a percentage of sales</w:t>
            </w:r>
          </w:p>
        </w:tc>
        <w:tc>
          <w:tcPr>
            <w:tcW w:w="14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41.1 %</w:t>
            </w:r>
          </w:p>
        </w:tc>
        <w:tc>
          <w:tcPr>
            <w:tcW w:w="144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Adjusted EBITDA margin (Non-GAAP basis)</w:t>
            </w:r>
          </w:p>
        </w:tc>
        <w:tc>
          <w:tcPr>
            <w:tcW w:w="14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7.1 %</w:t>
            </w:r>
          </w:p>
        </w:tc>
        <w:tc>
          <w:tcPr>
            <w:tcW w:w="14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rPr>
                <w:sz w:val="15"/>
                <w:szCs w:val="15"/>
                <w:color w:val="auto"/>
              </w:rPr>
            </w:pPr>
          </w:p>
        </w:tc>
        <w:tc>
          <w:tcPr>
            <w:tcW w:w="35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Per diluted share:</w:t>
            </w: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6000" w:type="dxa"/>
            <w:vAlign w:val="bottom"/>
            <w:gridSpan w:val="2"/>
            <w:shd w:val="clear" w:color="auto" w:fill="CFF0FC"/>
          </w:tcPr>
          <w:p>
            <w:pPr>
              <w:spacing w:after="0"/>
              <w:rPr>
                <w:sz w:val="15"/>
                <w:szCs w:val="15"/>
                <w:color w:val="auto"/>
              </w:rPr>
            </w:pPr>
          </w:p>
        </w:tc>
        <w:tc>
          <w:tcPr>
            <w:tcW w:w="1420" w:type="dxa"/>
            <w:vAlign w:val="bottom"/>
            <w:shd w:val="clear" w:color="auto" w:fill="CFF0FC"/>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sales for the first quarter of fiscal 2024 were below our expectations. We believe that many of our customers are still feeling the economic impacts of high inflation and have chosen to moderate their discretionary spending on apparel. This behavior resulted in lower than expected traffic levels to our stores and lower conversion rates in our direct business, both of which were the primary contributors to our comparable sales decrease of 11.3% in the first quarter. Comparable sales for our stores were down 11.4% and our direct business was down 11.0%. Despite these economic impacts on our top line, we are still maintaining our low promotional stance and proactively managing our inventory levels and receipts. This enabled us to end the quarter in a strong margin position, with our merchandise margin improvement nearly mitigating the deleveraging of occupancy costs. This gross margin performance, coupled with our lower SG&amp;A expenses, enabled us to end the first quarter of fiscal 2024 with net income of $0.06 per diluted share and an adjusted EBITDA margin (a non-GAAP measure) of 7.1%.</w:t>
      </w:r>
    </w:p>
    <w:p>
      <w:pPr>
        <w:spacing w:after="0" w:line="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continued to maintain our strong financial position, successfully managing our liquidity and our inventory levels, which are down 9.0% to last year's first quarter. Our inventory turn has improved by almost 30% from fiscal 2019 and our clearance inventory remains below our 10% benchmark.</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May 4, 2024, we had cash and investments of $53.2 million as compared to $46.0 million at April 29, 2023 with no debt outstanding and unused excess availability of $79.2 million. With cash on hand, no outstanding debt and full availability under our credit facility, we are continuing to pursue our strategic initiatives this year to grow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Progress on Our Long-Range Plan and Future Growth Strategy</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continue to make progress on our long-term strategic growth initiatives and believe that these initiatives will lead to greater brand awareness, enabling us to take a greater share of the addressable market, and grow our top line:</w:t>
      </w:r>
    </w:p>
    <w:p>
      <w:pPr>
        <w:spacing w:after="0" w:line="5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Marketing &amp; Brand Building</w:t>
      </w:r>
      <w:r>
        <w:rPr>
          <w:rFonts w:ascii="Times New Roman" w:cs="Times New Roman" w:eastAsia="Times New Roman" w:hAnsi="Times New Roman"/>
          <w:sz w:val="18"/>
          <w:szCs w:val="18"/>
          <w:color w:val="auto"/>
        </w:rPr>
        <w:t>: Working with our newly retained creative and media agencies, we have developed a campaign that we believe will drive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emotional connection to the DXL brand and drive brand awareness. Subsequent to the end of the first quarter of fiscal 2024, on May 13th, we launched our new multichannel marketing campaign in three test markets. This is our first advertising campaign since 2017. Media includes broadcast television, connected TV, streaming video, audio, paid digital channels, and out-of-home, as well as all-owned marketing. We are prepared to invest cautiously in this initiative, with total marketing costs increasing to approximately 7.0%-7.5% of sales in fiscal 2024. If we experience favorable results, we plan to fund our marketing and brand building initiative at greater levels over time.</w:t>
      </w:r>
    </w:p>
    <w:p>
      <w:pPr>
        <w:spacing w:after="0" w:line="7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Store Development</w:t>
      </w:r>
      <w:r>
        <w:rPr>
          <w:rFonts w:ascii="Times New Roman" w:cs="Times New Roman" w:eastAsia="Times New Roman" w:hAnsi="Times New Roman"/>
          <w:sz w:val="18"/>
          <w:szCs w:val="18"/>
          <w:color w:val="auto"/>
        </w:rPr>
        <w:t>: While we have stores in every major metropolitan market across the United States, there are geographic voids in certain markets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big + tall consumers are not being served by a DXL store. Our consumer research has indicated that 44% of big + tall men self-reported they do not shop with us because a store is not near them, while 35% self-reported that they do not shop with us because a store location is not convenient. During the first quarter of fiscal 2024, we opened our first of eight stores that we plan to open in fiscal 2024, with 15 new stores per year planned in fiscal 2025 through 2027.</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01" w:right="319" w:bottom="1440" w:gutter="0" w:footer="0" w:header="0"/>
        </w:sectPr>
      </w:pPr>
    </w:p>
    <w:bookmarkStart w:id="19" w:name="page20"/>
    <w:bookmarkEnd w:id="19"/>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New Website Platform</w:t>
      </w:r>
      <w:r>
        <w:rPr>
          <w:rFonts w:ascii="Times New Roman" w:cs="Times New Roman" w:eastAsia="Times New Roman" w:hAnsi="Times New Roman"/>
          <w:sz w:val="18"/>
          <w:szCs w:val="18"/>
          <w:color w:val="auto"/>
        </w:rPr>
        <w:t>: We are transitioning our website from our legacy infrastructure to a new, modern commerce platform, with various features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functionality launching in a phased approach with the first phase launching the last week of May 2024. A second phase is scheduled to launch in late summer with the final phase occurring after the holiday season. We believe this upgrade will provide immediate performance improvements and customer experience benefits by eliminating friction points, optimizing search capability, and enhancing speed and response times. We expect this new platform, engineered by a leading eCommerce technology provider, will position us to respond faster and more effectively to make changes in the future.</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Alliances &amp; Collaborations</w:t>
      </w:r>
      <w:r>
        <w:rPr>
          <w:rFonts w:ascii="Times New Roman" w:cs="Times New Roman" w:eastAsia="Times New Roman" w:hAnsi="Times New Roman"/>
          <w:sz w:val="18"/>
          <w:szCs w:val="18"/>
          <w:color w:val="auto"/>
        </w:rPr>
        <w:t>: Collaborating with other retailers allows us to overcome the challenge of reaching consumers who may never be exposed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DXL brand through our organic channels. On April 29th, we announced our latest collaboration with Nordstrom which will allow us to bring the DXL experience beyond our four walls and directly to the Nordstrom customer. We are very excited to be launching DXL on Nordstrom's digital marketplace platform. We are currently in discovery mode for collaborative offers with several other brands and we are optimistic that some of these brands could play a role in our assortment, similar to the collaboration with UNTUCKIT.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by segment for the three months ended May 4, 2024 and April 29,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May 4, 2024</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April 29, 2023</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sales</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80,848</w:t>
            </w:r>
          </w:p>
        </w:tc>
        <w:tc>
          <w:tcPr>
            <w:tcW w:w="15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i w:val="1"/>
                <w:iCs w:val="1"/>
                <w:color w:val="auto"/>
              </w:rPr>
              <w:t>70.0%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87,297</w:t>
            </w:r>
          </w:p>
        </w:tc>
        <w:tc>
          <w:tcPr>
            <w:tcW w:w="13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69.6%</w:t>
            </w:r>
          </w:p>
        </w:tc>
      </w:tr>
      <w:tr>
        <w:trPr>
          <w:trHeight w:val="247"/>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sales</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34,641</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i w:val="1"/>
                <w:iCs w:val="1"/>
                <w:color w:val="auto"/>
                <w:w w:val="98"/>
              </w:rPr>
              <w:t>30.0%</w:t>
            </w:r>
          </w:p>
        </w:tc>
        <w:tc>
          <w:tcPr>
            <w:tcW w:w="3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38,145</w:t>
            </w: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w w:val="98"/>
              </w:rPr>
              <w:t>30.4%</w:t>
            </w: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115,489</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125,442</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-187960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-187960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Total sales for the first quarter of fiscal 2024 were $115.5 million, as compared to $125.4 million in the first quarter of fiscal 2023. Comparable sales for the first quarter decreased 11.3% with comparable sales from our stores down 11.4% and our direct business down 11.0%. The decrease in comparable store sales was slightly offset by an increase in non-comparable sales of $1.8 million and a $3.0 million shift in calendar weeks due to the 53rd week in fiscal 2023.</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decrease in comparable sales during the first quarter was primarily driven by a decrease in traffic in our stores. While traffic was down, our three new stores that opened in fiscal 2023 in Queens, New York, Cincinnati, Ohio, and Pasadena, California all drove strong dollars per transaction and new-to-file rates that were approximately three times the chain average during the first quarter of 2024. The eleven Casual Male stores that were converted to DXL in fiscal 2023 also performed stronger than the chain average, with comparable sales approximately flat. The decrease in our direct business was primarily driven by a decrease in conversion rates.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Rate</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first quarter of fiscal 2024, our gross margin rate, inclusive of occupancy costs, was 48.2% as compared to a gross margin rate of 48.6% for the first quarter of fiscal 2023.</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gross margin rate decreased by 40-basis points, with an increase of 175-basis points in occupancy costs primarily due to the deleveraging of sales and increased rents as a result of lease extensions, which was partially offset by an increase in merchandise margin of 135-basis points. The improvement in merchandise margin of 135-basis points was due to a shift in merchandise mix, favorable shipping costs and a reduction in loyalty expense and marketplace commissions.</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2024, we expect gross margin rates to be approximately 30- to 50-basis points lower than fiscal 2023 and reflect some occupancy deleveraging due to lower sales expectations.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percentage of sales, SG&amp;A (selling, general and administrative) expenses for the first quarter of fiscal 2024 were 41.1% as compared to 38.5% for the first quarter of fiscal 2023. On a dollar basis, SG&amp;A expenses decreased by $0.8 million for the first quarter of fiscal 2024 as compared to the first quarter of fiscal 2023. The decrease was primarily due to a decrease in store payroll and performance-based incentive accruals, partially offset by an increase in advertising costs and operating costs to support our long-range growth initiatives.</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Marketing costs were 6.3% of sales for the first quarter of fiscal 2024 as compared to 5.5% of sales for the first quarter of fiscal 2023. For fiscal 2024, marketing costs are expected to be approximately 7.0%-7.5% of sales.</w:t>
      </w:r>
    </w:p>
    <w:p>
      <w:pPr>
        <w:spacing w:after="0" w:line="5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23.0% of sales in the first quarter of fiscal 2024 as compared to 21.1% of sales in the first quarter of fiscal 2023. Corporate Support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0" w:name="page21"/>
    <w:bookmarkEnd w:id="20"/>
    <w:p>
      <w:pPr>
        <w:ind w:right="200"/>
        <w:spacing w:after="0" w:line="282" w:lineRule="auto"/>
        <w:rPr>
          <w:sz w:val="20"/>
          <w:szCs w:val="20"/>
          <w:color w:val="auto"/>
        </w:rPr>
      </w:pPr>
      <w:r>
        <w:rPr>
          <w:rFonts w:ascii="Times New Roman" w:cs="Times New Roman" w:eastAsia="Times New Roman" w:hAnsi="Times New Roman"/>
          <w:sz w:val="18"/>
          <w:szCs w:val="18"/>
          <w:color w:val="auto"/>
        </w:rPr>
        <w:t>which include the distribution center and corporate overhead costs, represented 18.1% of sales in the first quarter of fiscal 2024 as compared to 17.4% of sales in the first quarter of fiscal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first quarter of fiscal 2024 decreased to $3.3 million as compared to $3.5 million for the first quarter of fiscal 2023. The decrease was due to a lower depreciable cost base, especially from our store assets, due to our limited capital spending since fiscal 2020. Our capital expenditures have increased as we have started to open new store locations and are investing in certain other infrastructure and technology projects.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interest income for the first quarter of fiscal 2024 was $0.6 million, as compared to $0.3 million for the first quarter of fiscal 2023. Interest income was earned from investments in U.S. government-backed investments and money market accounts. Interest costs for both periods were immaterial because we had no outstanding debt and no borrowings under our credit facility during either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tax provision for income taxes for interim periods is determined using an estimate of our annual effective tax rate, adjusted for discrete items, if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quarter, we update our estimate of the annual effective tax rate and make a year-to-date adjustment to the provision.</w:t>
      </w:r>
    </w:p>
    <w:p>
      <w:pPr>
        <w:spacing w:after="0" w:line="9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first quarter of fiscal 2024 and fiscal 2023, our effective tax rate was 30.4% and 26.6%, respectively. The increase in the effective tax rate was primarily due to permanent book to tax differences combined with a lower pretax income as compared to the first quarter of fiscal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first quarter of fiscal 2024, we recorded net income of $3.8 million, or $0.06 per diluted share, as compared to net income of $7.0 million, or $0.11 per diluted share, for the first quarter of fiscal 2023. The decrease in earnings was driven by the decrease in sales, which was partially offset by improvement in merchandise margin and lower selling, general and administrative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May 4, 2024, our inventory decreased by approximately $9.0 million to $91.2 million, as compared to $100.3 million at April 29, 2023. We continue to take proactive measures to manage our inventory and adjust our receipt plan given the ongoing macroeconomic factors affecting consumer spending. At May 4, 2024, our clearance inventory was 9.7% of our total inventory, as compared to 7.8% at April 29, 2023 and still below our historical benchmark of approximately 10.0%. Our inventory turnover rate has improved by almost 30% from fiscal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Our primary sources of liquidity are our cash and cash equivalents, short-term investments, cash generated from operations and availability under our credit facility, which is discussed below. At May 4, 2024, we had no outstanding debt, including no borrowings under our credit facility during the first three months of fiscal 2024. Cash that is in excess of our forecasted needs may be invested in money market accounts and U.S. government-backed securities.</w:t>
      </w:r>
    </w:p>
    <w:p>
      <w:pPr>
        <w:spacing w:after="0" w:line="5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believe that our cash and cash equivalent balances, short-term investments, cash generated from operations, and borrowings available to us under our credit facility will be adequate to meet our liquidity needs and capital expenditure requirements for at least the next 12 months. However, we remain cautious regarding the effect that the current macroeconomic conditions may have on consumer spending, including inflation, high interest costs, and other geopolitical conflicts around the world. We also believe that cash flows from operating activities and cash on hand will be sufficient to satisfy our current capital requirements. In the longer term, to the extent future capital requirements exceed cash on hand plus cash flows from operating activities, we anticipate that working capital will be financed by our credit facility.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For the first three months of fiscal 2024, cash flow from operations was $(1.1) million as compared to $(4.2) million for the first three months of fiscal 2023. Free cash flow, a non-GAAP measure, was $(7.0) million for the first three months of fiscal 2024 as compared to $(5.9) million for the first three months of fiscal 2023. The decrease in free cash flow was primarily due to an increase in capital expenditures primarily related to the store openings as well as due to a decrease in operating income.</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Cash flow used for investing activities decreased by $7.7 million for the first three months of fiscal 2024 as compared to the first three months of fiscal 2023, primarily due to a net decrease in short-term investment activity, partially offset by an increase in capital expenditures.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 Program</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March 2023, the Company’s Board of Directors approved a stock repurchase program, which was subsequently amended in November 2023. Under the stock repurchase program, as amended, the Company was authorized to repurchase up to $25.0 million of its common stock through open market and privately negotiated transactions.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fiscal 2024, we repurchased 52,802 shares at a total cost, including fees, of $211,182, completing the stock repurchase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has a $125.0 million revolving credit agreement with Citizens Bank, N.A., with a maturity date of October 28, 2026 (the "Credit Facility"). The Credit Facility includes a sublimit of $20.0 million for commercial and standby letters of credit and a sublimit of up to $15.0 million for swingline loans. Borrowings under the Credit Facility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had no outstanding borrowings under the Credit Facility at May 4, 2024 and no borrowings during the first three months of fiscal 2024. At May 4, 2024, outstanding standby letters of credit were $4.3 million and outstanding documentary letters of credit were $1.5 million. The average unused excess availability during the first three months of fiscal 2024 was approximately $71.8 million and the unused excess availability at May 4, 2024 was $79.2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May 4, 2024 and April 29, 2023,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May 4, 2024</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April 29, 2023</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Store Concept</w:t>
            </w:r>
          </w:p>
        </w:tc>
        <w:tc>
          <w:tcPr>
            <w:tcW w:w="120" w:type="dxa"/>
            <w:vAlign w:val="bottom"/>
          </w:tcPr>
          <w:p>
            <w:pPr>
              <w:spacing w:after="0"/>
              <w:rPr>
                <w:sz w:val="12"/>
                <w:szCs w:val="12"/>
                <w:color w:val="auto"/>
              </w:rPr>
            </w:pPr>
          </w:p>
        </w:tc>
        <w:tc>
          <w:tcPr>
            <w:tcW w:w="17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86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color w:val="auto"/>
              </w:rPr>
              <w:t>Square</w:t>
            </w:r>
          </w:p>
        </w:tc>
        <w:tc>
          <w:tcPr>
            <w:tcW w:w="220" w:type="dxa"/>
            <w:vAlign w:val="bottom"/>
          </w:tcPr>
          <w:p>
            <w:pPr>
              <w:spacing w:after="0"/>
              <w:rPr>
                <w:sz w:val="12"/>
                <w:szCs w:val="12"/>
                <w:color w:val="auto"/>
              </w:rPr>
            </w:pPr>
          </w:p>
        </w:tc>
        <w:tc>
          <w:tcPr>
            <w:tcW w:w="170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0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rPr>
              <w:t>Square</w:t>
            </w:r>
          </w:p>
        </w:tc>
        <w:tc>
          <w:tcPr>
            <w:tcW w:w="0" w:type="dxa"/>
            <w:vAlign w:val="bottom"/>
          </w:tcPr>
          <w:p>
            <w:pPr>
              <w:spacing w:after="0"/>
              <w:rPr>
                <w:sz w:val="1"/>
                <w:szCs w:val="1"/>
                <w:color w:val="auto"/>
              </w:rPr>
            </w:pPr>
          </w:p>
        </w:tc>
      </w:tr>
      <w:tr>
        <w:trPr>
          <w:trHeight w:val="185"/>
        </w:trPr>
        <w:tc>
          <w:tcPr>
            <w:tcW w:w="5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rPr>
              <w:t>Stores</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Footage</w:t>
            </w:r>
          </w:p>
        </w:tc>
        <w:tc>
          <w:tcPr>
            <w:tcW w:w="220" w:type="dxa"/>
            <w:vAlign w:val="bottom"/>
          </w:tcPr>
          <w:p>
            <w:pPr>
              <w:spacing w:after="0"/>
              <w:rPr>
                <w:sz w:val="16"/>
                <w:szCs w:val="16"/>
                <w:color w:val="auto"/>
              </w:rPr>
            </w:pPr>
          </w:p>
        </w:tc>
        <w:tc>
          <w:tcPr>
            <w:tcW w:w="17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rPr>
              <w:t>Stores</w:t>
            </w:r>
          </w:p>
        </w:tc>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Footage</w:t>
            </w:r>
          </w:p>
        </w:tc>
        <w:tc>
          <w:tcPr>
            <w:tcW w:w="0" w:type="dxa"/>
            <w:vAlign w:val="bottom"/>
          </w:tcPr>
          <w:p>
            <w:pPr>
              <w:spacing w:after="0"/>
              <w:rPr>
                <w:sz w:val="1"/>
                <w:szCs w:val="1"/>
                <w:color w:val="auto"/>
              </w:rPr>
            </w:pPr>
          </w:p>
        </w:tc>
      </w:tr>
      <w:tr>
        <w:trPr>
          <w:trHeight w:val="200"/>
        </w:trPr>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DXL Retail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DXL Outlets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Casual Male XL Retail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Outlets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Stores</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first quarter of fiscal 2024, we opened a new DXL store in Coon Rapids, Minnesota. Subsequent to the end of the first quarter, we opened our second store in Thousand Oaks, California and expect to open six additional DXL stores by end of fiscal 2024. During fiscal 2024, we also plan to convert five Casual Male stores to the DXL store format and remodel five of our existing DXL stores. We expect our capital expenditures to range from $22.0 million to $25.0 million in fiscal 2024. Over the next three to five years, we believe we could potentially open approximately 50 net new DXL stores across the country, which could average 6,000 square feet or 300,000 sq. ft. in total, a 15% increase over our current square footage.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Fiscal 2023 Annual Report. See Note 1 to the Consolidated Financial Statements included in this report for information on recent accounting pronouncements and changes in accounting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Free cash flow, adjusted EBITDA and adjusted EBITDA margin are non-GAAP measures. These non-GAAP measures are not presented in accordance with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Reconciliations of these non-GAAP measures are presented in the following tables </w:t>
      </w:r>
      <w:r>
        <w:rPr>
          <w:rFonts w:ascii="Times New Roman" w:cs="Times New Roman" w:eastAsia="Times New Roman" w:hAnsi="Times New Roman"/>
          <w:sz w:val="18"/>
          <w:szCs w:val="18"/>
          <w:i w:val="1"/>
          <w:iCs w:val="1"/>
          <w:color w:val="auto"/>
        </w:rPr>
        <w:t>(certain columns may not foot due to rounding)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define free cash flow as cash flow from operating activities less capital expenditures. Free cash flow excludes the mandatory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repayment of debt. Free cash flow is a metric that management uses to monitor liquidity. Management believes this metric is important to investors because it demonstrates the Company's ability to strengthen liquidity while supporting its capital projects and new store growth. We expect to fund our ongoing capital expenditures with cash flow from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free cash flow: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20" w:type="dxa"/>
            <w:vAlign w:val="bottom"/>
            <w:gridSpan w:val="5"/>
          </w:tcPr>
          <w:p>
            <w:pPr>
              <w:jc w:val="right"/>
              <w:ind w:right="182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8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May 4, 2024</w:t>
            </w: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April 29, 2023</w:t>
            </w:r>
          </w:p>
        </w:tc>
        <w:tc>
          <w:tcPr>
            <w:tcW w:w="380" w:type="dxa"/>
            <w:vAlign w:val="bottom"/>
          </w:tcPr>
          <w:p>
            <w:pPr>
              <w:spacing w:after="0"/>
              <w:rPr>
                <w:sz w:val="16"/>
                <w:szCs w:val="16"/>
                <w:color w:val="auto"/>
              </w:rPr>
            </w:pPr>
          </w:p>
        </w:tc>
      </w:tr>
      <w:tr>
        <w:trPr>
          <w:trHeight w:val="16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40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(1.1 )</w:t>
            </w:r>
          </w:p>
        </w:tc>
        <w:tc>
          <w:tcPr>
            <w:tcW w:w="42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(4.2 )</w:t>
            </w:r>
          </w:p>
        </w:tc>
      </w:tr>
      <w:tr>
        <w:trPr>
          <w:trHeight w:val="17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400" w:type="dxa"/>
            <w:vAlign w:val="bottom"/>
          </w:tcPr>
          <w:p>
            <w:pPr>
              <w:spacing w:after="0"/>
              <w:rPr>
                <w:sz w:val="15"/>
                <w:szCs w:val="15"/>
                <w:color w:val="auto"/>
              </w:rPr>
            </w:pP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(5.9 )</w:t>
            </w:r>
          </w:p>
        </w:tc>
        <w:tc>
          <w:tcPr>
            <w:tcW w:w="420" w:type="dxa"/>
            <w:vAlign w:val="bottom"/>
          </w:tcPr>
          <w:p>
            <w:pPr>
              <w:spacing w:after="0"/>
              <w:rPr>
                <w:sz w:val="15"/>
                <w:szCs w:val="15"/>
                <w:color w:val="auto"/>
              </w:rPr>
            </w:pP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(1.7 )</w:t>
            </w:r>
          </w:p>
        </w:tc>
      </w:tr>
      <w:tr>
        <w:trPr>
          <w:trHeight w:val="20"/>
        </w:trPr>
        <w:tc>
          <w:tcPr>
            <w:tcW w:w="6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6020" w:type="dxa"/>
            <w:vAlign w:val="bottom"/>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400" w:type="dxa"/>
            <w:vAlign w:val="bottom"/>
            <w:shd w:val="clear" w:color="auto" w:fill="CFF0FC"/>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shd w:val="clear" w:color="auto" w:fill="CFF0FC"/>
          </w:tcPr>
          <w:p>
            <w:pPr>
              <w:jc w:val="right"/>
              <w:ind w:right="300"/>
              <w:spacing w:after="0" w:line="155" w:lineRule="exact"/>
              <w:rPr>
                <w:sz w:val="20"/>
                <w:szCs w:val="20"/>
                <w:color w:val="auto"/>
              </w:rPr>
            </w:pPr>
            <w:r>
              <w:rPr>
                <w:rFonts w:ascii="Times New Roman" w:cs="Times New Roman" w:eastAsia="Times New Roman" w:hAnsi="Times New Roman"/>
                <w:sz w:val="14"/>
                <w:szCs w:val="14"/>
                <w:color w:val="auto"/>
              </w:rPr>
              <w:t>(7.0 )</w:t>
            </w:r>
          </w:p>
        </w:tc>
        <w:tc>
          <w:tcPr>
            <w:tcW w:w="420" w:type="dxa"/>
            <w:vAlign w:val="bottom"/>
            <w:shd w:val="clear" w:color="auto" w:fill="CFF0FC"/>
          </w:tcPr>
          <w:p>
            <w:pPr>
              <w:jc w:val="right"/>
              <w:ind w:right="2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gridSpan w:val="2"/>
            <w:shd w:val="clear" w:color="auto" w:fill="CFF0FC"/>
          </w:tcPr>
          <w:p>
            <w:pPr>
              <w:jc w:val="right"/>
              <w:ind w:right="320"/>
              <w:spacing w:after="0" w:line="155" w:lineRule="exact"/>
              <w:rPr>
                <w:sz w:val="20"/>
                <w:szCs w:val="20"/>
                <w:color w:val="auto"/>
              </w:rPr>
            </w:pPr>
            <w:r>
              <w:rPr>
                <w:rFonts w:ascii="Times New Roman" w:cs="Times New Roman" w:eastAsia="Times New Roman" w:hAnsi="Times New Roman"/>
                <w:sz w:val="14"/>
                <w:szCs w:val="14"/>
                <w:color w:val="auto"/>
              </w:rPr>
              <w:t>(5.9 )</w:t>
            </w: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 and Adjusted EBITDA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is calculated as earnings before interest, taxes, depreciation and amortization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impairment (gain) of assets, if any. Adjusted EBITDA margin is calculated as Adjusted EBITDA divided by Sales. We believe that providing adjusted EBITDA and adjusted EBITDA margin is useful to investors in evaluating our performance and are key metrics to measure profitability and economic productivity. The following table reconciles adjusted EBITDA from net income and calculates adjusted EBITDA margin: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68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May 4, 2024</w:t>
            </w:r>
          </w:p>
        </w:tc>
        <w:tc>
          <w:tcPr>
            <w:tcW w:w="4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April 29, 2023</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7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20" w:type="dxa"/>
            <w:vAlign w:val="bottom"/>
            <w:shd w:val="clear" w:color="auto" w:fill="CFF0FC"/>
          </w:tcPr>
          <w:p>
            <w:pPr>
              <w:spacing w:after="0"/>
              <w:rPr>
                <w:sz w:val="15"/>
                <w:szCs w:val="15"/>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(GAAP basis)</w:t>
            </w:r>
          </w:p>
        </w:tc>
        <w:tc>
          <w:tcPr>
            <w:tcW w:w="1420" w:type="dxa"/>
            <w:vAlign w:val="bottom"/>
            <w:shd w:val="clear" w:color="auto" w:fill="CFF0FC"/>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Add back:</w:t>
            </w: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142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(0.6 )</w:t>
            </w:r>
          </w:p>
        </w:tc>
        <w:tc>
          <w:tcPr>
            <w:tcW w:w="14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(0.3 )</w:t>
            </w:r>
          </w:p>
        </w:tc>
        <w:tc>
          <w:tcPr>
            <w:tcW w:w="20" w:type="dxa"/>
            <w:vAlign w:val="bottom"/>
          </w:tcPr>
          <w:p>
            <w:pPr>
              <w:spacing w:after="0"/>
              <w:rPr>
                <w:sz w:val="15"/>
                <w:szCs w:val="15"/>
                <w:color w:val="auto"/>
              </w:rPr>
            </w:pPr>
          </w:p>
        </w:tc>
      </w:tr>
      <w:tr>
        <w:trPr>
          <w:trHeight w:val="176"/>
        </w:trPr>
        <w:tc>
          <w:tcPr>
            <w:tcW w:w="70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60" w:type="dxa"/>
            <w:vAlign w:val="bottom"/>
            <w:tcBorders>
              <w:bottom w:val="single" w:sz="8" w:color="CFF0FC"/>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1420" w:type="dxa"/>
            <w:vAlign w:val="bottom"/>
            <w:tcBorders>
              <w:bottom w:val="single" w:sz="8" w:color="auto"/>
            </w:tcBorders>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60" w:type="dxa"/>
            <w:vAlign w:val="bottom"/>
          </w:tcPr>
          <w:p>
            <w:pPr>
              <w:spacing w:after="0"/>
              <w:rPr>
                <w:sz w:val="14"/>
                <w:szCs w:val="14"/>
                <w:color w:val="auto"/>
              </w:rPr>
            </w:pPr>
          </w:p>
        </w:tc>
        <w:tc>
          <w:tcPr>
            <w:tcW w:w="1440" w:type="dxa"/>
            <w:vAlign w:val="bottom"/>
            <w:tcBorders>
              <w:bottom w:val="single" w:sz="8" w:color="auto"/>
            </w:tcBorders>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3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42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360" w:type="dxa"/>
            <w:vAlign w:val="bottom"/>
          </w:tcPr>
          <w:p>
            <w:pPr>
              <w:spacing w:after="0"/>
              <w:rPr>
                <w:sz w:val="15"/>
                <w:szCs w:val="15"/>
                <w:color w:val="auto"/>
              </w:rPr>
            </w:pPr>
          </w:p>
        </w:tc>
        <w:tc>
          <w:tcPr>
            <w:tcW w:w="144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4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7.1 %</w:t>
            </w:r>
          </w:p>
        </w:tc>
        <w:tc>
          <w:tcPr>
            <w:tcW w:w="144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-479425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interest rate previously disclosed in Part II, Item 7A of our Fiscal 2023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97" w:right="319" w:bottom="1440" w:gutter="0" w:footer="0" w:header="0"/>
        </w:sectPr>
      </w:pPr>
    </w:p>
    <w:bookmarkStart w:id="23" w:name="page24"/>
    <w:bookmarkEnd w:id="23"/>
    <w:p>
      <w:pPr>
        <w:ind w:right="20"/>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4, 2024.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4, 2024, our disclosure controls and procedures were effective.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not experienced any changes in our internal control over financial reporting (as defined in Rules 13a-15(f) and 15d-15(f) under the Exchange Act) during the three months ended May 4, 2024 that has materially affected, or is reasonably likely to materially affect, our internal control over financial reporting.</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of our Fiscal 2023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14, 2023, the Company’s Board of Directors approved a stock repurchase program pursuant to which the Company was initially authorized to repurchase up to $15.0 million of its common stock through open market and privately negotiated transactions. The stock repurchase program was amended on November 15, 2023 to increase the amount authorized under the program from $15.0 million to $25.0 million. The Company completed the stock repurchase program in the first quarter of fiscal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repurchase activity during the three months ended May 4, 2024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rPr>
              <w:t>(d)</w:t>
            </w:r>
          </w:p>
        </w:tc>
      </w:tr>
      <w:tr>
        <w:trPr>
          <w:trHeight w:val="216"/>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w w:val="95"/>
              </w:rPr>
              <w:t>(b)</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purchased as part of</w:t>
            </w:r>
          </w:p>
        </w:tc>
        <w:tc>
          <w:tcPr>
            <w:tcW w:w="220" w:type="dxa"/>
            <w:vAlign w:val="bottom"/>
            <w:shd w:val="clear" w:color="auto" w:fill="CFF0FC"/>
          </w:tcPr>
          <w:p>
            <w:pPr>
              <w:spacing w:after="0"/>
              <w:rPr>
                <w:sz w:val="18"/>
                <w:szCs w:val="18"/>
                <w:color w:val="auto"/>
              </w:rPr>
            </w:pPr>
          </w:p>
        </w:tc>
        <w:tc>
          <w:tcPr>
            <w:tcW w:w="19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value of shares that may</w:t>
            </w:r>
          </w:p>
        </w:tc>
      </w:tr>
      <w:tr>
        <w:trPr>
          <w:trHeight w:val="196"/>
        </w:trPr>
        <w:tc>
          <w:tcPr>
            <w:tcW w:w="3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Total number of</w:t>
            </w:r>
          </w:p>
        </w:tc>
        <w:tc>
          <w:tcPr>
            <w:tcW w:w="2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Average price paid</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publicly announced</w:t>
            </w:r>
          </w:p>
        </w:tc>
        <w:tc>
          <w:tcPr>
            <w:tcW w:w="220" w:type="dxa"/>
            <w:vAlign w:val="bottom"/>
            <w:shd w:val="clear" w:color="auto" w:fill="CFF0FC"/>
          </w:tcPr>
          <w:p>
            <w:pPr>
              <w:spacing w:after="0"/>
              <w:rPr>
                <w:sz w:val="17"/>
                <w:szCs w:val="17"/>
                <w:color w:val="auto"/>
              </w:rPr>
            </w:pPr>
          </w:p>
        </w:tc>
        <w:tc>
          <w:tcPr>
            <w:tcW w:w="1960" w:type="dxa"/>
            <w:vAlign w:val="bottom"/>
            <w:gridSpan w:val="3"/>
            <w:shd w:val="clear" w:color="auto" w:fill="CFF0FC"/>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yet be purchased under</w:t>
            </w:r>
          </w:p>
        </w:tc>
      </w:tr>
      <w:tr>
        <w:trPr>
          <w:trHeight w:val="268"/>
        </w:trPr>
        <w:tc>
          <w:tcPr>
            <w:tcW w:w="37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FF0FC"/>
          </w:tcPr>
          <w:p>
            <w:pPr>
              <w:spacing w:after="0"/>
              <w:rPr>
                <w:sz w:val="23"/>
                <w:szCs w:val="23"/>
                <w:color w:val="auto"/>
              </w:rPr>
            </w:pPr>
          </w:p>
        </w:tc>
        <w:tc>
          <w:tcPr>
            <w:tcW w:w="1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shares purchased</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80" w:type="dxa"/>
            <w:vAlign w:val="bottom"/>
            <w:shd w:val="clear" w:color="auto" w:fill="CFF0FC"/>
          </w:tcPr>
          <w:p>
            <w:pPr>
              <w:jc w:val="center"/>
              <w:ind w:right="110"/>
              <w:spacing w:after="0" w:line="267" w:lineRule="exact"/>
              <w:rPr>
                <w:sz w:val="20"/>
                <w:szCs w:val="20"/>
                <w:color w:val="auto"/>
              </w:rPr>
            </w:pPr>
            <w:r>
              <w:rPr>
                <w:rFonts w:ascii="Times New Roman" w:cs="Times New Roman" w:eastAsia="Times New Roman" w:hAnsi="Times New Roman"/>
                <w:sz w:val="18"/>
                <w:szCs w:val="18"/>
                <w:color w:val="auto"/>
                <w:w w:val="94"/>
              </w:rPr>
              <w:t xml:space="preserve">per share </w:t>
            </w:r>
            <w:r>
              <w:rPr>
                <w:rFonts w:ascii="Times New Roman" w:cs="Times New Roman" w:eastAsia="Times New Roman" w:hAnsi="Times New Roman"/>
                <w:sz w:val="24"/>
                <w:szCs w:val="24"/>
                <w:color w:val="auto"/>
                <w:w w:val="94"/>
                <w:vertAlign w:val="superscript"/>
              </w:rPr>
              <w:t>(1)</w:t>
            </w:r>
          </w:p>
        </w:tc>
        <w:tc>
          <w:tcPr>
            <w:tcW w:w="220" w:type="dxa"/>
            <w:vAlign w:val="bottom"/>
            <w:shd w:val="clear" w:color="auto" w:fill="CFF0FC"/>
          </w:tcPr>
          <w:p>
            <w:pPr>
              <w:spacing w:after="0"/>
              <w:rPr>
                <w:sz w:val="23"/>
                <w:szCs w:val="23"/>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plan</w:t>
            </w:r>
          </w:p>
        </w:tc>
        <w:tc>
          <w:tcPr>
            <w:tcW w:w="2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800" w:type="dxa"/>
            <w:vAlign w:val="bottom"/>
            <w:gridSpan w:val="2"/>
            <w:shd w:val="clear" w:color="auto" w:fill="CFF0FC"/>
          </w:tcPr>
          <w:p>
            <w:pPr>
              <w:ind w:left="380"/>
              <w:spacing w:after="0" w:line="267" w:lineRule="exact"/>
              <w:rPr>
                <w:sz w:val="20"/>
                <w:szCs w:val="20"/>
                <w:color w:val="auto"/>
              </w:rPr>
            </w:pPr>
            <w:r>
              <w:rPr>
                <w:rFonts w:ascii="Times New Roman" w:cs="Times New Roman" w:eastAsia="Times New Roman" w:hAnsi="Times New Roman"/>
                <w:sz w:val="18"/>
                <w:szCs w:val="18"/>
                <w:color w:val="auto"/>
              </w:rPr>
              <w:t xml:space="preserve">the plan </w:t>
            </w:r>
            <w:r>
              <w:rPr>
                <w:rFonts w:ascii="Times New Roman" w:cs="Times New Roman" w:eastAsia="Times New Roman" w:hAnsi="Times New Roman"/>
                <w:sz w:val="24"/>
                <w:szCs w:val="24"/>
                <w:color w:val="auto"/>
                <w:vertAlign w:val="superscript"/>
              </w:rPr>
              <w:t>(1)</w:t>
            </w:r>
          </w:p>
        </w:tc>
      </w:tr>
      <w:tr>
        <w:trPr>
          <w:trHeight w:val="236"/>
        </w:trPr>
        <w:tc>
          <w:tcPr>
            <w:tcW w:w="37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4, 2024 to March 2, 2024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250,006</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 2024 to April 6, 2024</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250,006</w:t>
            </w:r>
          </w:p>
        </w:tc>
        <w:tc>
          <w:tcPr>
            <w:tcW w:w="100" w:type="dxa"/>
            <w:vAlign w:val="bottom"/>
          </w:tcPr>
          <w:p>
            <w:pPr>
              <w:spacing w:after="0"/>
              <w:rPr>
                <w:sz w:val="20"/>
                <w:szCs w:val="20"/>
                <w:color w:val="auto"/>
              </w:rPr>
            </w:pPr>
          </w:p>
        </w:tc>
      </w:tr>
      <w:tr>
        <w:trPr>
          <w:trHeight w:val="247"/>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7, 2024 to May 4, 2024</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52,802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250,006</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-813435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-813435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-813435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-813435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-187960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 Average price paid per share and the approximate dollar value of shares that may yet be purchased under the plan excludes the accrual of excise tax.</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During the three months ended May 4, 2024,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 as amended).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pursuant to Rule 13a-14(a) under the Securities Exchange Act of 1934.*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36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4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0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r>
      <w:tr>
        <w:trPr>
          <w:trHeight w:val="20"/>
        </w:trPr>
        <w:tc>
          <w:tcPr>
            <w:tcW w:w="96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4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0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Inline XBRL Instance Document. The instance document does not appear in the Interactive Data File because its XBRL tags are embedded</w:t>
            </w:r>
          </w:p>
        </w:tc>
      </w:tr>
      <w:tr>
        <w:trPr>
          <w:trHeight w:val="196"/>
        </w:trPr>
        <w:tc>
          <w:tcPr>
            <w:tcW w:w="960" w:type="dxa"/>
            <w:vAlign w:val="bottom"/>
          </w:tcPr>
          <w:p>
            <w:pPr>
              <w:spacing w:after="0"/>
              <w:rPr>
                <w:sz w:val="17"/>
                <w:szCs w:val="17"/>
                <w:color w:val="auto"/>
              </w:rPr>
            </w:pPr>
          </w:p>
        </w:tc>
        <w:tc>
          <w:tcPr>
            <w:tcW w:w="100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within the Inline XBRL document.</w:t>
            </w: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Schema With Embedded Linkbase Document.</w:t>
            </w:r>
          </w:p>
        </w:tc>
        <w:tc>
          <w:tcPr>
            <w:tcW w:w="4180" w:type="dxa"/>
            <w:vAlign w:val="bottom"/>
            <w:gridSpan w:val="3"/>
          </w:tcPr>
          <w:p>
            <w:pPr>
              <w:spacing w:after="0"/>
              <w:rPr>
                <w:sz w:val="24"/>
                <w:szCs w:val="24"/>
                <w:color w:val="auto"/>
              </w:rPr>
            </w:pPr>
          </w:p>
        </w:tc>
      </w:tr>
    </w:tbl>
    <w:p>
      <w:pPr>
        <w:spacing w:after="0" w:line="279" w:lineRule="exact"/>
        <w:rPr>
          <w:sz w:val="20"/>
          <w:szCs w:val="20"/>
          <w:color w:val="auto"/>
        </w:rPr>
      </w:pPr>
    </w:p>
    <w:p>
      <w:pPr>
        <w:ind w:left="1020" w:hanging="938"/>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 The cover page interactive data file does not appear in the interactive data file because its XBRL tags are embedded within the Inline XBRL document.</w:t>
      </w:r>
    </w:p>
    <w:p>
      <w:pPr>
        <w:spacing w:after="0" w:line="21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4" w:right="459" w:bottom="1440" w:gutter="0" w:footer="0" w:header="0"/>
        </w:sectPr>
      </w:pPr>
    </w:p>
    <w:bookmarkStart w:id="26" w:name="page27"/>
    <w:bookmarkEnd w:id="26"/>
    <w:p>
      <w:pPr>
        <w:jc w:val="center"/>
        <w:ind w:right="-29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06" w:lineRule="exact"/>
        <w:rPr>
          <w:sz w:val="20"/>
          <w:szCs w:val="20"/>
          <w:color w:val="auto"/>
        </w:rPr>
      </w:pPr>
    </w:p>
    <w:p>
      <w:pPr>
        <w:ind w:left="20"/>
        <w:spacing w:after="0"/>
        <w:tabs>
          <w:tab w:leader="none" w:pos="5960" w:val="left"/>
          <w:tab w:leader="none" w:pos="6760" w:val="left"/>
        </w:tabs>
        <w:rPr>
          <w:sz w:val="20"/>
          <w:szCs w:val="20"/>
          <w:color w:val="auto"/>
        </w:rPr>
      </w:pPr>
      <w:r>
        <w:rPr>
          <w:rFonts w:ascii="Times New Roman" w:cs="Times New Roman" w:eastAsia="Times New Roman" w:hAnsi="Times New Roman"/>
          <w:sz w:val="18"/>
          <w:szCs w:val="18"/>
          <w:color w:val="auto"/>
        </w:rPr>
        <w:t>Date: May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F.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John F. Cooney</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Corporate Controller (Duly Authorized Officer and Chief</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85" w:right="679" w:bottom="1440" w:gutter="0" w:footer="0" w:header="0"/>
        </w:sectPr>
      </w:pPr>
    </w:p>
    <w:bookmarkStart w:id="27" w:name="page28"/>
    <w:bookmarkEnd w:id="2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20" w:val="left"/>
          <w:tab w:leader="none" w:pos="6760" w:val="left"/>
          <w:tab w:leader="none" w:pos="8400" w:val="left"/>
        </w:tabs>
        <w:rPr>
          <w:sz w:val="20"/>
          <w:szCs w:val="20"/>
          <w:color w:val="auto"/>
        </w:rPr>
      </w:pPr>
      <w:r>
        <w:rPr>
          <w:rFonts w:ascii="Times New Roman" w:cs="Times New Roman" w:eastAsia="Times New Roman" w:hAnsi="Times New Roman"/>
          <w:sz w:val="18"/>
          <w:szCs w:val="18"/>
          <w:color w:val="auto"/>
        </w:rPr>
        <w:t>Date:</w:t>
        <w:tab/>
        <w:t>May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26035</wp:posOffset>
            </wp:positionV>
            <wp:extent cx="26485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3"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29"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748665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2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May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26035</wp:posOffset>
            </wp:positionV>
            <wp:extent cx="26485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3"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spacing w:after="0" w:line="29"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748665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May 4, 2024, as filed with the Securities and Exchange Commission on the date hereof (the “Report”), I, Harvey S. Kanter, Chief Executive Officer of the Company, certify pursuant to 18 U.S.C. § 1350, as adopted pursuant to § 906 of the Sarbanes-Oxley Act of 2002, that:</w:t>
      </w:r>
    </w:p>
    <w:p>
      <w:pPr>
        <w:spacing w:after="0" w:line="68" w:lineRule="exact"/>
        <w:rPr>
          <w:sz w:val="20"/>
          <w:szCs w:val="20"/>
          <w:color w:val="auto"/>
        </w:rPr>
      </w:pPr>
    </w:p>
    <w:p>
      <w:pPr>
        <w:ind w:left="1400" w:right="480" w:hanging="374"/>
        <w:spacing w:after="0" w:line="282" w:lineRule="auto"/>
        <w:tabs>
          <w:tab w:leader="none" w:pos="12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4" w:lineRule="exact"/>
        <w:rPr>
          <w:sz w:val="20"/>
          <w:szCs w:val="20"/>
          <w:color w:val="auto"/>
        </w:rPr>
      </w:pPr>
    </w:p>
    <w:p>
      <w:pPr>
        <w:ind w:left="20"/>
        <w:spacing w:after="0"/>
        <w:tabs>
          <w:tab w:leader="none" w:pos="620" w:val="left"/>
          <w:tab w:leader="none" w:pos="6760" w:val="left"/>
          <w:tab w:leader="none" w:pos="8380" w:val="left"/>
        </w:tabs>
        <w:rPr>
          <w:sz w:val="20"/>
          <w:szCs w:val="20"/>
          <w:color w:val="auto"/>
        </w:rPr>
      </w:pPr>
      <w:r>
        <w:rPr>
          <w:rFonts w:ascii="Times New Roman" w:cs="Times New Roman" w:eastAsia="Times New Roman" w:hAnsi="Times New Roman"/>
          <w:sz w:val="18"/>
          <w:szCs w:val="18"/>
          <w:color w:val="auto"/>
        </w:rPr>
        <w:t>Date:</w:t>
        <w:tab/>
        <w:t>May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Harvey S. Kanter</w:t>
      </w:r>
    </w:p>
    <w:p>
      <w:pPr>
        <w:spacing w:after="0" w:line="30"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Harvey S. Kanter</w:t>
      </w:r>
    </w:p>
    <w:p>
      <w:pPr>
        <w:spacing w:after="0" w:line="29"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7"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May 4, 2024,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8" w:lineRule="exact"/>
        <w:rPr>
          <w:sz w:val="20"/>
          <w:szCs w:val="20"/>
          <w:color w:val="auto"/>
        </w:rPr>
      </w:pPr>
    </w:p>
    <w:p>
      <w:pPr>
        <w:ind w:left="1400" w:right="480" w:hanging="374"/>
        <w:spacing w:after="0" w:line="282" w:lineRule="auto"/>
        <w:tabs>
          <w:tab w:leader="none" w:pos="12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4" w:lineRule="exact"/>
        <w:rPr>
          <w:sz w:val="20"/>
          <w:szCs w:val="20"/>
          <w:color w:val="auto"/>
        </w:rPr>
      </w:pPr>
    </w:p>
    <w:p>
      <w:pPr>
        <w:ind w:left="20"/>
        <w:spacing w:after="0"/>
        <w:tabs>
          <w:tab w:leader="none" w:pos="560" w:val="left"/>
          <w:tab w:leader="none" w:pos="6760" w:val="left"/>
          <w:tab w:leader="none" w:pos="8280" w:val="left"/>
        </w:tabs>
        <w:rPr>
          <w:sz w:val="20"/>
          <w:szCs w:val="20"/>
          <w:color w:val="auto"/>
        </w:rPr>
      </w:pPr>
      <w:r>
        <w:rPr>
          <w:rFonts w:ascii="Times New Roman" w:cs="Times New Roman" w:eastAsia="Times New Roman" w:hAnsi="Times New Roman"/>
          <w:sz w:val="18"/>
          <w:szCs w:val="18"/>
          <w:color w:val="auto"/>
        </w:rPr>
        <w:t>Date:</w:t>
        <w:tab/>
        <w:t>May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Peter H. Stratton, Jr.</w:t>
      </w:r>
    </w:p>
    <w:p>
      <w:pPr>
        <w:spacing w:after="0" w:line="30"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spacing w:after="0" w:line="29"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7"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4"/>
    </w:lvl>
    <w:lvl w:ilvl="1">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2024-05-30T12:16:16Z</dcterms:created>
  <dcterms:modified xsi:type="dcterms:W3CDTF">2024-05-30T12:16:16Z</dcterms:modified>
</cp:coreProperties>
</file>