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0"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17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580"/>
        <w:spacing w:after="0"/>
        <w:tabs>
          <w:tab w:leader="none" w:pos="3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CASUAL MALE RETAIL GROUP, INC. 401(K) HOURLY SAVINGS PLAN</w:t>
      </w:r>
    </w:p>
    <w:p>
      <w:pPr>
        <w:spacing w:after="0" w:line="37"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color w:val="auto"/>
        </w:rPr>
        <w:t>(Full title of the plan)</w:t>
      </w:r>
    </w:p>
    <w:p>
      <w:pPr>
        <w:spacing w:after="0" w:line="13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Canton, Massachusetts 02021</w:t>
      </w:r>
    </w:p>
    <w:p>
      <w:pPr>
        <w:jc w:val="center"/>
        <w:ind w:right="-499"/>
        <w:spacing w:after="0"/>
        <w:rPr>
          <w:sz w:val="20"/>
          <w:szCs w:val="20"/>
          <w:color w:val="auto"/>
        </w:rPr>
      </w:pPr>
      <w:r>
        <w:rPr>
          <w:rFonts w:ascii="Arial" w:cs="Arial" w:eastAsia="Arial" w:hAnsi="Arial"/>
          <w:sz w:val="14"/>
          <w:szCs w:val="14"/>
          <w:b w:val="1"/>
          <w:bCs w:val="1"/>
          <w:color w:val="auto"/>
        </w:rPr>
        <w:t>(Name of issuer of the securities held pursuant to the plan and the address</w:t>
      </w:r>
    </w:p>
    <w:p>
      <w:pPr>
        <w:jc w:val="center"/>
        <w:ind w:right="-499"/>
        <w:spacing w:after="0"/>
        <w:rPr>
          <w:sz w:val="20"/>
          <w:szCs w:val="20"/>
          <w:color w:val="auto"/>
        </w:rPr>
      </w:pPr>
      <w:r>
        <w:rPr>
          <w:rFonts w:ascii="Arial" w:cs="Arial" w:eastAsia="Arial" w:hAnsi="Arial"/>
          <w:sz w:val="14"/>
          <w:szCs w:val="14"/>
          <w:b w:val="1"/>
          <w:b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240" w:top="230" w:right="7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160" w:type="dxa"/>
            <w:vAlign w:val="bottom"/>
            <w:gridSpan w:val="5"/>
          </w:tcPr>
          <w:p>
            <w:pPr>
              <w:jc w:val="center"/>
              <w:ind w:right="1120"/>
              <w:spacing w:after="0"/>
              <w:rPr>
                <w:sz w:val="20"/>
                <w:szCs w:val="20"/>
                <w:color w:val="auto"/>
              </w:rPr>
            </w:pPr>
            <w:r>
              <w:rPr>
                <w:rFonts w:ascii="Arial" w:cs="Arial" w:eastAsia="Arial" w:hAnsi="Arial"/>
                <w:sz w:val="18"/>
                <w:szCs w:val="18"/>
                <w:color w:val="auto"/>
                <w:w w:val="89"/>
              </w:rPr>
              <w:t>Casual Male Retail Group 401(k) Hourly Savings Plan</w:t>
            </w:r>
          </w:p>
        </w:tc>
        <w:tc>
          <w:tcPr>
            <w:tcW w:w="206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160" w:type="dxa"/>
            <w:vAlign w:val="bottom"/>
            <w:gridSpan w:val="5"/>
          </w:tcPr>
          <w:p>
            <w:pPr>
              <w:jc w:val="center"/>
              <w:ind w:right="1140"/>
              <w:spacing w:after="0"/>
              <w:rPr>
                <w:sz w:val="20"/>
                <w:szCs w:val="20"/>
                <w:color w:val="auto"/>
              </w:rPr>
            </w:pPr>
            <w:r>
              <w:rPr>
                <w:rFonts w:ascii="Arial" w:cs="Arial" w:eastAsia="Arial" w:hAnsi="Arial"/>
                <w:sz w:val="18"/>
                <w:szCs w:val="18"/>
                <w:color w:val="auto"/>
                <w:w w:val="86"/>
              </w:rPr>
              <w:t>Financial Statements and Supplemental Schedule</w:t>
            </w:r>
          </w:p>
        </w:tc>
        <w:tc>
          <w:tcPr>
            <w:tcW w:w="206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40" w:type="dxa"/>
            <w:vAlign w:val="bottom"/>
            <w:gridSpan w:val="4"/>
          </w:tcPr>
          <w:p>
            <w:pPr>
              <w:jc w:val="center"/>
              <w:ind w:right="2060"/>
              <w:spacing w:after="0"/>
              <w:rPr>
                <w:sz w:val="20"/>
                <w:szCs w:val="20"/>
                <w:color w:val="auto"/>
              </w:rPr>
            </w:pPr>
            <w:r>
              <w:rPr>
                <w:rFonts w:ascii="Arial" w:cs="Arial" w:eastAsia="Arial" w:hAnsi="Arial"/>
                <w:sz w:val="18"/>
                <w:szCs w:val="18"/>
                <w:color w:val="auto"/>
                <w:w w:val="86"/>
              </w:rPr>
              <w:t>Year ended December 31, 2007</w:t>
            </w:r>
          </w:p>
        </w:tc>
        <w:tc>
          <w:tcPr>
            <w:tcW w:w="2060" w:type="dxa"/>
            <w:vAlign w:val="bottom"/>
          </w:tcPr>
          <w:p>
            <w:pPr>
              <w:spacing w:after="0"/>
              <w:rPr>
                <w:sz w:val="24"/>
                <w:szCs w:val="24"/>
                <w:color w:val="auto"/>
              </w:rPr>
            </w:pPr>
          </w:p>
        </w:tc>
      </w:tr>
      <w:tr>
        <w:trPr>
          <w:trHeight w:val="35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40" w:type="dxa"/>
            <w:vAlign w:val="bottom"/>
            <w:gridSpan w:val="4"/>
          </w:tcPr>
          <w:p>
            <w:pPr>
              <w:jc w:val="center"/>
              <w:ind w:right="2040"/>
              <w:spacing w:after="0"/>
              <w:rPr>
                <w:sz w:val="20"/>
                <w:szCs w:val="20"/>
                <w:color w:val="auto"/>
              </w:rPr>
            </w:pPr>
            <w:r>
              <w:rPr>
                <w:rFonts w:ascii="Arial" w:cs="Arial" w:eastAsia="Arial" w:hAnsi="Arial"/>
                <w:sz w:val="18"/>
                <w:szCs w:val="18"/>
                <w:b w:val="1"/>
                <w:bCs w:val="1"/>
                <w:color w:val="auto"/>
                <w:w w:val="86"/>
              </w:rPr>
              <w:t>Table of Contents</w:t>
            </w:r>
          </w:p>
        </w:tc>
        <w:tc>
          <w:tcPr>
            <w:tcW w:w="2060" w:type="dxa"/>
            <w:vAlign w:val="bottom"/>
          </w:tcPr>
          <w:p>
            <w:pPr>
              <w:spacing w:after="0"/>
              <w:rPr>
                <w:sz w:val="24"/>
                <w:szCs w:val="24"/>
                <w:color w:val="auto"/>
              </w:rPr>
            </w:pPr>
          </w:p>
        </w:tc>
      </w:tr>
      <w:tr>
        <w:trPr>
          <w:trHeight w:val="380"/>
        </w:trPr>
        <w:tc>
          <w:tcPr>
            <w:tcW w:w="93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12"/>
        </w:trPr>
        <w:tc>
          <w:tcPr>
            <w:tcW w:w="58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Statements of Net Assets Available for Benefits as of December 31, 2007 and 2006</w:t>
              </w:r>
            </w:hyperlink>
          </w:p>
        </w:tc>
        <w:tc>
          <w:tcPr>
            <w:tcW w:w="3500" w:type="dxa"/>
            <w:vAlign w:val="bottom"/>
            <w:gridSpan w:val="2"/>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9360" w:type="dxa"/>
            <w:vAlign w:val="bottom"/>
            <w:gridSpan w:val="1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 of Changes in Net Assets Available for Benefits For the Year Ended December 31, 2007</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6940" w:type="dxa"/>
            <w:vAlign w:val="bottom"/>
            <w:tcBorders>
              <w:top w:val="single" w:sz="8" w:color="0000EE"/>
            </w:tcBorders>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4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412"/>
        </w:trPr>
        <w:tc>
          <w:tcPr>
            <w:tcW w:w="2100" w:type="dxa"/>
            <w:vAlign w:val="bottom"/>
            <w:tcBorders>
              <w:top w:val="single" w:sz="8" w:color="0000EE"/>
            </w:tcBorders>
            <w:gridSpan w:val="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Supplemental Schedule</w:t>
              </w:r>
            </w:hyperlink>
          </w:p>
        </w:tc>
        <w:tc>
          <w:tcPr>
            <w:tcW w:w="7260" w:type="dxa"/>
            <w:vAlign w:val="bottom"/>
            <w:gridSpan w:val="6"/>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0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Schedule H, Line 4i – Schedule of Assets Held for Investment Purposes</w:t>
              </w:r>
            </w:hyperlink>
          </w:p>
        </w:tc>
        <w:tc>
          <w:tcPr>
            <w:tcW w:w="386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at End of Year (December 31, 2007)</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Plan Administrator and Participants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401(k) Hourly Savings Plan</w:t>
      </w:r>
    </w:p>
    <w:p>
      <w:pPr>
        <w:spacing w:after="0" w:line="165"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We have audited the accompanying statement of net assets available for benefits of the Casual Male Retail Group, Inc. 401 (k) Hourly Savings Plan as of December 31, 2007 and 2006, and the related statement of changes in net assets available for benefits for the year ended December 31, 2007.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2007 and 2006 and the changes in its net assets available for benefits for the year ended December 31, 2007, in conformity with accounting principles generally accepted in the United States.</w:t>
      </w:r>
    </w:p>
    <w:p>
      <w:pPr>
        <w:spacing w:after="0" w:line="14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for investment purposes at end of year (December 31, 2007) is presented for the purpose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This supplemental schedule has been subjected to the auditing procedures applied in our audits of the financial statements and, in our opinion, is fairly stated in all material respects in relation to the financial statements taken as a whole.</w:t>
      </w:r>
    </w:p>
    <w:p>
      <w:pPr>
        <w:spacing w:after="0" w:line="144" w:lineRule="exact"/>
        <w:rPr>
          <w:sz w:val="20"/>
          <w:szCs w:val="20"/>
          <w:color w:val="auto"/>
        </w:rPr>
      </w:pPr>
    </w:p>
    <w:p>
      <w:pPr>
        <w:ind w:left="7380"/>
        <w:spacing w:after="0"/>
        <w:rPr>
          <w:sz w:val="20"/>
          <w:szCs w:val="20"/>
          <w:color w:val="auto"/>
        </w:rPr>
      </w:pPr>
      <w:r>
        <w:rPr>
          <w:rFonts w:ascii="Arial" w:cs="Arial" w:eastAsia="Arial" w:hAnsi="Arial"/>
          <w:sz w:val="18"/>
          <w:szCs w:val="18"/>
          <w:u w:val="single" w:color="auto"/>
          <w:color w:val="auto"/>
        </w:rPr>
        <w:t>/s/ Mahoney Cohen &amp; Company, CPA, P.C.</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26,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Statements of Net Assets Available for Benefits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 and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80" w:type="dxa"/>
            <w:vAlign w:val="bottom"/>
            <w:gridSpan w:val="4"/>
          </w:tcPr>
          <w:p>
            <w:pPr>
              <w:ind w:left="66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80" w:type="dxa"/>
            <w:vAlign w:val="bottom"/>
            <w:gridSpan w:val="2"/>
          </w:tcPr>
          <w:p>
            <w:pPr>
              <w:jc w:val="right"/>
              <w:ind w:right="257"/>
              <w:spacing w:after="0"/>
              <w:rPr>
                <w:sz w:val="20"/>
                <w:szCs w:val="20"/>
                <w:color w:val="auto"/>
              </w:rPr>
            </w:pPr>
            <w:r>
              <w:rPr>
                <w:rFonts w:ascii="Arial" w:cs="Arial" w:eastAsia="Arial" w:hAnsi="Arial"/>
                <w:sz w:val="14"/>
                <w:szCs w:val="14"/>
                <w:b w:val="1"/>
                <w:bCs w:val="1"/>
                <w:color w:val="auto"/>
              </w:rPr>
              <w:t>2007</w:t>
            </w:r>
          </w:p>
        </w:tc>
        <w:tc>
          <w:tcPr>
            <w:tcW w:w="11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Investments, at fair value (Note 2 and 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$ 13,385,139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$ 13,414,124</w:t>
            </w:r>
          </w:p>
        </w:tc>
        <w:tc>
          <w:tcPr>
            <w:tcW w:w="20" w:type="dxa"/>
            <w:vAlign w:val="bottom"/>
          </w:tcPr>
          <w:p>
            <w:pPr>
              <w:spacing w:after="0"/>
              <w:rPr>
                <w:sz w:val="18"/>
                <w:szCs w:val="18"/>
                <w:color w:val="auto"/>
              </w:rPr>
            </w:pPr>
          </w:p>
        </w:tc>
      </w:tr>
      <w:tr>
        <w:trPr>
          <w:trHeight w:val="231"/>
        </w:trPr>
        <w:tc>
          <w:tcPr>
            <w:tcW w:w="8200" w:type="dxa"/>
            <w:vAlign w:val="bottom"/>
            <w:gridSpan w:val="2"/>
          </w:tcPr>
          <w:p>
            <w:pPr>
              <w:spacing w:after="0"/>
              <w:rPr>
                <w:sz w:val="20"/>
                <w:szCs w:val="20"/>
                <w:color w:val="auto"/>
              </w:rPr>
            </w:pPr>
            <w:r>
              <w:rPr>
                <w:rFonts w:ascii="Arial" w:cs="Arial" w:eastAsia="Arial" w:hAnsi="Arial"/>
                <w:sz w:val="18"/>
                <w:szCs w:val="18"/>
                <w:color w:val="auto"/>
              </w:rPr>
              <w:t>Participant loans receivable</w:t>
            </w:r>
          </w:p>
        </w:tc>
        <w:tc>
          <w:tcPr>
            <w:tcW w:w="11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307,233</w:t>
            </w:r>
          </w:p>
        </w:tc>
        <w:tc>
          <w:tcPr>
            <w:tcW w:w="2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301,624</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13,692,372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13,715,748</w:t>
            </w:r>
          </w:p>
        </w:tc>
        <w:tc>
          <w:tcPr>
            <w:tcW w:w="20" w:type="dxa"/>
            <w:vAlign w:val="bottom"/>
          </w:tcPr>
          <w:p>
            <w:pPr>
              <w:spacing w:after="0"/>
              <w:rPr>
                <w:sz w:val="19"/>
                <w:szCs w:val="19"/>
                <w:color w:val="auto"/>
              </w:rPr>
            </w:pPr>
          </w:p>
        </w:tc>
      </w:tr>
      <w:tr>
        <w:trPr>
          <w:trHeight w:val="331"/>
        </w:trPr>
        <w:tc>
          <w:tcPr>
            <w:tcW w:w="8200" w:type="dxa"/>
            <w:vAlign w:val="bottom"/>
            <w:gridSpan w:val="2"/>
          </w:tcPr>
          <w:p>
            <w:pPr>
              <w:spacing w:after="0"/>
              <w:rPr>
                <w:sz w:val="20"/>
                <w:szCs w:val="20"/>
                <w:color w:val="auto"/>
              </w:rPr>
            </w:pPr>
            <w:r>
              <w:rPr>
                <w:rFonts w:ascii="Arial" w:cs="Arial" w:eastAsia="Arial" w:hAnsi="Arial"/>
                <w:sz w:val="18"/>
                <w:szCs w:val="18"/>
                <w:color w:val="auto"/>
              </w:rPr>
              <w:t>Employer contributions receivable</w:t>
            </w:r>
          </w:p>
        </w:tc>
        <w:tc>
          <w:tcPr>
            <w:tcW w:w="116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171,636</w:t>
            </w:r>
          </w:p>
        </w:tc>
        <w:tc>
          <w:tcPr>
            <w:tcW w:w="20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158,306</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assets reflecting all investments fair value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$ 13,864,008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$ 13,874,054</w:t>
            </w:r>
          </w:p>
        </w:tc>
        <w:tc>
          <w:tcPr>
            <w:tcW w:w="20" w:type="dxa"/>
            <w:vAlign w:val="bottom"/>
          </w:tcPr>
          <w:p>
            <w:pPr>
              <w:spacing w:after="0"/>
              <w:rPr>
                <w:sz w:val="18"/>
                <w:szCs w:val="18"/>
                <w:color w:val="auto"/>
              </w:rPr>
            </w:pPr>
          </w:p>
        </w:tc>
      </w:tr>
      <w:tr>
        <w:trPr>
          <w:trHeight w:val="331"/>
        </w:trPr>
        <w:tc>
          <w:tcPr>
            <w:tcW w:w="20" w:type="dxa"/>
            <w:vAlign w:val="bottom"/>
          </w:tcPr>
          <w:p>
            <w:pPr>
              <w:spacing w:after="0"/>
              <w:rPr>
                <w:sz w:val="24"/>
                <w:szCs w:val="24"/>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16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16,597</w:t>
            </w:r>
          </w:p>
        </w:tc>
        <w:tc>
          <w:tcPr>
            <w:tcW w:w="20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$ 13,880,605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$ 13,880,180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Statement of Changes in Net Assets Available for Benefits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2007</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Net appreciation in fair value of investments (Note 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the Plan (Note 1)</w:t>
            </w: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737,542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Contributions: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ind w:left="420"/>
              <w:spacing w:after="0"/>
              <w:rPr>
                <w:sz w:val="20"/>
                <w:szCs w:val="20"/>
                <w:color w:val="auto"/>
              </w:rPr>
            </w:pPr>
            <w:r>
              <w:rPr>
                <w:rFonts w:ascii="Arial" w:cs="Arial" w:eastAsia="Arial" w:hAnsi="Arial"/>
                <w:sz w:val="18"/>
                <w:szCs w:val="18"/>
                <w:color w:val="auto"/>
              </w:rPr>
              <w:t>Employee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534,710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Rollover</w:t>
            </w: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874,613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Total additions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1,612,155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500" w:type="dxa"/>
            <w:vAlign w:val="bottom"/>
            <w:gridSpan w:val="2"/>
          </w:tcPr>
          <w:p>
            <w:pPr>
              <w:spacing w:after="0"/>
              <w:rPr>
                <w:sz w:val="20"/>
                <w:szCs w:val="20"/>
                <w:color w:val="auto"/>
              </w:rPr>
            </w:pPr>
            <w:r>
              <w:rPr>
                <w:rFonts w:ascii="Arial" w:cs="Arial" w:eastAsia="Arial" w:hAnsi="Arial"/>
                <w:sz w:val="18"/>
                <w:szCs w:val="18"/>
                <w:b w:val="1"/>
                <w:bCs w:val="1"/>
                <w:color w:val="auto"/>
              </w:rPr>
              <w:t>Deductions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Benefits paid directly to participants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1,402,538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Transfers out of the Plan (Note 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500" w:type="dxa"/>
            <w:vAlign w:val="bottom"/>
            <w:gridSpan w:val="2"/>
          </w:tcPr>
          <w:p>
            <w:pPr>
              <w:spacing w:after="0"/>
              <w:rPr>
                <w:sz w:val="20"/>
                <w:szCs w:val="20"/>
                <w:color w:val="auto"/>
              </w:rPr>
            </w:pPr>
            <w:r>
              <w:rPr>
                <w:rFonts w:ascii="Arial" w:cs="Arial" w:eastAsia="Arial" w:hAnsi="Arial"/>
                <w:sz w:val="18"/>
                <w:szCs w:val="18"/>
                <w:color w:val="auto"/>
              </w:rPr>
              <w:t>Administrative fees</w:t>
            </w: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Total deductions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1,611,730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500" w:type="dxa"/>
            <w:vAlign w:val="bottom"/>
            <w:gridSpan w:val="2"/>
          </w:tcPr>
          <w:p>
            <w:pPr>
              <w:spacing w:after="0"/>
              <w:rPr>
                <w:sz w:val="20"/>
                <w:szCs w:val="20"/>
                <w:color w:val="auto"/>
              </w:rPr>
            </w:pPr>
            <w:r>
              <w:rPr>
                <w:rFonts w:ascii="Arial" w:cs="Arial" w:eastAsia="Arial" w:hAnsi="Arial"/>
                <w:sz w:val="18"/>
                <w:szCs w:val="18"/>
                <w:color w:val="auto"/>
              </w:rPr>
              <w:t>Net increase</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13,880,180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50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13,880,605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description of Casual Male Retail Group, Inc. 401(k) Hourly Savings Plan (the “Plan”) provides only general information. Participants should refer to the Plan document for a more complete description of the Plan’s provisions.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General</w:t>
      </w:r>
    </w:p>
    <w:p>
      <w:pPr>
        <w:spacing w:after="0" w:line="90"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Plan is a defined contribution plan covering eligible employees of the Casual Male Retail Group, Inc. (the “Company”). The Plan is subject to the provisions of the Employee Retirement Income Security Act of 1974 (ERISA).</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 2007, a new custodian (Fidelity Investments) for the Plan was appointed and assets were transferred accordingly from Putnam Investments.</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All regular, full-time (as defined in the Plan) employees, excluding salaried employees, of the Company who have completed one year of employment and are at least 21 years of age are eligible to participate in the Plan. After completing age and service requirements, the employee can enter the Plan on the first day of any subsequent month.</w:t>
      </w:r>
    </w:p>
    <w:p>
      <w:pPr>
        <w:spacing w:after="0" w:line="1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participants change positions at the Company, they may change from an hourly to salary status or vice versa. Assets transferred to the Casual Male Retail Group, Inc. 401(k) Salaried Savings Plan during the year ended December 31, 2007 were $190,492. Assets transferred from the Casual Male Retail Group Inc. 401(k) Salaried Savings Plan during the year ended December 31, 2007 were $87,145.</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Contributions</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Each year, participants may contribute from 1% to 80% of pretax annual compensation as defined in the Plan, subject to the provisions of ERISA. Participants may also contribute amounts representing distributions from other qualified defined benefit or defined contribution plans.</w:t>
      </w:r>
    </w:p>
    <w:p>
      <w:pPr>
        <w:spacing w:after="0" w:line="85" w:lineRule="exact"/>
        <w:rPr>
          <w:sz w:val="20"/>
          <w:szCs w:val="20"/>
          <w:color w:val="auto"/>
        </w:rPr>
      </w:pPr>
    </w:p>
    <w:p>
      <w:pPr>
        <w:jc w:val="both"/>
        <w:ind w:right="500"/>
        <w:spacing w:after="0" w:line="306" w:lineRule="auto"/>
        <w:rPr>
          <w:sz w:val="20"/>
          <w:szCs w:val="20"/>
          <w:color w:val="auto"/>
        </w:rPr>
      </w:pPr>
      <w:r>
        <w:rPr>
          <w:rFonts w:ascii="Arial" w:cs="Arial" w:eastAsia="Arial" w:hAnsi="Arial"/>
          <w:sz w:val="16"/>
          <w:szCs w:val="16"/>
          <w:color w:val="auto"/>
        </w:rPr>
        <w:t>Through December 31, 2007, the employer matching contribution was discretionary at the option of the Company’s Board of Directors. For the year ended December 31, 2007, the Company’s matching contribution was 50% up to the first 6% of compensation that a participant contributed to the Plan. Effective January 1, 2008, the Company adopted the Safe Harbor Matching provisions permitted under the Pension Protection Act of 2006 (See Note 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 (continued</w:t>
      </w:r>
      <w:r>
        <w:rPr>
          <w:rFonts w:ascii="Arial" w:cs="Arial" w:eastAsia="Arial" w:hAnsi="Arial"/>
          <w:sz w:val="18"/>
          <w:szCs w:val="18"/>
          <w:color w:val="auto"/>
        </w:rPr>
        <w: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Participants’ Accounts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Each participant’s account is credited with the participant’s contributions, the Company’s matching contribution, plan earnings and an allocation of plan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benefit to which a participant is entitled is the benefit that can be provided from the participant’s account.</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Forfeitures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Amounts forfeited under the Plan are used to reduce future employer contributions and administrative expenses. At December 31, 2007 and 2006, forfeited non-vested accounts totaled $6,888 and $2,360, respectively.</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Vesting</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Participants are immediately vested in their contributions plus actual earnings thereon. Vesting in the Company contribution portion of their accounts plus actual earnings thereon is based on years of continuous service. For the year ended, December 31, 2007, a participant was 100% vested after three years of credited service. Changes to the vesting provisions were adopted effective January 1, 2008 (See Note 8).</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Investment Options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Upon enrollment in the Plan, a participant may direct their elective contribution and Company contributions into various investment options offered by the Plan.</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Participant Loans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Participants may borrow the lesser of $50,000 reduced by the individual’s highest outstanding loan balance during the preceding twelve months or 50% of the individual’s vested balance with a minimum of $1,000 per loan. Loan transactions are treated as a transfer to/(from) the investment fund from/(to) the Participant Loans fund. Loans are secured by the balance in the participant’s account. Loan terms range from one to five years unless the loan is used to purchase a primary residence, in which case the loan may be repaid over a ten-year period. Other restrictions, as specified in the Plan agreement, may apply to a participant’s loan transaction. Interest rates range from 5% to 9.25% at December 31, 2007. Principal and interest is paid ratably through payroll deductions.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 (continued)</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Plan Expenses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accordance with the Plan, all administrative expenses may be paid out of the Plan unless paid by the Company. During 2007, certain administrative expenses were paid by the Company.</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termination of service for any reason, a participant shall receive a lump-sum amount equal to the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Plan Termination</w:t>
      </w:r>
    </w:p>
    <w:p>
      <w:pPr>
        <w:spacing w:after="0" w:line="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Basis of Accounting</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Investment Valuation</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Investments are stated at fair value. Mutual funds and common stock are stated at fair value which equals the quoted market price on the last business day of the Plan year. The value of units in the common collective trust fund is the net fair value of the underlying assets as determined generally by using commercial quotation services. Participant loans are valued at their outstanding balances, which approximate fair value.</w:t>
      </w:r>
    </w:p>
    <w:p>
      <w:pPr>
        <w:spacing w:after="0" w:line="10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Use of Estimates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changes therein and disclosure of contingent assets and liabilities.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SFAS No. 157 provides a common definition of fair value to be applied to existing generally accepted accounting principals requiring the use of fair value measures, establishes a framework for measuring fair value and enhances disclosure about fair value measures under other accounting pronouncements, but does not change existing guidance as to whether or not an asset or liability is carried at fair value. SFAS No. 157 is effective for fiscal years beginning after November 15, 2007, and, as such, will be adopted by the Plan in 2008. Adoption of SFAS 157 is not expected to have a material impact to the Plan.</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Benefits are recorded when paid.</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3- </w:t>
      </w:r>
      <w:r>
        <w:rPr>
          <w:rFonts w:ascii="Arial" w:cs="Arial" w:eastAsia="Arial" w:hAnsi="Arial"/>
          <w:sz w:val="18"/>
          <w:szCs w:val="18"/>
          <w:u w:val="single" w:color="auto"/>
          <w:color w:val="auto"/>
        </w:rPr>
        <w:t>Investments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During 2007, the Plan’s investments (including investments purchased, sold as well as held during the year) appreciated in fair value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Net Appreciation</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5"/>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in Fair Value of</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4"/>
                <w:szCs w:val="14"/>
                <w:b w:val="1"/>
                <w:bCs w:val="1"/>
                <w:color w:val="auto"/>
                <w:w w:val="85"/>
              </w:rPr>
              <w:t>Investments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203,150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Common Stock</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(140,463)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62,687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ind w:left="20"/>
              <w:spacing w:after="0"/>
              <w:rPr>
                <w:sz w:val="20"/>
                <w:szCs w:val="20"/>
                <w:color w:val="auto"/>
              </w:rPr>
            </w:pPr>
            <w:r>
              <w:rPr>
                <w:rFonts w:ascii="Arial" w:cs="Arial" w:eastAsia="Arial" w:hAnsi="Arial"/>
                <w:sz w:val="18"/>
                <w:szCs w:val="18"/>
                <w:color w:val="auto"/>
              </w:rPr>
              <w:t>Investments that represent 5% or more of the Plan’s net assets available for benefits are as follows:</w:t>
            </w: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26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w w:val="94"/>
              </w:rPr>
              <w:t>December 31,</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Stable Value Fund</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$4,174,575</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30.1%</w:t>
            </w:r>
          </w:p>
        </w:tc>
        <w:tc>
          <w:tcPr>
            <w:tcW w:w="1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JP Morgan Equity Index</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1,413,481</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2"/>
              </w:rPr>
              <w:t>10.2%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Freedom 2010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1,335,704</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Fidelity Advisor Freedom 2005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1,328,868</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 Growth Stock</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713,995</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Putnam Stable Value Fund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$4,823,442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Putnam S&amp;P 500 Fund</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1,506,362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Putnam Retirementready 2010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1,451,853</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Putnam Retirementready Maturity</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1,080,841</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8,966,623</w:t>
            </w:r>
          </w:p>
        </w:tc>
        <w:tc>
          <w:tcPr>
            <w:tcW w:w="2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2"/>
              </w:rPr>
              <w:t>64.6%</w:t>
            </w:r>
          </w:p>
        </w:tc>
        <w:tc>
          <w:tcPr>
            <w:tcW w:w="9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8,862,498</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ind w:left="5680"/>
              <w:spacing w:after="0"/>
              <w:rPr>
                <w:sz w:val="20"/>
                <w:szCs w:val="20"/>
                <w:color w:val="auto"/>
              </w:rPr>
            </w:pPr>
            <w:r>
              <w:rPr>
                <w:rFonts w:ascii="Arial" w:cs="Arial" w:eastAsia="Arial" w:hAnsi="Arial"/>
                <w:sz w:val="18"/>
                <w:szCs w:val="18"/>
                <w:color w:val="auto"/>
              </w:rPr>
              <w:t>7</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6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4</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Investment Contract with Insurance Company</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During 2007, the Plan entered into a benefit-responsive investment contract with Fidelity Investments (Fidelity). Fidelity maintains the contributions in a general account. The account is credited with earnings on the underlying investments and charged for participant withdrawals and administrative expenses. The guaranteed investment contract issuer is contractually obligated to repay the principal and a specified interest rate that is guaranteed to the Plan.</w:t>
      </w:r>
    </w:p>
    <w:p>
      <w:pPr>
        <w:spacing w:after="0" w:line="10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Because the guaranteed investment contract is fully benefit-responsive, contract value is the relevant measurement attribute for that portion of the net assets available for benefits attributable to the guaranteed investment contract. Contract value, as reported to the Plan by Fidelity, represents contributions made under the contract, plus earnings, less participant withdrawals and administrative expenses. Participants may ordinarily direct the withdrawal or transfer of all or a portion of their investment at contract value.</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There are no reserves against contract value for credit risk of the contract issuer or otherwise. The crediting interest rate is based on a formula agreed upon with the issuer, but it may not be less than zero percent. Such interest rates are reviewed on a quarterly basis for resetting.</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events limit the ability of the Plan to transact at contract value with the issuer. Such events include the following: (1) amendments to the Plan documents (including complete or partial plan termination or merger with another plan), (2) changes to the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ERISA. The Plan administrator does not believe that the occurrence of any such event, which would limit the Plan’s ability to transact at contract value with participants, is probable.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4</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Investment Contract with Insurance Company (continued)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guaranteed investment contract does not permit the insurance company to terminate the agreement prior to the scheduled maturity date.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4"/>
              </w:rPr>
              <w:t>Average yields:</w:t>
            </w:r>
          </w:p>
        </w:tc>
        <w:tc>
          <w:tcPr>
            <w:tcW w:w="386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2007</w:t>
            </w:r>
          </w:p>
        </w:tc>
        <w:tc>
          <w:tcPr>
            <w:tcW w:w="52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4"/>
                <w:szCs w:val="14"/>
                <w:color w:val="auto"/>
              </w:rPr>
            </w:pPr>
          </w:p>
        </w:tc>
      </w:tr>
      <w:tr>
        <w:trPr>
          <w:trHeight w:val="21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Based on actual earnings</w:t>
            </w:r>
          </w:p>
        </w:tc>
        <w:tc>
          <w:tcPr>
            <w:tcW w:w="4680" w:type="dxa"/>
            <w:vAlign w:val="bottom"/>
            <w:gridSpan w:val="3"/>
            <w:shd w:val="clear" w:color="auto" w:fill="CCEEFF"/>
          </w:tcPr>
          <w:p>
            <w:pPr>
              <w:ind w:left="3860"/>
              <w:spacing w:after="0"/>
              <w:rPr>
                <w:sz w:val="20"/>
                <w:szCs w:val="20"/>
                <w:color w:val="auto"/>
              </w:rPr>
            </w:pPr>
            <w:r>
              <w:rPr>
                <w:rFonts w:ascii="Arial" w:cs="Arial" w:eastAsia="Arial" w:hAnsi="Arial"/>
                <w:sz w:val="18"/>
                <w:szCs w:val="18"/>
                <w:color w:val="auto"/>
              </w:rPr>
              <w:t>4.85%</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4.69%</w:t>
            </w: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Based on interest rate credited to participants</w:t>
            </w:r>
          </w:p>
        </w:tc>
        <w:tc>
          <w:tcPr>
            <w:tcW w:w="4680" w:type="dxa"/>
            <w:vAlign w:val="bottom"/>
            <w:gridSpan w:val="3"/>
          </w:tcPr>
          <w:p>
            <w:pPr>
              <w:ind w:left="3860"/>
              <w:spacing w:after="0"/>
              <w:rPr>
                <w:sz w:val="20"/>
                <w:szCs w:val="20"/>
                <w:color w:val="auto"/>
              </w:rPr>
            </w:pPr>
            <w:r>
              <w:rPr>
                <w:rFonts w:ascii="Arial" w:cs="Arial" w:eastAsia="Arial" w:hAnsi="Arial"/>
                <w:sz w:val="18"/>
                <w:szCs w:val="18"/>
                <w:color w:val="auto"/>
              </w:rPr>
              <w:t>4.15%</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5.07%</w:t>
            </w:r>
          </w:p>
        </w:tc>
      </w:tr>
    </w:tbl>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Nonparticipant-Directed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net assets and the significant components of the changes in net assets relating to the nonparticipant-Directed investments are as follows: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Assets: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00" w:type="dxa"/>
            <w:vAlign w:val="bottom"/>
            <w:tcBorders>
              <w:bottom w:val="single" w:sz="8" w:color="auto"/>
            </w:tcBorders>
            <w:gridSpan w:val="2"/>
          </w:tcPr>
          <w:p>
            <w:pPr>
              <w:jc w:val="right"/>
              <w:ind w:right="4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Borders>
              <w:bottom w:val="single" w:sz="8" w:color="auto"/>
            </w:tcBorders>
          </w:tcPr>
          <w:p>
            <w:pPr>
              <w:spacing w:after="0"/>
              <w:rPr>
                <w:sz w:val="12"/>
                <w:szCs w:val="12"/>
                <w:color w:val="auto"/>
              </w:rPr>
            </w:pPr>
          </w:p>
        </w:tc>
      </w:tr>
      <w:tr>
        <w:trPr>
          <w:trHeight w:val="210"/>
        </w:trPr>
        <w:tc>
          <w:tcPr>
            <w:tcW w:w="9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Stable Value Fund</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Fidelity Advisor Freedom 2010 A</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Putnam Stable Value Fund</w:t>
            </w:r>
          </w:p>
        </w:tc>
        <w:tc>
          <w:tcPr>
            <w:tcW w:w="2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2,360</w:t>
            </w:r>
          </w:p>
        </w:tc>
      </w:tr>
      <w:tr>
        <w:trPr>
          <w:trHeight w:val="221"/>
        </w:trPr>
        <w:tc>
          <w:tcPr>
            <w:tcW w:w="9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$6,888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8"/>
              </w:rPr>
              <w:t>2,360</w:t>
            </w:r>
          </w:p>
        </w:tc>
      </w:tr>
      <w:tr>
        <w:trPr>
          <w:trHeight w:val="378"/>
        </w:trPr>
        <w:tc>
          <w:tcPr>
            <w:tcW w:w="6320" w:type="dxa"/>
            <w:vAlign w:val="bottom"/>
            <w:gridSpan w:val="2"/>
          </w:tcPr>
          <w:p>
            <w:pPr>
              <w:spacing w:after="0"/>
              <w:rPr>
                <w:sz w:val="20"/>
                <w:szCs w:val="20"/>
                <w:color w:val="auto"/>
              </w:rPr>
            </w:pPr>
            <w:r>
              <w:rPr>
                <w:rFonts w:ascii="Arial" w:cs="Arial" w:eastAsia="Arial" w:hAnsi="Arial"/>
                <w:sz w:val="18"/>
                <w:szCs w:val="18"/>
                <w:color w:val="auto"/>
              </w:rPr>
              <w:t>Change in Net Assets:</w:t>
            </w: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9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w:t>
            </w:r>
          </w:p>
        </w:tc>
      </w:tr>
      <w:tr>
        <w:trPr>
          <w:trHeight w:val="161"/>
        </w:trPr>
        <w:tc>
          <w:tcPr>
            <w:tcW w:w="9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5"/>
              </w:rPr>
              <w:t>December 31,2007</w:t>
            </w:r>
          </w:p>
        </w:tc>
        <w:tc>
          <w:tcPr>
            <w:tcW w:w="60" w:type="dxa"/>
            <w:vAlign w:val="bottom"/>
          </w:tcPr>
          <w:p>
            <w:pPr>
              <w:spacing w:after="0"/>
              <w:rPr>
                <w:sz w:val="14"/>
                <w:szCs w:val="14"/>
                <w:color w:val="auto"/>
              </w:rPr>
            </w:pPr>
          </w:p>
        </w:tc>
      </w:tr>
      <w:tr>
        <w:trPr>
          <w:trHeight w:val="210"/>
        </w:trPr>
        <w:tc>
          <w:tcPr>
            <w:tcW w:w="9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3380" w:type="dxa"/>
            <w:vAlign w:val="bottom"/>
            <w:gridSpan w:val="3"/>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177</w:t>
            </w:r>
          </w:p>
        </w:tc>
        <w:tc>
          <w:tcPr>
            <w:tcW w:w="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Forfeitures relating to current year</w:t>
            </w: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4,515</w:t>
            </w:r>
          </w:p>
        </w:tc>
        <w:tc>
          <w:tcPr>
            <w:tcW w:w="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Distributions and withdrawals</w:t>
            </w:r>
          </w:p>
        </w:tc>
        <w:tc>
          <w:tcPr>
            <w:tcW w:w="2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Administrative Fees</w:t>
            </w: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90"/>
              </w:rPr>
              <w:t>(164)</w:t>
            </w:r>
          </w:p>
        </w:tc>
      </w:tr>
      <w:tr>
        <w:trPr>
          <w:trHeight w:val="216"/>
        </w:trPr>
        <w:tc>
          <w:tcPr>
            <w:tcW w:w="90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60" w:type="dxa"/>
            <w:vAlign w:val="bottom"/>
            <w:shd w:val="clear" w:color="auto" w:fill="CCEEFF"/>
          </w:tcPr>
          <w:p>
            <w:pPr>
              <w:spacing w:after="0"/>
              <w:rPr>
                <w:sz w:val="18"/>
                <w:szCs w:val="18"/>
                <w:color w:val="auto"/>
              </w:rPr>
            </w:pPr>
          </w:p>
        </w:tc>
      </w:tr>
    </w:tbl>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6- </w:t>
      </w:r>
      <w:r>
        <w:rPr>
          <w:rFonts w:ascii="Arial" w:cs="Arial" w:eastAsia="Arial" w:hAnsi="Arial"/>
          <w:sz w:val="18"/>
          <w:szCs w:val="18"/>
          <w:u w:val="single" w:color="auto"/>
          <w:color w:val="auto"/>
        </w:rPr>
        <w:t>Risks and Uncertainties</w:t>
      </w:r>
    </w:p>
    <w:p>
      <w:pPr>
        <w:spacing w:after="0" w:line="90"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7- </w:t>
      </w:r>
      <w:r>
        <w:rPr>
          <w:rFonts w:ascii="Arial" w:cs="Arial" w:eastAsia="Arial" w:hAnsi="Arial"/>
          <w:sz w:val="18"/>
          <w:szCs w:val="18"/>
          <w:u w:val="single" w:color="auto"/>
          <w:color w:val="auto"/>
        </w:rPr>
        <w:t>Income Tax Status</w:t>
      </w:r>
    </w:p>
    <w:p>
      <w:pPr>
        <w:spacing w:after="0" w:line="9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underlying non-standardized prototype plan has received an opinion letter from the Internal Revenue Service (IRS) dated August 9, 2002 stating that the form of the plan is qualified under Section 401 of the Internal Revenue Code and, therefore, the related trust is tax-exempt. In accordance with Revenue Procedure</w:t>
      </w:r>
    </w:p>
    <w:p>
      <w:pPr>
        <w:ind w:right="100"/>
        <w:spacing w:after="0" w:line="254" w:lineRule="auto"/>
        <w:rPr>
          <w:sz w:val="20"/>
          <w:szCs w:val="20"/>
          <w:color w:val="auto"/>
        </w:rPr>
      </w:pPr>
      <w:r>
        <w:rPr>
          <w:rFonts w:ascii="Arial" w:cs="Arial" w:eastAsia="Arial" w:hAnsi="Arial"/>
          <w:sz w:val="18"/>
          <w:szCs w:val="18"/>
          <w:color w:val="auto"/>
        </w:rPr>
        <w:t>2002-6 and Announcement 2001-77, the Plan Sponsor has determined that it is eligible to and has chosen to rely on the current IRS prototype plan opinion letter. Once qualified, the Plan is required to operate in conformity with the Code to maintain its qualification The Plan has been amended since receiving the determination letter. However, the plan administrator believes the Plan is being operated in compliance with the applicable requirements of the Code and, therefore, believes that the Plan is qualified and the related trust is tax-exempt.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8- </w:t>
      </w:r>
      <w:r>
        <w:rPr>
          <w:rFonts w:ascii="Arial" w:cs="Arial" w:eastAsia="Arial" w:hAnsi="Arial"/>
          <w:sz w:val="18"/>
          <w:szCs w:val="18"/>
          <w:u w:val="single" w:color="auto"/>
          <w:color w:val="auto"/>
        </w:rPr>
        <w:t>Subsequent Event</w:t>
      </w:r>
    </w:p>
    <w:p>
      <w:pPr>
        <w:spacing w:after="0" w:line="9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Effective January 1, 2008, the Plan approved and adopted the Safe Harbor Matching provisions permitted under the Pension Protection Act of 2006 and the following changes were made:</w:t>
      </w:r>
    </w:p>
    <w:p>
      <w:pPr>
        <w:spacing w:after="0" w:line="51" w:lineRule="exact"/>
        <w:rPr>
          <w:sz w:val="20"/>
          <w:szCs w:val="20"/>
          <w:color w:val="auto"/>
        </w:rPr>
      </w:pPr>
    </w:p>
    <w:p>
      <w:pPr>
        <w:ind w:left="780" w:right="280" w:hanging="326"/>
        <w:spacing w:after="0" w:line="298"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Plan will allow for automatic enrollment. All eligible employees who have not elected to participate in the Plan upon their enrollment date will automatically be enrolled. Compensation for those employees will be reduced by 3% for each payroll period and the employer will make a pre-tax deferral contribution. Eligible employees may make an affirmative election not to have automatic enrollment. Unless an eligible employee affirmatively elects not to contribute, the pre-tax deferral will increase annually by 1% not to exceed 10%.</w:t>
      </w:r>
    </w:p>
    <w:p>
      <w:pPr>
        <w:spacing w:after="0" w:line="31" w:lineRule="exact"/>
        <w:rPr>
          <w:rFonts w:ascii="Arial" w:cs="Arial" w:eastAsia="Arial" w:hAnsi="Arial"/>
          <w:sz w:val="16"/>
          <w:szCs w:val="16"/>
          <w:color w:val="auto"/>
        </w:rPr>
      </w:pPr>
    </w:p>
    <w:p>
      <w:pPr>
        <w:ind w:left="780" w:right="4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will contribute a match equal to the sum of (i) 100% of the participant’s elective deferrals for the first 1% of compensation plus (ii) 50% of the participant’s elective deferrals for the next 5% of compensation.</w:t>
      </w:r>
    </w:p>
    <w:p>
      <w:pPr>
        <w:spacing w:after="0" w:line="50"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participant’s vesting with respect to the Company contribution will change from the current three-year straight-line vesting to a two-year cliff vesting. Participants, who joined the Plan during fiscal 2007, will be entitled to receive a partial vesting equal to 34% for their first year of completed service.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20"/>
        <w:spacing w:after="0"/>
        <w:rPr>
          <w:sz w:val="20"/>
          <w:szCs w:val="20"/>
          <w:color w:val="auto"/>
        </w:rPr>
      </w:pPr>
      <w:r>
        <w:rPr>
          <w:rFonts w:ascii="Arial" w:cs="Arial" w:eastAsia="Arial" w:hAnsi="Arial"/>
          <w:sz w:val="28"/>
          <w:szCs w:val="28"/>
          <w:b w:val="1"/>
          <w:bCs w:val="1"/>
          <w:color w:val="auto"/>
        </w:rPr>
        <w:t>Supplemental Schedule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45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EIN: 04-2623104/Plan Number: 005</w:t>
      </w:r>
    </w:p>
    <w:p>
      <w:pPr>
        <w:spacing w:after="0" w:line="171" w:lineRule="exact"/>
        <w:rPr>
          <w:sz w:val="20"/>
          <w:szCs w:val="20"/>
          <w:color w:val="auto"/>
        </w:rPr>
      </w:pPr>
    </w:p>
    <w:p>
      <w:pPr>
        <w:jc w:val="right"/>
        <w:ind w:right="3080"/>
        <w:spacing w:after="0"/>
        <w:rPr>
          <w:sz w:val="20"/>
          <w:szCs w:val="20"/>
          <w:color w:val="auto"/>
        </w:rPr>
      </w:pPr>
      <w:r>
        <w:rPr>
          <w:rFonts w:ascii="Arial" w:cs="Arial" w:eastAsia="Arial" w:hAnsi="Arial"/>
          <w:sz w:val="18"/>
          <w:szCs w:val="18"/>
          <w:color w:val="auto"/>
        </w:rPr>
        <w:t>Schedule H, Line 4i – Schedule of Assets Held For Investment Purposes at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w:t>
      </w:r>
    </w:p>
    <w:p>
      <w:pPr>
        <w:sectPr>
          <w:pgSz w:w="11900" w:h="16838" w:orient="portrait"/>
          <w:cols w:equalWidth="0" w:num="1">
            <w:col w:w="11420"/>
          </w:cols>
          <w:pgMar w:left="240" w:top="459" w:right="239" w:bottom="1440" w:gutter="0" w:footer="0" w:header="0"/>
        </w:sectPr>
      </w:pP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b w:val="1"/>
          <w:bCs w:val="1"/>
          <w:color w:val="auto"/>
        </w:rPr>
        <w:t>Identity of Issue, Borrower, Lessor, or Similar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20"/>
                <w:szCs w:val="20"/>
                <w:color w:val="auto"/>
              </w:rPr>
            </w:pPr>
            <w:r>
              <w:rPr>
                <w:rFonts w:ascii="Arial" w:cs="Arial" w:eastAsia="Arial" w:hAnsi="Arial"/>
                <w:sz w:val="14"/>
                <w:szCs w:val="14"/>
                <w:b w:val="1"/>
                <w:bCs w:val="1"/>
                <w:color w:val="auto"/>
              </w:rPr>
              <w:t>Description of investment including</w:t>
            </w:r>
          </w:p>
        </w:tc>
        <w:tc>
          <w:tcPr>
            <w:tcW w:w="3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b w:val="1"/>
                <w:bCs w:val="1"/>
                <w:color w:val="auto"/>
              </w:rPr>
              <w:t>maturity date, rate of interest,</w:t>
            </w:r>
          </w:p>
        </w:tc>
        <w:tc>
          <w:tcPr>
            <w:tcW w:w="38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8"/>
        </w:trPr>
        <w:tc>
          <w:tcPr>
            <w:tcW w:w="4980" w:type="dxa"/>
            <w:vAlign w:val="bottom"/>
          </w:tcPr>
          <w:p>
            <w:pPr>
              <w:spacing w:after="0"/>
              <w:rPr>
                <w:sz w:val="20"/>
                <w:szCs w:val="20"/>
                <w:color w:val="auto"/>
              </w:rPr>
            </w:pPr>
            <w:r>
              <w:rPr>
                <w:rFonts w:ascii="Arial" w:cs="Arial" w:eastAsia="Arial" w:hAnsi="Arial"/>
                <w:sz w:val="14"/>
                <w:szCs w:val="14"/>
                <w:b w:val="1"/>
                <w:bCs w:val="1"/>
                <w:color w:val="auto"/>
              </w:rPr>
              <w:t>collateral, par, or maturity value</w:t>
            </w:r>
          </w:p>
        </w:tc>
        <w:tc>
          <w:tcPr>
            <w:tcW w:w="3820" w:type="dxa"/>
            <w:vAlign w:val="bottom"/>
          </w:tcPr>
          <w:p>
            <w:pPr>
              <w:ind w:left="2920"/>
              <w:spacing w:after="0"/>
              <w:rPr>
                <w:sz w:val="20"/>
                <w:szCs w:val="20"/>
                <w:color w:val="auto"/>
              </w:rPr>
            </w:pPr>
            <w:r>
              <w:rPr>
                <w:rFonts w:ascii="Arial" w:cs="Arial" w:eastAsia="Arial" w:hAnsi="Arial"/>
                <w:sz w:val="14"/>
                <w:szCs w:val="14"/>
                <w:b w:val="1"/>
                <w:bCs w:val="1"/>
                <w:u w:val="single" w:color="auto"/>
                <w:color w:val="auto"/>
              </w:rPr>
              <w:t>Shares/Units</w:t>
            </w:r>
          </w:p>
        </w:tc>
        <w:tc>
          <w:tcPr>
            <w:tcW w:w="980" w:type="dxa"/>
            <w:vAlign w:val="bottom"/>
          </w:tcPr>
          <w:p>
            <w:pPr>
              <w:ind w:left="140"/>
              <w:spacing w:after="0"/>
              <w:rPr>
                <w:sz w:val="20"/>
                <w:szCs w:val="20"/>
                <w:color w:val="auto"/>
              </w:rPr>
            </w:pPr>
            <w:r>
              <w:rPr>
                <w:rFonts w:ascii="Arial" w:cs="Arial" w:eastAsia="Arial" w:hAnsi="Arial"/>
                <w:sz w:val="14"/>
                <w:szCs w:val="14"/>
                <w:b w:val="1"/>
                <w:bCs w:val="1"/>
                <w:color w:val="auto"/>
                <w:w w:val="89"/>
              </w:rPr>
              <w:t>Current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243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4332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020" w:space="560"/>
            <w:col w:w="984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Commingled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held through</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Fidelity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Investments:</w:t>
      </w:r>
    </w:p>
    <w:tbl>
      <w:tblPr>
        <w:tblLayout w:type="fixed"/>
        <w:tblInd w:w="0" w:type="dxa"/>
        <w:tblCellMar>
          <w:top w:w="0" w:type="dxa"/>
          <w:left w:w="0" w:type="dxa"/>
          <w:bottom w:w="0" w:type="dxa"/>
          <w:right w:w="0" w:type="dxa"/>
        </w:tblCellMar>
      </w:tblPr>
      <w:tr>
        <w:trPr>
          <w:trHeight w:val="227"/>
        </w:trPr>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900" w:type="dxa"/>
            <w:vAlign w:val="bottom"/>
          </w:tcPr>
          <w:p>
            <w:pPr>
              <w:ind w:left="100"/>
              <w:spacing w:after="0" w:line="227" w:lineRule="exact"/>
              <w:rPr>
                <w:sz w:val="20"/>
                <w:szCs w:val="20"/>
                <w:color w:val="auto"/>
              </w:rPr>
            </w:pPr>
            <w:r>
              <w:rPr>
                <w:rFonts w:ascii="Arial" w:cs="Arial" w:eastAsia="Arial" w:hAnsi="Arial"/>
                <w:sz w:val="18"/>
                <w:szCs w:val="18"/>
                <w:color w:val="auto"/>
              </w:rPr>
              <w:t>* Fidelity Advisor Stable Value Fund</w:t>
            </w:r>
            <w:r>
              <w:rPr>
                <w:rFonts w:ascii="Arial" w:cs="Arial" w:eastAsia="Arial" w:hAnsi="Arial"/>
                <w:sz w:val="22"/>
                <w:szCs w:val="22"/>
                <w:color w:val="auto"/>
                <w:vertAlign w:val="superscript"/>
              </w:rPr>
              <w:t>(1)</w:t>
            </w:r>
          </w:p>
        </w:tc>
        <w:tc>
          <w:tcPr>
            <w:tcW w:w="3080" w:type="dxa"/>
            <w:vAlign w:val="bottom"/>
          </w:tcPr>
          <w:p>
            <w:pPr>
              <w:jc w:val="right"/>
              <w:ind w:right="132"/>
              <w:spacing w:after="0"/>
              <w:rPr>
                <w:sz w:val="20"/>
                <w:szCs w:val="20"/>
                <w:color w:val="auto"/>
              </w:rPr>
            </w:pPr>
            <w:r>
              <w:rPr>
                <w:rFonts w:ascii="Arial" w:cs="Arial" w:eastAsia="Arial" w:hAnsi="Arial"/>
                <w:sz w:val="18"/>
                <w:szCs w:val="18"/>
                <w:color w:val="auto"/>
              </w:rPr>
              <w:t>4,191,172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4,174,575</w:t>
            </w:r>
          </w:p>
        </w:tc>
      </w:tr>
      <w:tr>
        <w:trPr>
          <w:trHeight w:val="208"/>
        </w:trPr>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Mutual funds held</w:t>
            </w:r>
          </w:p>
        </w:tc>
        <w:tc>
          <w:tcPr>
            <w:tcW w:w="59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1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through Fidelity</w:t>
            </w:r>
          </w:p>
        </w:tc>
        <w:tc>
          <w:tcPr>
            <w:tcW w:w="59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4"/>
        </w:trPr>
        <w:tc>
          <w:tcPr>
            <w:tcW w:w="14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Investments:</w:t>
            </w:r>
          </w:p>
        </w:tc>
        <w:tc>
          <w:tcPr>
            <w:tcW w:w="59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Cash-interest bearing</w:t>
            </w:r>
          </w:p>
        </w:tc>
        <w:tc>
          <w:tcPr>
            <w:tcW w:w="3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1,188</w:t>
            </w:r>
          </w:p>
        </w:tc>
      </w:tr>
      <w:tr>
        <w:trPr>
          <w:trHeight w:val="222"/>
        </w:trPr>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 Fidelity Advisor Leveraged Company Stock Fund</w:t>
            </w:r>
          </w:p>
        </w:tc>
        <w:tc>
          <w:tcPr>
            <w:tcW w:w="3080" w:type="dxa"/>
            <w:vAlign w:val="bottom"/>
          </w:tcPr>
          <w:p>
            <w:pPr>
              <w:jc w:val="right"/>
              <w:ind w:right="132"/>
              <w:spacing w:after="0"/>
              <w:rPr>
                <w:sz w:val="20"/>
                <w:szCs w:val="20"/>
                <w:color w:val="auto"/>
              </w:rPr>
            </w:pPr>
            <w:r>
              <w:rPr>
                <w:rFonts w:ascii="Arial" w:cs="Arial" w:eastAsia="Arial" w:hAnsi="Arial"/>
                <w:sz w:val="18"/>
                <w:szCs w:val="18"/>
                <w:color w:val="auto"/>
              </w:rPr>
              <w:t>9,345</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358,002</w:t>
            </w:r>
          </w:p>
        </w:tc>
      </w:tr>
      <w:tr>
        <w:trPr>
          <w:trHeight w:val="232"/>
        </w:trPr>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Fidelity Advisor High Income Adv.</w:t>
            </w:r>
          </w:p>
        </w:tc>
        <w:tc>
          <w:tcPr>
            <w:tcW w:w="3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2,078</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20,970</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 Fidelity Advisor Strategic Income</w:t>
            </w:r>
          </w:p>
        </w:tc>
        <w:tc>
          <w:tcPr>
            <w:tcW w:w="3080" w:type="dxa"/>
            <w:vAlign w:val="bottom"/>
          </w:tcPr>
          <w:p>
            <w:pPr>
              <w:jc w:val="right"/>
              <w:ind w:right="132"/>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11,249</w:t>
            </w:r>
          </w:p>
        </w:tc>
      </w:tr>
      <w:tr>
        <w:trPr>
          <w:trHeight w:val="216"/>
        </w:trPr>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00" w:type="dxa"/>
            <w:vAlign w:val="bottom"/>
            <w:shd w:val="clear" w:color="auto" w:fill="CCEEFF"/>
          </w:tcPr>
          <w:p>
            <w:pPr>
              <w:ind w:left="100"/>
              <w:spacing w:after="0" w:line="217" w:lineRule="exact"/>
              <w:rPr>
                <w:sz w:val="20"/>
                <w:szCs w:val="20"/>
                <w:color w:val="auto"/>
              </w:rPr>
            </w:pPr>
            <w:r>
              <w:rPr>
                <w:rFonts w:ascii="Arial" w:cs="Arial" w:eastAsia="Arial" w:hAnsi="Arial"/>
                <w:sz w:val="18"/>
                <w:szCs w:val="18"/>
                <w:color w:val="auto"/>
              </w:rPr>
              <w:t>* Fidelity Advisor Freedom 2010</w:t>
            </w:r>
            <w:r>
              <w:rPr>
                <w:rFonts w:ascii="Arial" w:cs="Arial" w:eastAsia="Arial" w:hAnsi="Arial"/>
                <w:sz w:val="22"/>
                <w:szCs w:val="22"/>
                <w:color w:val="auto"/>
                <w:vertAlign w:val="superscript"/>
              </w:rPr>
              <w:t>(2)</w:t>
            </w:r>
          </w:p>
        </w:tc>
        <w:tc>
          <w:tcPr>
            <w:tcW w:w="3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107,372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1,335,704</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 Fidelity Advisor Freedom 2020</w:t>
            </w:r>
          </w:p>
        </w:tc>
        <w:tc>
          <w:tcPr>
            <w:tcW w:w="3080" w:type="dxa"/>
            <w:vAlign w:val="bottom"/>
          </w:tcPr>
          <w:p>
            <w:pPr>
              <w:jc w:val="right"/>
              <w:ind w:right="132"/>
              <w:spacing w:after="0"/>
              <w:rPr>
                <w:sz w:val="20"/>
                <w:szCs w:val="20"/>
                <w:color w:val="auto"/>
              </w:rPr>
            </w:pPr>
            <w:r>
              <w:rPr>
                <w:rFonts w:ascii="Arial" w:cs="Arial" w:eastAsia="Arial" w:hAnsi="Arial"/>
                <w:sz w:val="18"/>
                <w:szCs w:val="18"/>
                <w:color w:val="auto"/>
              </w:rPr>
              <w:t>15,337</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211,038</w:t>
            </w:r>
          </w:p>
        </w:tc>
      </w:tr>
      <w:tr>
        <w:trPr>
          <w:trHeight w:val="216"/>
        </w:trPr>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Fidelity Advisor Freedom 2030</w:t>
            </w:r>
          </w:p>
        </w:tc>
        <w:tc>
          <w:tcPr>
            <w:tcW w:w="3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2,186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32,020</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 Fidelity Advisor Freedom 2040</w:t>
            </w:r>
          </w:p>
        </w:tc>
        <w:tc>
          <w:tcPr>
            <w:tcW w:w="3080" w:type="dxa"/>
            <w:vAlign w:val="bottom"/>
          </w:tcPr>
          <w:p>
            <w:pPr>
              <w:jc w:val="right"/>
              <w:ind w:right="132"/>
              <w:spacing w:after="0"/>
              <w:rPr>
                <w:sz w:val="20"/>
                <w:szCs w:val="20"/>
                <w:color w:val="auto"/>
              </w:rPr>
            </w:pPr>
            <w:r>
              <w:rPr>
                <w:rFonts w:ascii="Arial" w:cs="Arial" w:eastAsia="Arial" w:hAnsi="Arial"/>
                <w:sz w:val="18"/>
                <w:szCs w:val="18"/>
                <w:color w:val="auto"/>
              </w:rPr>
              <w:t>2,869</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43,242</w:t>
            </w:r>
          </w:p>
        </w:tc>
      </w:tr>
      <w:tr>
        <w:trPr>
          <w:trHeight w:val="216"/>
        </w:trPr>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Fidelity Advisor Freedom 2005</w:t>
            </w:r>
          </w:p>
        </w:tc>
        <w:tc>
          <w:tcPr>
            <w:tcW w:w="3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110,555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1,328,868</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 Fidelity Advisor Freedom 2015</w:t>
            </w:r>
          </w:p>
        </w:tc>
        <w:tc>
          <w:tcPr>
            <w:tcW w:w="3080" w:type="dxa"/>
            <w:vAlign w:val="bottom"/>
          </w:tcPr>
          <w:p>
            <w:pPr>
              <w:jc w:val="right"/>
              <w:ind w:right="132"/>
              <w:spacing w:after="0"/>
              <w:rPr>
                <w:sz w:val="20"/>
                <w:szCs w:val="20"/>
                <w:color w:val="auto"/>
              </w:rPr>
            </w:pPr>
            <w:r>
              <w:rPr>
                <w:rFonts w:ascii="Arial" w:cs="Arial" w:eastAsia="Arial" w:hAnsi="Arial"/>
                <w:sz w:val="18"/>
                <w:szCs w:val="18"/>
                <w:color w:val="auto"/>
              </w:rPr>
              <w:t>38,290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482,070</w:t>
            </w:r>
          </w:p>
        </w:tc>
      </w:tr>
      <w:tr>
        <w:trPr>
          <w:trHeight w:val="216"/>
        </w:trPr>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Fidelity Advisor Freedom 2025</w:t>
            </w:r>
          </w:p>
        </w:tc>
        <w:tc>
          <w:tcPr>
            <w:tcW w:w="3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20,033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266,842</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 Fidelity Advisor Freedom 2035</w:t>
            </w:r>
          </w:p>
        </w:tc>
        <w:tc>
          <w:tcPr>
            <w:tcW w:w="3080" w:type="dxa"/>
            <w:vAlign w:val="bottom"/>
          </w:tcPr>
          <w:p>
            <w:pPr>
              <w:jc w:val="right"/>
              <w:ind w:right="132"/>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7,864</w:t>
            </w:r>
          </w:p>
        </w:tc>
      </w:tr>
      <w:tr>
        <w:trPr>
          <w:trHeight w:val="216"/>
        </w:trPr>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Fidelity Advisor Freedom 2045</w:t>
            </w:r>
          </w:p>
        </w:tc>
        <w:tc>
          <w:tcPr>
            <w:tcW w:w="3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13,851</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 Fidelity Advisor Freedom 2050</w:t>
            </w:r>
          </w:p>
        </w:tc>
        <w:tc>
          <w:tcPr>
            <w:tcW w:w="3080" w:type="dxa"/>
            <w:vAlign w:val="bottom"/>
          </w:tcPr>
          <w:p>
            <w:pPr>
              <w:jc w:val="right"/>
              <w:ind w:right="132"/>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10,194</w:t>
            </w:r>
          </w:p>
        </w:tc>
      </w:tr>
      <w:tr>
        <w:trPr>
          <w:trHeight w:val="216"/>
        </w:trPr>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Federated Bond Fund</w:t>
            </w:r>
          </w:p>
        </w:tc>
        <w:tc>
          <w:tcPr>
            <w:tcW w:w="3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46,798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411,821</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Columbia Acorn USA</w:t>
            </w:r>
          </w:p>
        </w:tc>
        <w:tc>
          <w:tcPr>
            <w:tcW w:w="3080" w:type="dxa"/>
            <w:vAlign w:val="bottom"/>
          </w:tcPr>
          <w:p>
            <w:pPr>
              <w:jc w:val="right"/>
              <w:ind w:right="132"/>
              <w:spacing w:after="0"/>
              <w:rPr>
                <w:sz w:val="20"/>
                <w:szCs w:val="20"/>
                <w:color w:val="auto"/>
              </w:rPr>
            </w:pPr>
            <w:r>
              <w:rPr>
                <w:rFonts w:ascii="Arial" w:cs="Arial" w:eastAsia="Arial" w:hAnsi="Arial"/>
                <w:sz w:val="18"/>
                <w:szCs w:val="18"/>
                <w:color w:val="auto"/>
              </w:rPr>
              <w:t>4,203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114,458</w:t>
            </w:r>
          </w:p>
        </w:tc>
      </w:tr>
      <w:tr>
        <w:trPr>
          <w:trHeight w:val="216"/>
        </w:trPr>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First America Midcap Value</w:t>
            </w:r>
          </w:p>
        </w:tc>
        <w:tc>
          <w:tcPr>
            <w:tcW w:w="3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7,268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181,470</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Columbia Acorn International</w:t>
            </w:r>
          </w:p>
        </w:tc>
        <w:tc>
          <w:tcPr>
            <w:tcW w:w="3080" w:type="dxa"/>
            <w:vAlign w:val="bottom"/>
          </w:tcPr>
          <w:p>
            <w:pPr>
              <w:jc w:val="right"/>
              <w:ind w:right="132"/>
              <w:spacing w:after="0"/>
              <w:rPr>
                <w:sz w:val="20"/>
                <w:szCs w:val="20"/>
                <w:color w:val="auto"/>
              </w:rPr>
            </w:pPr>
            <w:r>
              <w:rPr>
                <w:rFonts w:ascii="Arial" w:cs="Arial" w:eastAsia="Arial" w:hAnsi="Arial"/>
                <w:sz w:val="18"/>
                <w:szCs w:val="18"/>
                <w:color w:val="auto"/>
              </w:rPr>
              <w:t>13,724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595,896</w:t>
            </w:r>
          </w:p>
        </w:tc>
      </w:tr>
      <w:tr>
        <w:trPr>
          <w:trHeight w:val="216"/>
        </w:trPr>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Columbia Small Cap Val II</w:t>
            </w:r>
          </w:p>
        </w:tc>
        <w:tc>
          <w:tcPr>
            <w:tcW w:w="3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3,603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48,498</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JP Morgan Equity Index</w:t>
            </w:r>
          </w:p>
        </w:tc>
        <w:tc>
          <w:tcPr>
            <w:tcW w:w="3080" w:type="dxa"/>
            <w:vAlign w:val="bottom"/>
          </w:tcPr>
          <w:p>
            <w:pPr>
              <w:jc w:val="right"/>
              <w:ind w:right="132"/>
              <w:spacing w:after="0"/>
              <w:rPr>
                <w:sz w:val="20"/>
                <w:szCs w:val="20"/>
                <w:color w:val="auto"/>
              </w:rPr>
            </w:pPr>
            <w:r>
              <w:rPr>
                <w:rFonts w:ascii="Arial" w:cs="Arial" w:eastAsia="Arial" w:hAnsi="Arial"/>
                <w:sz w:val="18"/>
                <w:szCs w:val="18"/>
                <w:color w:val="auto"/>
              </w:rPr>
              <w:t>42,358</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1,413,481</w:t>
            </w:r>
          </w:p>
        </w:tc>
      </w:tr>
      <w:tr>
        <w:trPr>
          <w:trHeight w:val="216"/>
        </w:trPr>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Columbia Acorn A</w:t>
            </w:r>
          </w:p>
        </w:tc>
        <w:tc>
          <w:tcPr>
            <w:tcW w:w="3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15,528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448,294</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Goldman Sachs Large Cap</w:t>
            </w:r>
          </w:p>
        </w:tc>
        <w:tc>
          <w:tcPr>
            <w:tcW w:w="3080" w:type="dxa"/>
            <w:vAlign w:val="bottom"/>
          </w:tcPr>
          <w:p>
            <w:pPr>
              <w:jc w:val="right"/>
              <w:ind w:right="132"/>
              <w:spacing w:after="0"/>
              <w:rPr>
                <w:sz w:val="20"/>
                <w:szCs w:val="20"/>
                <w:color w:val="auto"/>
              </w:rPr>
            </w:pPr>
            <w:r>
              <w:rPr>
                <w:rFonts w:ascii="Arial" w:cs="Arial" w:eastAsia="Arial" w:hAnsi="Arial"/>
                <w:sz w:val="18"/>
                <w:szCs w:val="18"/>
                <w:color w:val="auto"/>
              </w:rPr>
              <w:t>47,692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658,626</w:t>
            </w:r>
          </w:p>
        </w:tc>
      </w:tr>
      <w:tr>
        <w:trPr>
          <w:trHeight w:val="208"/>
        </w:trPr>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Alliance Bernstein International Value</w:t>
            </w:r>
          </w:p>
        </w:tc>
        <w:tc>
          <w:tcPr>
            <w:tcW w:w="3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19,123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423,964</w:t>
            </w:r>
          </w:p>
        </w:tc>
      </w:tr>
      <w:tr>
        <w:trPr>
          <w:trHeight w:val="238"/>
        </w:trPr>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 Rowe Price Growth Stock Fund</w:t>
            </w:r>
          </w:p>
        </w:tc>
        <w:tc>
          <w:tcPr>
            <w:tcW w:w="3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21,499</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713,995</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*Casual Male Retail Group, Inc – Common Stock</w:t>
            </w:r>
          </w:p>
        </w:tc>
        <w:tc>
          <w:tcPr>
            <w:tcW w:w="3080" w:type="dxa"/>
            <w:vAlign w:val="bottom"/>
          </w:tcPr>
          <w:p>
            <w:pPr>
              <w:jc w:val="right"/>
              <w:ind w:right="132"/>
              <w:spacing w:after="0"/>
              <w:rPr>
                <w:sz w:val="20"/>
                <w:szCs w:val="20"/>
                <w:color w:val="auto"/>
              </w:rPr>
            </w:pPr>
            <w:r>
              <w:rPr>
                <w:rFonts w:ascii="Arial" w:cs="Arial" w:eastAsia="Arial" w:hAnsi="Arial"/>
                <w:sz w:val="18"/>
                <w:szCs w:val="18"/>
                <w:color w:val="auto"/>
              </w:rPr>
              <w:t>14,857</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76,959</w:t>
            </w:r>
          </w:p>
        </w:tc>
      </w:tr>
      <w:tr>
        <w:trPr>
          <w:trHeight w:val="216"/>
        </w:trPr>
        <w:tc>
          <w:tcPr>
            <w:tcW w:w="14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*Participant loans</w:t>
            </w: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5.0% - 9.25%</w:t>
            </w:r>
          </w:p>
        </w:tc>
        <w:tc>
          <w:tcPr>
            <w:tcW w:w="3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307,233</w:t>
            </w:r>
          </w:p>
        </w:tc>
      </w:tr>
      <w:tr>
        <w:trPr>
          <w:trHeight w:val="222"/>
        </w:trPr>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13,692,372</w:t>
            </w:r>
          </w:p>
        </w:tc>
      </w:tr>
      <w:tr>
        <w:trPr>
          <w:trHeight w:val="20"/>
        </w:trPr>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party-in-interest to the Plan.</w:t>
      </w:r>
    </w:p>
    <w:p>
      <w:pPr>
        <w:spacing w:after="0" w:line="1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$5,488 of nonparticipant-directed, unallocated forfeitures for which historical cost approximates to current value.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$1,400 of nonparticipant-directed unallocated forfeitures for when historical cost approximates to current value.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Index to Exhibits</w:t>
      </w:r>
    </w:p>
    <w:p>
      <w:pPr>
        <w:spacing w:after="0" w:line="326"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 401(k) Hourly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Savings plan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Dennis R. Hernreich, Executive Vice President, Chief</w:t>
      </w:r>
    </w:p>
    <w:p>
      <w:pPr>
        <w:spacing w:after="0" w:line="38"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Financial Officer and Chief Operating Officer of Casual</w:t>
      </w:r>
    </w:p>
    <w:p>
      <w:pPr>
        <w:spacing w:after="0" w:line="3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Male Retail Group, Inc., the Plan Administrator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30, 2008</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240" w:top="459" w:right="5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23.1</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Reg. No. 333-112218) pertaining to the Casual Male Retail Group, Inc. 401(k) Hourly Savings Plan of Casual Male Retail Group, Inc. of our report dated June 26, 2008, with respect to the financial statements and schedules of the Casual Male Retail Group, Inc. 401(k) Hourly Savings Plan included in this Annual Report on (Form 11-K) for the year ended December 31, 2007.</w:t>
      </w:r>
    </w:p>
    <w:p>
      <w:pPr>
        <w:spacing w:after="0" w:line="18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Mahoney Cohen &amp; Company, CPA, P.C</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30, 2008</w:t>
      </w:r>
    </w:p>
    <w:p>
      <w:pPr>
        <w:sectPr>
          <w:pgSz w:w="11900" w:h="16838" w:orient="portrait"/>
          <w:cols w:equalWidth="0" w:num="1">
            <w:col w:w="11420"/>
          </w:cols>
          <w:pgMar w:left="240" w:top="125"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32.1</w:t>
      </w:r>
    </w:p>
    <w:p>
      <w:pPr>
        <w:spacing w:after="0" w:line="9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Sarbanes-Oxley Act of 2002</w:t>
      </w:r>
    </w:p>
    <w:p>
      <w:pPr>
        <w:spacing w:after="0" w:line="1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connection with the Annual Report on Form 11-K of the Casual Male Retail Group, Inc. 401(k) Hourly Saving Plan (the “Plan”) for the period ending December 31, 2007 as filed with the Securities and Exchange Commission on the date hereof (the “Report”), I, Dennis R. Hernreich, Executive Vice President, Chief Financial Officer and Chief Operating Officer of Casual Male Retail Group, Inc., the Plan Administrator, certify pursuant to 18 U.S.C. Section 1350, as adopted pursuant to Section 906 of the Sarbanes-Oxley Act of 2002, that:</w:t>
      </w:r>
    </w:p>
    <w:p>
      <w:pPr>
        <w:spacing w:after="0" w:line="6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15(d) of the Securities Exchange Act of 1934, as amended (the “Exchange Act”); and</w:t>
      </w:r>
    </w:p>
    <w:p>
      <w:pPr>
        <w:spacing w:after="0" w:line="113"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net assets available for benefits, and changes in net assets available for benefits of the Plan.</w:t>
      </w:r>
    </w:p>
    <w:p>
      <w:pPr>
        <w:spacing w:after="0" w:line="1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Casual Male Retail Group, Inc. and will be retained by Casual Male Retail Group, Inc. and furnished to the Securities and Exchange Commission or its staff upon request.</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 Financial Officer, Chief</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Operating Officer of Casual Male Retail Group, Inc., the Plan</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Administrator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30,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2019-12-20T18:34:21Z</dcterms:created>
  <dcterms:modified xsi:type="dcterms:W3CDTF">2019-12-20T18:34:21Z</dcterms:modified>
</cp:coreProperties>
</file>