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96" w:lineRule="exact"/>
        <w:rPr>
          <w:sz w:val="24"/>
          <w:szCs w:val="24"/>
          <w:color w:val="auto"/>
        </w:rPr>
      </w:pPr>
    </w:p>
    <w:p>
      <w:pPr>
        <w:ind w:left="1140"/>
        <w:spacing w:after="0"/>
        <w:tabs>
          <w:tab w:leader="none" w:pos="7340" w:val="left"/>
        </w:tabs>
        <w:rPr>
          <w:sz w:val="20"/>
          <w:szCs w:val="20"/>
          <w:color w:val="auto"/>
        </w:rPr>
      </w:pPr>
      <w:r>
        <w:rPr>
          <w:rFonts w:ascii="Arial" w:cs="Arial" w:eastAsia="Arial" w:hAnsi="Arial"/>
          <w:sz w:val="18"/>
          <w:szCs w:val="18"/>
          <w:b w:val="1"/>
          <w:bCs w:val="1"/>
          <w:color w:val="auto"/>
        </w:rPr>
        <w:t>For the Quarterly Period Ended July 30, 2011</w:t>
      </w:r>
      <w:r>
        <w:rPr>
          <w:sz w:val="20"/>
          <w:szCs w:val="20"/>
          <w:color w:val="auto"/>
        </w:rPr>
        <w:tab/>
      </w:r>
      <w:r>
        <w:rPr>
          <w:rFonts w:ascii="Arial" w:cs="Arial" w:eastAsia="Arial" w:hAnsi="Arial"/>
          <w:sz w:val="15"/>
          <w:szCs w:val="15"/>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July 30, 2011 was 48,460,493.</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9120" w:type="dxa"/>
            <w:vAlign w:val="bottom"/>
            <w:gridSpan w:val="3"/>
          </w:tcPr>
          <w:p>
            <w:pPr>
              <w:spacing w:after="0"/>
              <w:rPr>
                <w:sz w:val="20"/>
                <w:szCs w:val="20"/>
                <w:color w:val="auto"/>
              </w:rPr>
            </w:pPr>
            <w:r>
              <w:rPr>
                <w:rFonts w:ascii="Arial" w:cs="Arial" w:eastAsia="Arial" w:hAnsi="Arial"/>
                <w:sz w:val="18"/>
                <w:szCs w:val="18"/>
                <w:color w:val="auto"/>
              </w:rPr>
              <w:t>PART I. FINANCIAL INFORMATION</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26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60" w:type="dxa"/>
            <w:vAlign w:val="bottom"/>
          </w:tcPr>
          <w:p>
            <w:pPr>
              <w:jc w:val="center"/>
              <w:ind w:left="1352"/>
              <w:spacing w:after="0"/>
              <w:rPr>
                <w:sz w:val="20"/>
                <w:szCs w:val="20"/>
                <w:color w:val="auto"/>
              </w:rPr>
            </w:pPr>
            <w:r>
              <w:rPr>
                <w:rFonts w:ascii="Arial" w:cs="Arial" w:eastAsia="Arial" w:hAnsi="Arial"/>
                <w:sz w:val="18"/>
                <w:szCs w:val="18"/>
                <w:b w:val="1"/>
                <w:bCs w:val="1"/>
                <w:color w:val="auto"/>
                <w:w w:val="97"/>
              </w:rPr>
              <w:t>CASUAL MALE RETAIL GROUP, INC.</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6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60" w:type="dxa"/>
            <w:vAlign w:val="bottom"/>
          </w:tcPr>
          <w:p>
            <w:pPr>
              <w:jc w:val="center"/>
              <w:ind w:left="1352"/>
              <w:spacing w:after="0"/>
              <w:rPr>
                <w:sz w:val="20"/>
                <w:szCs w:val="20"/>
                <w:color w:val="auto"/>
              </w:rPr>
            </w:pPr>
            <w:r>
              <w:rPr>
                <w:rFonts w:ascii="Arial" w:cs="Arial" w:eastAsia="Arial" w:hAnsi="Arial"/>
                <w:sz w:val="18"/>
                <w:szCs w:val="18"/>
                <w:color w:val="auto"/>
                <w:w w:val="85"/>
              </w:rPr>
              <w:t>(In thousands, except share data)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July 30, 2011</w:t>
            </w:r>
          </w:p>
        </w:tc>
        <w:tc>
          <w:tcPr>
            <w:tcW w:w="2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w w:val="94"/>
              </w:rPr>
              <w:t>January 29,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18,274</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3"/>
              </w:rPr>
              <w:t>Inventories</w:t>
            </w:r>
          </w:p>
        </w:tc>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125,537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109,506</w:t>
            </w: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40,403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8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8"/>
                <w:szCs w:val="18"/>
                <w:color w:val="auto"/>
                <w:w w:val="86"/>
              </w:rPr>
              <w:t>Total assets</w:t>
            </w:r>
          </w:p>
        </w:tc>
        <w:tc>
          <w:tcPr>
            <w:tcW w:w="8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199,521</w:t>
            </w:r>
          </w:p>
        </w:tc>
        <w:tc>
          <w:tcPr>
            <w:tcW w:w="300" w:type="dxa"/>
            <w:vAlign w:val="bottom"/>
          </w:tcPr>
          <w:p>
            <w:pPr>
              <w:spacing w:after="0"/>
              <w:rPr>
                <w:sz w:val="19"/>
                <w:szCs w:val="19"/>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gain on sale-leaseback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46,195</w:t>
            </w: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i w:val="1"/>
                <w:iCs w:val="1"/>
                <w:color w:val="auto"/>
              </w:rPr>
              <w:t>Long-term liabilities: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75,601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71,281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w w:val="92"/>
              </w:rPr>
              <w:t>Preferred stock, $0.01 par value, 1,000,000 shares authorized, none issued or outstanding at July 30, 2011 and January 29,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ind w:left="220"/>
              <w:spacing w:after="0"/>
              <w:rPr>
                <w:sz w:val="20"/>
                <w:szCs w:val="20"/>
                <w:color w:val="auto"/>
              </w:rPr>
            </w:pPr>
            <w:r>
              <w:rPr>
                <w:rFonts w:ascii="Arial" w:cs="Arial" w:eastAsia="Arial" w:hAnsi="Arial"/>
                <w:sz w:val="18"/>
                <w:szCs w:val="18"/>
                <w:color w:val="auto"/>
              </w:rPr>
              <w:t>2011</w:t>
            </w:r>
          </w:p>
        </w:tc>
        <w:tc>
          <w:tcPr>
            <w:tcW w:w="8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Common stock, $0.01 par value, 100,000,000 shares authorized, 59,337,932 and 58,661,641 issued at July 30, 2011 and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29, 2011, respectively</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292,767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(77,845)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Treasury stock at cost, 10,877,439 shares at July 30, 2011 and January 29, 2011</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(87,977)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123,920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199,521</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color w:val="auto"/>
                <w:w w:val="89"/>
              </w:rPr>
              <w:t>For the three months ended</w:t>
            </w:r>
          </w:p>
        </w:tc>
        <w:tc>
          <w:tcPr>
            <w:tcW w:w="120" w:type="dxa"/>
            <w:vAlign w:val="bottom"/>
          </w:tcPr>
          <w:p>
            <w:pPr>
              <w:spacing w:after="0"/>
              <w:rPr>
                <w:sz w:val="14"/>
                <w:szCs w:val="1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4"/>
                <w:szCs w:val="14"/>
                <w:color w:val="auto"/>
                <w:w w:val="93"/>
              </w:rPr>
              <w:t>For the 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140" w:type="dxa"/>
            <w:vAlign w:val="bottom"/>
            <w:gridSpan w:val="3"/>
          </w:tcPr>
          <w:p>
            <w:pPr>
              <w:spacing w:after="0" w:line="159" w:lineRule="exact"/>
              <w:rPr>
                <w:sz w:val="20"/>
                <w:szCs w:val="20"/>
                <w:color w:val="auto"/>
              </w:rPr>
            </w:pPr>
            <w:r>
              <w:rPr>
                <w:rFonts w:ascii="Arial" w:cs="Arial" w:eastAsia="Arial" w:hAnsi="Arial"/>
                <w:sz w:val="14"/>
                <w:szCs w:val="14"/>
                <w:color w:val="auto"/>
              </w:rPr>
              <w:t>July 30, 2011</w:t>
            </w:r>
          </w:p>
        </w:tc>
        <w:tc>
          <w:tcPr>
            <w:tcW w:w="1160" w:type="dxa"/>
            <w:vAlign w:val="bottom"/>
            <w:gridSpan w:val="3"/>
          </w:tcPr>
          <w:p>
            <w:pPr>
              <w:spacing w:after="0" w:line="159" w:lineRule="exact"/>
              <w:rPr>
                <w:sz w:val="20"/>
                <w:szCs w:val="20"/>
                <w:color w:val="auto"/>
              </w:rPr>
            </w:pPr>
            <w:r>
              <w:rPr>
                <w:rFonts w:ascii="Arial" w:cs="Arial" w:eastAsia="Arial" w:hAnsi="Arial"/>
                <w:sz w:val="14"/>
                <w:szCs w:val="14"/>
                <w:color w:val="auto"/>
              </w:rPr>
              <w:t>July 31, 2010</w:t>
            </w:r>
          </w:p>
        </w:tc>
        <w:tc>
          <w:tcPr>
            <w:tcW w:w="1140" w:type="dxa"/>
            <w:vAlign w:val="bottom"/>
            <w:gridSpan w:val="3"/>
          </w:tcPr>
          <w:p>
            <w:pPr>
              <w:spacing w:after="0" w:line="159" w:lineRule="exact"/>
              <w:rPr>
                <w:sz w:val="20"/>
                <w:szCs w:val="20"/>
                <w:color w:val="auto"/>
              </w:rPr>
            </w:pPr>
            <w:r>
              <w:rPr>
                <w:rFonts w:ascii="Arial" w:cs="Arial" w:eastAsia="Arial" w:hAnsi="Arial"/>
                <w:sz w:val="14"/>
                <w:szCs w:val="14"/>
                <w:color w:val="auto"/>
              </w:rPr>
              <w:t>July 30, 2011</w:t>
            </w:r>
          </w:p>
        </w:tc>
        <w:tc>
          <w:tcPr>
            <w:tcW w:w="8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8"/>
              </w:rPr>
              <w:t>July 31, 2010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100,944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97,251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196,742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192,235</w:t>
            </w: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Cost of goods sold, including occupancy</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52,153</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52,142</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102,985</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103,558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45,109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88,677</w:t>
            </w: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35,431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6,068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38,795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77,750</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7,423</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6,314</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12,223</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10,927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6,266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10,827</w:t>
            </w: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12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4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0.23</w:t>
            </w:r>
          </w:p>
        </w:tc>
        <w:tc>
          <w:tcPr>
            <w:tcW w:w="4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46,983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 diluted</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48,149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47,494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48,097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47,384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320"/>
              <w:spacing w:after="0"/>
              <w:rPr>
                <w:sz w:val="20"/>
                <w:szCs w:val="20"/>
                <w:color w:val="auto"/>
              </w:rPr>
            </w:pPr>
            <w:r>
              <w:rPr>
                <w:rFonts w:ascii="Arial" w:cs="Arial" w:eastAsia="Arial" w:hAnsi="Arial"/>
                <w:sz w:val="14"/>
                <w:szCs w:val="14"/>
                <w:color w:val="auto"/>
                <w:w w:val="87"/>
              </w:rPr>
              <w:t>Six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1240" w:type="dxa"/>
            <w:vAlign w:val="bottom"/>
            <w:gridSpan w:val="3"/>
          </w:tcPr>
          <w:p>
            <w:pPr>
              <w:spacing w:after="0" w:line="159" w:lineRule="exact"/>
              <w:rPr>
                <w:sz w:val="20"/>
                <w:szCs w:val="20"/>
                <w:color w:val="auto"/>
              </w:rPr>
            </w:pPr>
            <w:r>
              <w:rPr>
                <w:rFonts w:ascii="Arial" w:cs="Arial" w:eastAsia="Arial" w:hAnsi="Arial"/>
                <w:sz w:val="14"/>
                <w:szCs w:val="14"/>
                <w:color w:val="auto"/>
              </w:rPr>
              <w:t>July 30, 2011</w:t>
            </w:r>
          </w:p>
        </w:tc>
        <w:tc>
          <w:tcPr>
            <w:tcW w:w="8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8"/>
              </w:rPr>
              <w:t>July 31,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10,766</w:t>
            </w:r>
          </w:p>
        </w:tc>
        <w:tc>
          <w:tcPr>
            <w:tcW w:w="5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6,068</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(733)</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Deferred income taxes, net of valuation allowance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(2,153)</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5,756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(3,183)</w:t>
            </w:r>
          </w:p>
        </w:tc>
        <w:tc>
          <w:tcPr>
            <w:tcW w:w="2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18,208</w:t>
            </w:r>
          </w:p>
        </w:tc>
        <w:tc>
          <w:tcPr>
            <w:tcW w:w="5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(4,787)</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 of business</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(4,645)</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(3,349)</w:t>
            </w:r>
          </w:p>
        </w:tc>
        <w:tc>
          <w:tcPr>
            <w:tcW w:w="0" w:type="dxa"/>
            <w:vAlign w:val="bottom"/>
          </w:tcPr>
          <w:p>
            <w:pPr>
              <w:spacing w:after="0"/>
              <w:rPr>
                <w:sz w:val="1"/>
                <w:szCs w:val="1"/>
                <w:color w:val="auto"/>
              </w:rPr>
            </w:pPr>
          </w:p>
        </w:tc>
      </w:tr>
      <w:tr>
        <w:trPr>
          <w:trHeight w:val="330"/>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repayments under credit facility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common stock under option program</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597</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(5,608)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14,160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1720"/>
              <w:spacing w:after="0"/>
              <w:rPr>
                <w:sz w:val="20"/>
                <w:szCs w:val="20"/>
                <w:color w:val="auto"/>
              </w:rPr>
            </w:pPr>
            <w:r>
              <w:rPr>
                <w:rFonts w:ascii="Arial" w:cs="Arial" w:eastAsia="Arial" w:hAnsi="Arial"/>
                <w:sz w:val="18"/>
                <w:szCs w:val="18"/>
                <w:color w:val="auto"/>
              </w:rPr>
              <w:t>End of the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18,274</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July 30, 2011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color w:val="auto"/>
                <w:w w:val="88"/>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Additional</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5"/>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60" w:type="dxa"/>
            <w:vAlign w:val="bottom"/>
            <w:gridSpan w:val="6"/>
          </w:tcPr>
          <w:p>
            <w:pPr>
              <w:ind w:left="24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Paid-in</w:t>
            </w:r>
          </w:p>
        </w:tc>
        <w:tc>
          <w:tcPr>
            <w:tcW w:w="168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5"/>
              </w:rPr>
              <w:t>Comprehensive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6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9"/>
              </w:rPr>
              <w:t>Shares</w:t>
            </w:r>
          </w:p>
        </w:tc>
        <w:tc>
          <w:tcPr>
            <w:tcW w:w="140" w:type="dxa"/>
            <w:vAlign w:val="bottom"/>
          </w:tcPr>
          <w:p>
            <w:pPr>
              <w:spacing w:after="0"/>
              <w:rPr>
                <w:sz w:val="13"/>
                <w:szCs w:val="13"/>
                <w:color w:val="auto"/>
              </w:rPr>
            </w:pPr>
          </w:p>
        </w:tc>
        <w:tc>
          <w:tcPr>
            <w:tcW w:w="640" w:type="dxa"/>
            <w:vAlign w:val="bottom"/>
            <w:gridSpan w:val="3"/>
          </w:tcPr>
          <w:p>
            <w:pPr>
              <w:spacing w:after="0" w:line="159" w:lineRule="exact"/>
              <w:rPr>
                <w:sz w:val="20"/>
                <w:szCs w:val="20"/>
                <w:color w:val="auto"/>
              </w:rPr>
            </w:pPr>
            <w:r>
              <w:rPr>
                <w:rFonts w:ascii="Arial" w:cs="Arial" w:eastAsia="Arial" w:hAnsi="Arial"/>
                <w:sz w:val="14"/>
                <w:szCs w:val="14"/>
                <w:color w:val="auto"/>
              </w:rPr>
              <w:t>Amounts</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Capital</w:t>
            </w: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7"/>
              </w:rPr>
              <w:t>Amounts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3"/>
                <w:szCs w:val="13"/>
                <w:color w:val="auto"/>
              </w:rPr>
            </w:pPr>
          </w:p>
        </w:tc>
        <w:tc>
          <w:tcPr>
            <w:tcW w:w="1140" w:type="dxa"/>
            <w:vAlign w:val="bottom"/>
            <w:gridSpan w:val="3"/>
          </w:tcPr>
          <w:p>
            <w:pPr>
              <w:jc w:val="center"/>
              <w:ind w:right="280"/>
              <w:spacing w:after="0" w:line="159" w:lineRule="exact"/>
              <w:rPr>
                <w:sz w:val="20"/>
                <w:szCs w:val="20"/>
                <w:color w:val="auto"/>
              </w:rPr>
            </w:pPr>
            <w:r>
              <w:rPr>
                <w:rFonts w:ascii="Arial" w:cs="Arial" w:eastAsia="Arial" w:hAnsi="Arial"/>
                <w:sz w:val="14"/>
                <w:szCs w:val="14"/>
                <w:color w:val="auto"/>
                <w:w w:val="87"/>
              </w:rPr>
              <w:t>Income (Loss)</w:t>
            </w:r>
          </w:p>
        </w:tc>
        <w:tc>
          <w:tcPr>
            <w:tcW w:w="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29, 2011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58,662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291,369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(10,877)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(88,611)</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$ 111,332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Stock based compensation expense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790</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Unrecognized loss associated with pension plan</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Foreign currency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30, 2011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59,338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292,767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(10,877)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(77,845)</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123,920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29, 2011 included in the Company’s Annual Report on Form 10-K, which was filed with the Securities and Exchange Commission on March 18, 2011.</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2011 is a 52-week period ending on January 28,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2010 was a 52-week period ending on January 29,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its three operating segments – B&amp;T Factory Direct, Casual Male XL and Rochester Clothing. The Company considers its operating segments to be similar in terms of economic characteristic, production processes and operations, and have therefore aggregated them into a single reporting segment. The Company’s DXL™ store format carries merchandise from all three of the Company’s operating segments. The operating results and assets of the Company’s other direct businesses, Living XL, Shoes XL and the Company’s International Web Stores, are immaterial.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trademarks are considered indefinite-lived intangible assets and must be tested annually for potential impairment. At January 29, 2011, both the Casual Male and Rochester trademarks were tested for potential impairment. Utilizing an income approach with appropriate royalty rates applied, the Company concluded that the Casual Male trademark, with a carrying value of $29.2 million, and the Rochester trademark, with a carrying value of $1.5 million, were not impaired. During the first six months of fiscal 2011, no events or circumstances exist which could potentially cause a reduction in the fair value of the Company’s reporting units, thus requiring interim testing of the Company’s trademarks. Other intangibles, which include customer lists and favorable lease commitments, were $1.3 million at July 30,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6" w:name="page7"/>
    <w:bookmarkEnd w:id="6"/>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six months of fiscal 2011 and fiscal 2010, the Company recognized total stock-based compensation expense of $0.8 million and $0.9 million, respectively. Approximately $0.5 million of the $0.8 million of stock-based compensation expense for the first six months of fiscal 2011 and $0.2 million of the $0.9 million for fiscal 2010 related to the expense associated with the grant of equity awards pursuant to the Company’s Long-Term Incentive Plan (“LTIP”).</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as of July 30, 2011 is approximately $1.8 million which will be expensed over a weighted average remaining life of 30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 and Restricted Stock</w:t>
      </w:r>
    </w:p>
    <w:p>
      <w:pPr>
        <w:spacing w:after="0" w:line="90"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During the first six months of fiscal 2011, the Company granted 569,661 shares of restricted stock of which 538,661 shares were granted to members of management as a result of the Company achieving certain performance targets pursuant to its LTIP for fiscal 2010. In addition, the Company granted stock options to purchase 79,902 shares of common stock, of which 72,576 stock options were granted as part of the LTIP for fiscal 2010.</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first six months of fiscal 2010, the Company granted 308,550 shares of restricted stock which included 283,550 shares to members of management as a result of the Company achieving certain performance targets pursuant to its LTIP for fiscal 2009. During the first six months of fiscal 2010, stock options to purchase 368,172 shares of common stock were granted. Of this amount, stock options to purchase 20,606 shares of common stock were issued pursuant to the LTIP for fiscal 2009.</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restricted share of common stock was assigned a fair value equal to the closing price of the Company’s common stock on the date of grant. The fair value of each option granted is estimated on the date of grant using the Black-Scholes option-pricing model. The weighted average grant date fair value of stock options granted during the first six months of fiscal 2011 was $1.53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for grants for the first six months of fiscal 2011 and fiscal 2010:</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3"/>
              </w:rPr>
              <w:t>July 30, 2011</w:t>
            </w:r>
          </w:p>
        </w:tc>
        <w:tc>
          <w:tcPr>
            <w:tcW w:w="5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6"/>
              </w:rPr>
              <w:t>July 31, 2010</w:t>
            </w:r>
          </w:p>
        </w:tc>
        <w:tc>
          <w:tcPr>
            <w:tcW w:w="20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0.60-1.89%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1.14-1.55%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2.5 -4.5 yrs</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2.1 -3.0 yrs</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Dividend rate</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six months of fiscal 2011, options for 169,141 shares of common stock were exercised with an intrinsic value of approximately $64,000.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May 2011, the Financial Accounting Standards Board (“FASB”) issued Accounting Standards Update (“ASU”) No. 2011-04—</w:t>
      </w:r>
      <w:r>
        <w:rPr>
          <w:rFonts w:ascii="Arial" w:cs="Arial" w:eastAsia="Arial" w:hAnsi="Arial"/>
          <w:sz w:val="18"/>
          <w:szCs w:val="18"/>
          <w:i w:val="1"/>
          <w:iCs w:val="1"/>
          <w:color w:val="auto"/>
        </w:rPr>
        <w:t>Fair Value Measurement (Topic</w:t>
      </w:r>
      <w:r>
        <w:rPr>
          <w:rFonts w:ascii="Arial" w:cs="Arial" w:eastAsia="Arial" w:hAnsi="Arial"/>
          <w:sz w:val="18"/>
          <w:szCs w:val="18"/>
          <w:color w:val="auto"/>
        </w:rPr>
        <w:t xml:space="preserve"> </w:t>
      </w:r>
      <w:r>
        <w:rPr>
          <w:rFonts w:ascii="Arial" w:cs="Arial" w:eastAsia="Arial" w:hAnsi="Arial"/>
          <w:sz w:val="18"/>
          <w:szCs w:val="18"/>
          <w:i w:val="1"/>
          <w:iCs w:val="1"/>
          <w:color w:val="auto"/>
        </w:rPr>
        <w:t>820)— Amendments to Achieve Common Fair Value Measurement and Disclosure Requirements in U.S. GAAP and IFRSs</w:t>
      </w:r>
      <w:r>
        <w:rPr>
          <w:rFonts w:ascii="Arial" w:cs="Arial" w:eastAsia="Arial" w:hAnsi="Arial"/>
          <w:sz w:val="18"/>
          <w:szCs w:val="18"/>
          <w:color w:val="auto"/>
        </w:rPr>
        <w:t>. The amendments in this update change</w:t>
      </w:r>
      <w:r>
        <w:rPr>
          <w:rFonts w:ascii="Arial" w:cs="Arial" w:eastAsia="Arial" w:hAnsi="Arial"/>
          <w:sz w:val="18"/>
          <w:szCs w:val="18"/>
          <w:i w:val="1"/>
          <w:iCs w:val="1"/>
          <w:color w:val="auto"/>
        </w:rPr>
        <w:t xml:space="preserve"> </w:t>
      </w:r>
      <w:r>
        <w:rPr>
          <w:rFonts w:ascii="Arial" w:cs="Arial" w:eastAsia="Arial" w:hAnsi="Arial"/>
          <w:sz w:val="18"/>
          <w:szCs w:val="18"/>
          <w:color w:val="auto"/>
        </w:rPr>
        <w:t>the wording used to describe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requirements in U.S. GAAP for measuring fair value and for disclosing information about fair value measurements to ensure consistency between U.S. GAAP and IFRS. This update is effective for interim and annual periods beginning after December 15, 2011. The Company does not expect the adoption of ASU No. 2011-04 to have a material impact on the Company’s financial statements.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220)—Presentation of Comprehensive Income</w:t>
      </w:r>
      <w:r>
        <w:rPr>
          <w:rFonts w:ascii="Arial" w:cs="Arial" w:eastAsia="Arial" w:hAnsi="Arial"/>
          <w:sz w:val="16"/>
          <w:szCs w:val="16"/>
          <w:color w:val="auto"/>
        </w:rPr>
        <w:t>, to make the presentation of items within other comprehensive income (“OCI”) more prominent. The new standard will require companies to present items of net income, items of OCI and total comprehensive income in one continuous statement or two separate consecutive statements, and companies will no longer be allowed to present items of OCI in the statement of stockholders’ equity. This new update is effective for interim and annual periods beginning after December 15, 2011. The adoption of this new standard may change the order in which certain financial statements are presented and will provide additional detail in those financial statements when applicable, but will not have any other impact on the Company’s financial statements.</w:t>
      </w:r>
    </w:p>
    <w:p>
      <w:pPr>
        <w:spacing w:after="0" w:line="23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letters of credit and a sublimit of up to $15 million for Swingline Loans. The maturity date of the Credit Facility is November 10, 2014.</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 The Company is also subject to an unused line fee. At July 30, 2011, the Company’s prime-based interest rate was 4.25%.</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Company is not subject to any financial covenants pursuant to the Credit Facility.</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At July 30, 2011, the Company had no borrowings outstanding under the Credit Facility. Outstanding standby letters of credit were $2.3 million and documentary letters of credit were $9.2 million. Unused excess availability at July 30, 2011 was $63.6 million. Average borrowings outstanding under this facility during the first six months of fiscal 2011 were less than $25,000, resulting in an average unused excess availability of approximately $65.4 million. The Company’s ability to borrow under the Credit Facility is determined using an availability formula based on eligible assets, with increased advance rates based on seasonality.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July 30, 2011 approximated the carrying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with Banc of America Leasing &amp; Capital, LLC</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two Equipment Security Notes with Banc of America Leasing &amp; Capital, LLC for equipment financing, the Company had $5.1 million outstanding at July 31, 2010. During fiscal 2010, the secured notes were fully repaid. Both notes accrued interest at a per annum rate of 1.75% plus the rate of interest equal to the 30-day published LIBOR 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long-term debt outstanding at July 30,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10080" w:firstLine="8"/>
        <w:spacing w:after="0" w:line="417" w:lineRule="auto"/>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Equity </w:t>
      </w:r>
      <w:r>
        <w:rPr>
          <w:rFonts w:ascii="Arial" w:cs="Arial" w:eastAsia="Arial" w:hAnsi="Arial"/>
          <w:sz w:val="15"/>
          <w:szCs w:val="15"/>
          <w:u w:val="single" w:color="auto"/>
          <w:color w:val="auto"/>
        </w:rPr>
        <w:t>Earnings per Share</w:t>
      </w:r>
    </w:p>
    <w:p>
      <w:pPr>
        <w:spacing w:after="0" w:line="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Basic earnings per share are computed by dividing net income by the weighted average number of shares of common stock outstanding during the respective period. Diluted earnings per share is determined by giving effect to unvested shares of restricted stock and the exercise of stock options using the treasury stock method.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380" w:type="dxa"/>
            <w:vAlign w:val="bottom"/>
            <w:gridSpan w:val="3"/>
          </w:tcPr>
          <w:p>
            <w:pPr>
              <w:jc w:val="right"/>
              <w:ind w:right="359"/>
              <w:spacing w:after="0"/>
              <w:rPr>
                <w:sz w:val="20"/>
                <w:szCs w:val="20"/>
                <w:color w:val="auto"/>
              </w:rPr>
            </w:pPr>
            <w:r>
              <w:rPr>
                <w:rFonts w:ascii="Arial" w:cs="Arial" w:eastAsia="Arial" w:hAnsi="Arial"/>
                <w:sz w:val="14"/>
                <w:szCs w:val="14"/>
                <w:color w:val="auto"/>
              </w:rPr>
              <w:t>For the three months ended</w:t>
            </w:r>
          </w:p>
        </w:tc>
        <w:tc>
          <w:tcPr>
            <w:tcW w:w="300" w:type="dxa"/>
            <w:vAlign w:val="bottom"/>
          </w:tcPr>
          <w:p>
            <w:pPr>
              <w:spacing w:after="0"/>
              <w:rPr>
                <w:sz w:val="14"/>
                <w:szCs w:val="14"/>
                <w:color w:val="auto"/>
              </w:rPr>
            </w:pPr>
          </w:p>
        </w:tc>
        <w:tc>
          <w:tcPr>
            <w:tcW w:w="2620" w:type="dxa"/>
            <w:vAlign w:val="bottom"/>
            <w:gridSpan w:val="4"/>
          </w:tcPr>
          <w:p>
            <w:pPr>
              <w:jc w:val="right"/>
              <w:ind w:right="72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59"/>
        </w:trPr>
        <w:tc>
          <w:tcPr>
            <w:tcW w:w="6120" w:type="dxa"/>
            <w:vAlign w:val="bottom"/>
            <w:vMerge w:val="restart"/>
          </w:tcPr>
          <w:p>
            <w:pPr>
              <w:ind w:left="258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jc w:val="right"/>
              <w:ind w:right="80"/>
              <w:spacing w:after="0" w:line="159" w:lineRule="exact"/>
              <w:rPr>
                <w:sz w:val="20"/>
                <w:szCs w:val="20"/>
                <w:color w:val="auto"/>
              </w:rPr>
            </w:pPr>
            <w:r>
              <w:rPr>
                <w:rFonts w:ascii="Arial" w:cs="Arial" w:eastAsia="Arial" w:hAnsi="Arial"/>
                <w:sz w:val="14"/>
                <w:szCs w:val="14"/>
                <w:color w:val="auto"/>
              </w:rPr>
              <w:t>July 30, 2011</w:t>
            </w:r>
          </w:p>
        </w:tc>
        <w:tc>
          <w:tcPr>
            <w:tcW w:w="300" w:type="dxa"/>
            <w:vAlign w:val="bottom"/>
          </w:tcPr>
          <w:p>
            <w:pPr>
              <w:spacing w:after="0"/>
              <w:rPr>
                <w:sz w:val="13"/>
                <w:szCs w:val="13"/>
                <w:color w:val="auto"/>
              </w:rPr>
            </w:pPr>
          </w:p>
        </w:tc>
        <w:tc>
          <w:tcPr>
            <w:tcW w:w="1040" w:type="dxa"/>
            <w:vAlign w:val="bottom"/>
          </w:tcPr>
          <w:p>
            <w:pPr>
              <w:jc w:val="right"/>
              <w:ind w:right="79"/>
              <w:spacing w:after="0" w:line="159" w:lineRule="exact"/>
              <w:rPr>
                <w:sz w:val="20"/>
                <w:szCs w:val="20"/>
                <w:color w:val="auto"/>
              </w:rPr>
            </w:pPr>
            <w:r>
              <w:rPr>
                <w:rFonts w:ascii="Arial" w:cs="Arial" w:eastAsia="Arial" w:hAnsi="Arial"/>
                <w:sz w:val="14"/>
                <w:szCs w:val="14"/>
                <w:color w:val="auto"/>
              </w:rPr>
              <w:t>July 31, 2010</w:t>
            </w:r>
          </w:p>
        </w:tc>
        <w:tc>
          <w:tcPr>
            <w:tcW w:w="300" w:type="dxa"/>
            <w:vAlign w:val="bottom"/>
          </w:tcPr>
          <w:p>
            <w:pPr>
              <w:spacing w:after="0"/>
              <w:rPr>
                <w:sz w:val="13"/>
                <w:szCs w:val="13"/>
                <w:color w:val="auto"/>
              </w:rPr>
            </w:pPr>
          </w:p>
        </w:tc>
        <w:tc>
          <w:tcPr>
            <w:tcW w:w="1040" w:type="dxa"/>
            <w:vAlign w:val="bottom"/>
          </w:tcPr>
          <w:p>
            <w:pPr>
              <w:jc w:val="right"/>
              <w:ind w:right="82"/>
              <w:spacing w:after="0" w:line="159" w:lineRule="exact"/>
              <w:rPr>
                <w:sz w:val="20"/>
                <w:szCs w:val="20"/>
                <w:color w:val="auto"/>
              </w:rPr>
            </w:pPr>
            <w:r>
              <w:rPr>
                <w:rFonts w:ascii="Arial" w:cs="Arial" w:eastAsia="Arial" w:hAnsi="Arial"/>
                <w:sz w:val="14"/>
                <w:szCs w:val="14"/>
                <w:color w:val="auto"/>
              </w:rPr>
              <w:t>July 30, 2011</w:t>
            </w:r>
          </w:p>
        </w:tc>
        <w:tc>
          <w:tcPr>
            <w:tcW w:w="300" w:type="dxa"/>
            <w:vAlign w:val="bottom"/>
          </w:tcPr>
          <w:p>
            <w:pPr>
              <w:spacing w:after="0"/>
              <w:rPr>
                <w:sz w:val="13"/>
                <w:szCs w:val="13"/>
                <w:color w:val="auto"/>
              </w:rPr>
            </w:pPr>
          </w:p>
        </w:tc>
        <w:tc>
          <w:tcPr>
            <w:tcW w:w="12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July 31, 2010</w:t>
            </w:r>
          </w:p>
        </w:tc>
        <w:tc>
          <w:tcPr>
            <w:tcW w:w="0" w:type="dxa"/>
            <w:vAlign w:val="bottom"/>
          </w:tcPr>
          <w:p>
            <w:pPr>
              <w:spacing w:after="0"/>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Common Stock Outstanding</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1040" w:type="dxa"/>
            <w:vAlign w:val="bottom"/>
          </w:tcPr>
          <w:p>
            <w:pPr>
              <w:jc w:val="right"/>
              <w:spacing w:after="0"/>
              <w:rPr>
                <w:sz w:val="20"/>
                <w:szCs w:val="20"/>
                <w:color w:val="auto"/>
              </w:rPr>
            </w:pPr>
            <w:r>
              <w:rPr>
                <w:rFonts w:ascii="Arial" w:cs="Arial" w:eastAsia="Arial" w:hAnsi="Arial"/>
                <w:sz w:val="18"/>
                <w:szCs w:val="18"/>
                <w:color w:val="auto"/>
              </w:rPr>
              <w:t>47,476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46,983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47,311</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46,821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Equivalents -Stock options and restricted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48,149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47,494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48,097</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47,384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680" w:type="dxa"/>
            <w:vAlign w:val="bottom"/>
            <w:gridSpan w:val="4"/>
          </w:tcPr>
          <w:p>
            <w:pPr>
              <w:ind w:left="460"/>
              <w:spacing w:after="0"/>
              <w:rPr>
                <w:sz w:val="20"/>
                <w:szCs w:val="20"/>
                <w:color w:val="auto"/>
              </w:rPr>
            </w:pPr>
            <w:r>
              <w:rPr>
                <w:rFonts w:ascii="Arial" w:cs="Arial" w:eastAsia="Arial" w:hAnsi="Arial"/>
                <w:sz w:val="14"/>
                <w:szCs w:val="14"/>
                <w:color w:val="auto"/>
              </w:rPr>
              <w:t>For the three months ended</w:t>
            </w:r>
          </w:p>
        </w:tc>
        <w:tc>
          <w:tcPr>
            <w:tcW w:w="2620" w:type="dxa"/>
            <w:vAlign w:val="bottom"/>
            <w:gridSpan w:val="4"/>
          </w:tcPr>
          <w:p>
            <w:pPr>
              <w:jc w:val="right"/>
              <w:ind w:right="72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59"/>
        </w:trPr>
        <w:tc>
          <w:tcPr>
            <w:tcW w:w="6120" w:type="dxa"/>
            <w:vAlign w:val="bottom"/>
            <w:vMerge w:val="restart"/>
          </w:tcPr>
          <w:p>
            <w:pPr>
              <w:ind w:left="1960"/>
              <w:spacing w:after="0"/>
              <w:rPr>
                <w:sz w:val="20"/>
                <w:szCs w:val="20"/>
                <w:color w:val="auto"/>
              </w:rPr>
            </w:pPr>
            <w:r>
              <w:rPr>
                <w:rFonts w:ascii="Arial" w:cs="Arial" w:eastAsia="Arial" w:hAnsi="Arial"/>
                <w:sz w:val="14"/>
                <w:szCs w:val="14"/>
                <w:i w:val="1"/>
                <w:iCs w:val="1"/>
                <w:color w:val="auto"/>
              </w:rPr>
              <w:t>(in thousands, except exercise prices)</w:t>
            </w:r>
          </w:p>
        </w:tc>
        <w:tc>
          <w:tcPr>
            <w:tcW w:w="13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July 30, 2011</w:t>
            </w:r>
          </w:p>
        </w:tc>
        <w:tc>
          <w:tcPr>
            <w:tcW w:w="13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July 31, 2010</w:t>
            </w:r>
          </w:p>
        </w:tc>
        <w:tc>
          <w:tcPr>
            <w:tcW w:w="13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July 30, 2011</w:t>
            </w:r>
          </w:p>
        </w:tc>
        <w:tc>
          <w:tcPr>
            <w:tcW w:w="12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July 31, 2010</w:t>
            </w:r>
          </w:p>
        </w:tc>
        <w:tc>
          <w:tcPr>
            <w:tcW w:w="0" w:type="dxa"/>
            <w:vAlign w:val="bottom"/>
          </w:tcPr>
          <w:p>
            <w:pPr>
              <w:spacing w:after="0"/>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322"/>
        </w:trPr>
        <w:tc>
          <w:tcPr>
            <w:tcW w:w="6120" w:type="dxa"/>
            <w:vAlign w:val="bottom"/>
          </w:tcPr>
          <w:p>
            <w:pPr>
              <w:ind w:left="220"/>
              <w:spacing w:after="0"/>
              <w:rPr>
                <w:sz w:val="20"/>
                <w:szCs w:val="20"/>
                <w:color w:val="auto"/>
              </w:rPr>
            </w:pPr>
            <w:r>
              <w:rPr>
                <w:rFonts w:ascii="Arial" w:cs="Arial" w:eastAsia="Arial" w:hAnsi="Arial"/>
                <w:sz w:val="18"/>
                <w:szCs w:val="18"/>
                <w:color w:val="auto"/>
              </w:rPr>
              <w:t>Range of exercise prices of such options</w:t>
            </w:r>
          </w:p>
        </w:tc>
        <w:tc>
          <w:tcPr>
            <w:tcW w:w="1040" w:type="dxa"/>
            <w:vAlign w:val="bottom"/>
          </w:tcPr>
          <w:p>
            <w:pPr>
              <w:jc w:val="right"/>
              <w:spacing w:after="0"/>
              <w:rPr>
                <w:sz w:val="20"/>
                <w:szCs w:val="20"/>
                <w:color w:val="auto"/>
              </w:rPr>
            </w:pPr>
            <w:r>
              <w:rPr>
                <w:rFonts w:ascii="Arial" w:cs="Arial" w:eastAsia="Arial" w:hAnsi="Arial"/>
                <w:sz w:val="18"/>
                <w:szCs w:val="18"/>
                <w:color w:val="auto"/>
                <w:w w:val="87"/>
              </w:rPr>
              <w:t>$4.19 - $10.26</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7"/>
              </w:rPr>
              <w:t>$3.88 - $10.26</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7"/>
              </w:rPr>
              <w:t>$4.30 - $10.26</w:t>
            </w:r>
          </w:p>
        </w:tc>
        <w:tc>
          <w:tcPr>
            <w:tcW w:w="30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$ 3.88 - $10.26</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July 30, 2011, expire from July 31, 2011 to May 31, 2021.</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July 30, 2011, the Company had total deferred tax assets of approximately $46.7 million, with a corresponding valuation allowance of $46.7 million and a total deferred tax liability of approximately $1.9 million. The deferred tax assets include approximately $17.0 million of net operating loss carryforwards that expire through 2029 and approximately $8.4 million of deferred gain on sale-leaseback and, to a lesser extent, other book/tax timing differences.</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ability to reduce the valuation allowance of $46.7 million is dependent upon the Company’s ability to achieve sustained taxable income to realize its deferred tax assets. Because fiscal 2011 earnings will be a significant factor in determining the amount of the valuation allowance that can be reversed, the deferred tax assets remain fully reserved at July 30, 2011. However, based on the Company’s results of operations for the past two fiscal years as well as its forecasted earnings for fiscal 2011 and beyond, the Company anticipates reversing a substantial portion of the valuation allowance in the fourth quarter of fiscal 2011.</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effective tax rate for the first six months of fiscal 2011 has been reduced from the statutory rate due to the utilization of the Company’s fully reserved net operating loss carryforwards. The Company expects its effective rate to return to a rate of approximately 40% for periods subsequent to reversal of the valuation allowance.</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 that the position would be sustained upon audit based solely on the technical merits of the tax position. At July 30, 2011, the Company had no material unrecognized tax benefits.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subject to U.S. federal income tax as well as income tax of multiple state and foreign jurisdictions. The Company has concluded all U.S. federal income tax matters for years through fiscal 1998, with remaining fiscal years subject to income tax examination by federal tax authorities.</w:t>
      </w:r>
    </w:p>
    <w:p>
      <w:pPr>
        <w:spacing w:after="0" w:line="8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six months of fiscal 2011.</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January 29, 2011, filed with the Securities and Exchange Commission on March 18, 2011, and Part II, Item 1A of our Quarterly Reports, including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Casual Male Retail Group, Inc. together with our subsidiaries is the largest specialty retailer of big &amp; tall men’s apparel with retail operations in the United States and London, England and direct businesses throughout the United States, Canada and Europe. We operate under the trade names of Casual Male XL, Casual Male XL Outlets, DestinationXL™, Rochester Clothing, B&amp;T Factory Direct, Shoes XL and Living XL. At July 30, 2011, we operated 377 Casual Male XL retail stores, 60 Casual Male XL outlet stores, 6 DestinationXL (“DXL™”) stores and 15 Rochester Clothing stores. In August 2011, the Company opened two additional DXL stores in Murray, Utah and Fairless Hills, Pennsylvania. Our direct business includes several catalogs and e-commerce sites which support our brands and product extensions.</w:t>
      </w:r>
    </w:p>
    <w:p>
      <w:pPr>
        <w:spacing w:after="0" w:line="144"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Unless the context indicates otherwise, all references to “we,” “our,” “ours,” “us” and “the Company” refer to Casual Male Retail Group, Inc. and our consolidated subsidiaries. We refer to our fiscal years which end on January 28, 2012 and January 29, 2011 as “fiscal 2011” and “fiscal 2010,” respectively.</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Our Destination XL stores are considered relocations and comparable to all the closed stores in each respective market area. We include our direct businesses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For the second quarter of fiscal 2011, our earnings were $0.14 per diluted share as compared to $0.12 per diluted share for the second quarter of fiscal 2010. For the first six months of fiscal 2011, our earnings were $0.22 per diluted share as compared to $0.21 per diluted share for the first six months of fiscal 2010.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comparable sales for the second quarter of fiscal 2011 were up 4.9% over the prior year’s second quarter with our gross margin rate increasing 190 basis points over the second quarter of fiscal 2010. Even though we are still experiencing negative store traffic (down 1% for the second quarter of fiscal 2011 as compared to the second quarter of fiscal 2010), comparable sales have increased as a result of not only modest product price increases, which we started to implement during the first quarter of fiscal 2011, but also from continued improvements in sales productivity driven by the Company’s customer service program. Through maintained initial markups and controlled markdown activity we have been able to continue to improve our merchandise margin, which has helped to offset the expected increases in selling, general and administrative (“SG&amp;A”) expenses.</w:t>
      </w:r>
    </w:p>
    <w:p>
      <w:pPr>
        <w:spacing w:after="0" w:line="12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July 30, 2011, we have $18.3 million in cash and cash equivalents, no outstanding debt and full availability under our credit facility of $63.6 million. We continue to generate positive free cash flow (see “Presentation of Non-GAAP Measure” below) and manage our inventory, which has been a key component to optimizing our merchandise margins, enabling us to avoid excessive promotional and clearance activity.</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second quarter of fiscal 2011, we opened two DXL™ stores in Atlanta, Georgia and Phoenix, Arizona. Subsequent to the end of the quarter in August 2011 we opened two additional DXL stores in Murray, Utah and Fairless Hills, Pennsylvania. In aggregate, the DXL stores continue to show improved sales within their respective markets of approximately 20%, on a comparable basis versus the second quarter of fiscal 2010, with all stores showing some improvement. We are looking forward to the launch of our new DXL website, which was originally scheduled to launch during the second quarter but will be launching early in the third quarter of fiscal 2011. Our DXL website, with a multi-channel solution similar to the DXL store experience, will have state-of-the-art functionality and will enable our customers to shop across all brands and product extensions with ease. During the second half of fiscal 2011, we expect to open an additional 11 to 12 DXL stores for a total of 19 to 20 DXL stores operating by the end of fiscal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2011 Outlook</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expect earnings for fiscal 2011 to be between $0.40 to $0.45 per diluted share. This is based on an increase in sales of approximately 3.0%-4.0%, resulting in total sales of $405.0-$410.0 million. Our gross margin rate is expected to improve by 105 to 150 basis points from fiscal 2010’s gross margin rate (an increase from the previously reported guidance of 75 to 125 basis points). We have reinstated our employer match for our 401K Plans and have given modest salary increases to some of our employees, resulting in an expected increase in SG&amp;A of approximately 3.0% to $156.0 million. The modest salary increases are the first increases since the economic difficulties began in fiscal 2008.</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From a liquidity perspective, we have slightly revised our expected cash flow from operating activities to a range of $37.5 to $40.0 million (an increase from the $34.0 million previously reported), resulting in free cash flow (as defined below under “Presentation of Non-GAAP Measure”) of approximately $17.5 to $20.0 million (up from the $16.0 million previously reported). We expect our cash balances to increase to $22.0-$25.0 million by the end of fiscal 2011. Our capital expenditures for fiscal 2011 will be approximately $20.0 million (up from the $18.0 million previously reported). These expenditures will primarily be spent on investing in the infrastructure of our direct channel, in connection with the launch of our new DXL™ website in the third quarter of fiscal 2011, and capital incurred with our planned opening of 15 to 16 new DXL stores during fiscal 2011. As we open new DXL stores, we will be closing existing stores in the area. For fiscal 2011, we currently expect to close 15 to 20 existing stores, as leases expire. By the end of fiscal 2011, our total store count is expected to be approximately 450 stores.</w:t>
      </w:r>
    </w:p>
    <w:p>
      <w:pPr>
        <w:spacing w:after="0" w:line="14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fiscal 2012, we plan to open 25-30 additional DXL stores, resulting in approximately 50 DXL stores operating at the end of fiscal 2012, with at least one store located in most of the major metropolitan cities across the United States. At the same time, we expect to close approximately 40-45 existing stores, as leases expire, in connection with opening these DXL stores, resulting in an estimated store count of approximately 435 stores at the end of fiscal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In addition, all companies do not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3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3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ind w:left="140"/>
              <w:spacing w:after="0"/>
              <w:rPr>
                <w:sz w:val="20"/>
                <w:szCs w:val="20"/>
                <w:color w:val="auto"/>
              </w:rPr>
            </w:pPr>
            <w:r>
              <w:rPr>
                <w:rFonts w:ascii="Arial" w:cs="Arial" w:eastAsia="Arial" w:hAnsi="Arial"/>
                <w:sz w:val="14"/>
                <w:szCs w:val="14"/>
                <w:color w:val="auto"/>
                <w:w w:val="88"/>
              </w:rPr>
              <w:t>For the six months ended:</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Projected Cash Flow</w:t>
            </w:r>
          </w:p>
        </w:tc>
      </w:tr>
      <w:tr>
        <w:trPr>
          <w:trHeight w:val="159"/>
        </w:trPr>
        <w:tc>
          <w:tcPr>
            <w:tcW w:w="5400" w:type="dxa"/>
            <w:vAlign w:val="bottom"/>
          </w:tcPr>
          <w:p>
            <w:pPr>
              <w:spacing w:after="0" w:line="159" w:lineRule="exact"/>
              <w:rPr>
                <w:sz w:val="20"/>
                <w:szCs w:val="20"/>
                <w:color w:val="auto"/>
              </w:rPr>
            </w:pPr>
            <w:r>
              <w:rPr>
                <w:rFonts w:ascii="Arial" w:cs="Arial" w:eastAsia="Arial" w:hAnsi="Arial"/>
                <w:sz w:val="14"/>
                <w:szCs w:val="14"/>
                <w:i w:val="1"/>
                <w:iCs w:val="1"/>
                <w:color w:val="auto"/>
              </w:rPr>
              <w:t>(in millions)</w:t>
            </w:r>
          </w:p>
        </w:tc>
        <w:tc>
          <w:tcPr>
            <w:tcW w:w="1140" w:type="dxa"/>
            <w:vAlign w:val="bottom"/>
            <w:gridSpan w:val="3"/>
          </w:tcPr>
          <w:p>
            <w:pPr>
              <w:spacing w:after="0" w:line="159" w:lineRule="exact"/>
              <w:rPr>
                <w:sz w:val="20"/>
                <w:szCs w:val="20"/>
                <w:color w:val="auto"/>
              </w:rPr>
            </w:pPr>
            <w:r>
              <w:rPr>
                <w:rFonts w:ascii="Arial" w:cs="Arial" w:eastAsia="Arial" w:hAnsi="Arial"/>
                <w:sz w:val="14"/>
                <w:szCs w:val="14"/>
                <w:color w:val="auto"/>
              </w:rPr>
              <w:t>July 30, 2011</w:t>
            </w:r>
          </w:p>
        </w:tc>
        <w:tc>
          <w:tcPr>
            <w:tcW w:w="320" w:type="dxa"/>
            <w:vAlign w:val="bottom"/>
          </w:tcPr>
          <w:p>
            <w:pPr>
              <w:spacing w:after="0"/>
              <w:rPr>
                <w:sz w:val="13"/>
                <w:szCs w:val="13"/>
                <w:color w:val="auto"/>
              </w:rPr>
            </w:pPr>
          </w:p>
        </w:tc>
        <w:tc>
          <w:tcPr>
            <w:tcW w:w="14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July 31, 2010</w:t>
            </w:r>
          </w:p>
        </w:tc>
        <w:tc>
          <w:tcPr>
            <w:tcW w:w="12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Fiscal 2011</w:t>
            </w:r>
          </w:p>
        </w:tc>
      </w:tr>
      <w:tr>
        <w:trPr>
          <w:trHeight w:val="88"/>
        </w:trPr>
        <w:tc>
          <w:tcPr>
            <w:tcW w:w="54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12.6</w:t>
            </w:r>
          </w:p>
        </w:tc>
        <w:tc>
          <w:tcPr>
            <w:tcW w:w="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37.5 - $40.0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2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(3.6)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Discretionary store asset Acquisitions</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5400" w:type="dxa"/>
            <w:vAlign w:val="bottom"/>
          </w:tcPr>
          <w:p>
            <w:pPr>
              <w:spacing w:after="0"/>
              <w:rPr>
                <w:sz w:val="20"/>
                <w:szCs w:val="20"/>
                <w:color w:val="auto"/>
              </w:rPr>
            </w:pPr>
            <w:r>
              <w:rPr>
                <w:rFonts w:ascii="Arial" w:cs="Arial" w:eastAsia="Arial" w:hAnsi="Arial"/>
                <w:sz w:val="18"/>
                <w:szCs w:val="18"/>
                <w:color w:val="auto"/>
              </w:rPr>
              <w:t>Free Cash Flow</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24"/>
                <w:szCs w:val="24"/>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74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 xml:space="preserve">$  17.5 - </w:t>
            </w:r>
            <w:r>
              <w:rPr>
                <w:rFonts w:ascii="Arial" w:cs="Arial" w:eastAsia="Arial" w:hAnsi="Arial"/>
                <w:sz w:val="18"/>
                <w:szCs w:val="18"/>
                <w:u w:val="single" w:color="auto"/>
                <w:color w:val="auto"/>
                <w:w w:val="96"/>
              </w:rPr>
              <w:t>$</w:t>
            </w:r>
            <w:r>
              <w:rPr>
                <w:rFonts w:ascii="Arial" w:cs="Arial" w:eastAsia="Arial" w:hAnsi="Arial"/>
                <w:sz w:val="18"/>
                <w:szCs w:val="18"/>
                <w:color w:val="auto"/>
                <w:w w:val="96"/>
              </w:rPr>
              <w:t>20.0</w:t>
            </w: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the second quarter of fiscal 2011, total sales increased by 3.8% to $100.9 million when compared to total sales of $97.3 million for the second quarter of fiscal 2010. Comparable sales for the second quarter increased 4.9% when compared to the same period of the prior year. On a comparable basis, sales from our direct business increased by 4.1% and sales from our retail business increased 5.0%. As planned, during the first quarter of fiscal 2011, we started to increase prices within certain merchandise categories. For the second quarter of fiscal 2011, our average unit retail increased approximately 8% over the prior year’s second quarter. This increase is due partly to product price increases, and partly to the result of improved sales productivity by our selling associates.</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first six months of fiscal 2011, total sales increased by 2.3% to $196.7 million as compared to $192.2 million for the first six months of the prior year. Comparable sales for the first six months increased 3.5% when compared to the first six months of fiscal 2010. The increase consisted of a 4.4% increase in our direct business and a 3.4% increase from our retail business.</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Overall, we continue to experience improvement in our “dollars spent per transaction” and “average retail” metrics, which have contributed to mitigating the low traffic flow.</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expected, consumer spending has started to improve, albeit slowly. Each quarter, we experience gradual improvements in our store metrics as overall sales productivity continues to increase. Although we do not expect traffic levels to return to pre-recession levels this year, we are planning for a modest increase in our dollars per transaction as a result of price increases on some of our merchandise product, as well as continued improvement in sales productivity from better serving the needs of our customers. As such, we are expecting fiscal 2011 sales volumes to increase by approximately 3.0-4.0% as compared to fiscal 2010, with total sales of between $405.0-$410.0 million. We expect comparable sales growth to approximate between 4.0-4.5%.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second quarter of fiscal 2011, our gross margin rate, inclusive of occupancy costs, was 48.3% as compared to a gross margin rate of 46.4% for the second quarter of fiscal 2010. The increase of 190 basis points for the second quarter of fiscal 2011 was the result of an increase of 95 basis points in merchandise margins plus an increase of 95 basis points related to the leveraging of occupancy costs against higher sales. Our merchandise margin continues to benefit from our improved inventory management and managed markdowns. On a dollar basis, occupancy costs for the second quarter of fiscal 2011 decreased 2.6% when compared to the second quarter of fiscal 2010.</w:t>
      </w:r>
    </w:p>
    <w:p>
      <w:pPr>
        <w:spacing w:after="0" w:line="14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For the first six months of fiscal 2011, our gross margin rate, inclusive of occupancy costs, was 47.7% as compared to a gross margin rate of 46.1% for the first six months of fiscal 2010. The increase of 160 basis points for the first six months of fiscal 2011 was the result of an increase of 100 basis points in merchandise margins plus an increase of 60 basis points related to the leveraging of occupancy costs. On a dollar basis, occupancy costs for the first six months of fiscal 2011 decreased 1.5% when compared to the first six months of fiscal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fiscal 2011, we are expecting that our occupancy costs, on a dollar-basis, will remain flat to fiscal 2010. As a result, we expect to leverage occupancy costs by approximately 30 to 50 basis points in fiscal 2011. In addition, we are planning on continued improvement of 75 to 100 basis points in merchandise margins (an increase from previously reported guidance of 45 to 75 basis points). Accordingly, for fiscal 2011, we are expecting gross margin will improve by approximately 105 to 150 basis points (an increase from previously reported guidance of 75 to 125 basis points).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SG&amp;A expenses for the second quarter of fiscal 2011 were 38.0% of sales as compared to 36.4% of sales for the second quarter of fiscal 2010. On a dollar basis, SG&amp;A expenses increased $2.9 million, or 8.3%, for the second quarter of fiscal 2011 as compared to the second quarter of fiscal 2010. This increase is primarily due to payroll-related expenses, such as modest salary increases, bonus accruals, severance payments, reinstatement of the 401K employer match, as well as increased staffing in our global sourcing and merchandise areas.</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first six months of fiscal 2011, SG&amp;A expenses were 38.4% of sales as compared to 37.0% for the first six months of fiscal 2010. On a dollar basis, SG&amp;A expenses increased $4.4 million, or 6.2%, for the first six months of fiscal 2011 as compared to the first six months of fiscal 2010. The first six months of fiscal 2011 include an increase in the bonus accrual of approximately $1.9 million, or $0.04 per diluted share, over the prior year. For fiscal 2010, the bonus was not accrued until the third quarter when achievement of the bonus became probable. This shift of expense contributed to our 6.2% increase for the first six months of fiscal 2011. This increase in SG&amp;A will adjust itself during the second half of fiscal 2011, resulting in our SG&amp;A expenses being in line with our annual forecast for the full year.</w:t>
      </w:r>
    </w:p>
    <w:p>
      <w:pPr>
        <w:spacing w:after="0" w:line="14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While SG&amp;A expense management is a significant priority for us, we are expecting our SG&amp;A expenses to increase by approximately 3% for fiscal 2011. This increase is primarily related to our incremental marketing costs associated with targeting our new DXL stores as well as the reinstatement of our 401K employer match and modest salary increases to some of our associates. Overall, we expect to limit our SG&amp;A growth rates, except where necessary to support our growth activities or where there are unanticipated costs that are necessary to support our overall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interest expense was $0.1 million for the second quarter of fiscal 2011 as compared to $0.2 million for the second quarter of fiscal 2010. For the first six months of fiscal 2011 net interest expense was $0.2 million as compared to $0.3 million for the first six months of fiscal 2010. The interest expense for the second quarter and first six months of fiscal 2011 primarily relates to the unused line fee on our credit facility as a result of having essentially no borrowings during the first six months of fiscal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At July 30, 2011, our total deferred tax assets were approximately $46.7 million, with a corresponding valuation allowance of $46.7 million and a deferred tax liability of approximately $1.9 million. The deferred tax assets include approximately $17.0 million of net operating loss carryforwards that expire through 2029 and approximately $8.4 million of deferred gain on our sale-leaseback and, to a lesser extent, other book/tax timing differences.</w:t>
      </w:r>
    </w:p>
    <w:p>
      <w:pPr>
        <w:spacing w:after="0" w:line="107"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The effect of the weakened economy on our retail business, especially in fiscal 2008, had a significant impact upon our revenue and profitability. Further, the conditions of the economy also negatively impacted our market value as a result of the deterioration of the capital markets and resulted in substantial impairments in fiscal 2008. Accordingly, due to our cumulative operating losses as well as our uncertainty regarding the economy and our ability to generate future taxable income to realize all of our deferred tax assets, in the fourth quarter of fiscal 2008, we established a valuation allowance against our deferred tax assets.</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ability to reduce this valuation allowance of $46.7 million is dependent upon our ability to achieve sustained taxable income to realize our deferred tax assets. Because our fiscal 2011 earnings will be a significant factor in determining the amount of the valuation allowance that can be reversed, our deferred tax assets remain fully reserved at July 30,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However, based on our results of operations for the past two fiscal years as well as our forecasted earnings for fiscal 2011 and beyond, we anticipate reversing a substantial portion of the valuation allowance in the fourth quarter of fiscal 2011.</w:t>
      </w:r>
    </w:p>
    <w:p>
      <w:pPr>
        <w:spacing w:after="0" w:line="132"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Our effective tax rate for the second quarter and first six months of fiscal 2011 has been reduced from the statutory rate due to the utilization of fully reserved net operating loss carryforwards. We expect our effective rate to return to a rate of approximately 40% for periods subsequent to reversal of the valuation allowance.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second quarter of fiscal 2011, we had net income of $6.6 million, or $0.14 per diluted share, as compared to net income of $5.6 million, or $0.12 per diluted share, for the second quarter of fiscal 2010. For the first six months of fiscal 2011, net income was $10.8 million, or $0.22 per diluted share, as compared to net income of $9.8 million, or $0.21 per diluted share, for the first six months of fiscal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July 30, 2011, total inventory was $95.0 million compared to $92.9 million at January 29, 2011 and $94.2 million at July 31, 2010. Because of the upcoming Fall selling season, our inventory levels are typically higher when compared to year-end balances.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Inventory at the end of the second quarter of fiscal 2011 increased slightly by approximately $0.8 million as compared to July 31, 2010. We continue to make a concerted effort to manage our inventory levels and, as a result, our merchandise margins continue to improve.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primary cash needs are for working capital (essentially inventory requirements), capital expenditures and our growth initiatives. As discussed below, our capital expenditure program for fiscal 2011 is $20.0 million, which is greater than fiscal 2010 primarily due to the opening of 15 to 16 DestinationXL stores as well as the upgrading of our e-commerce sites to a multi-brand format.</w:t>
      </w:r>
    </w:p>
    <w:p>
      <w:pPr>
        <w:spacing w:after="0" w:line="14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currently believe that our existing cash generated by operations together with our availability under our credit facility will be sufficient within current forecasts for us to meet our foreseeable liquidity requirements and capital needs to support our DestinationXL expansion and growth plans. For the first six months of fiscal 2011, free cash flow, which we define as cash flow from operating activities, less capital expenditures and discretionary store asset acquisitions, if any, improved by $4.4 million to $13.4 million from $9.0 million for the first six months of fiscal 2010. See “Presentation of Non-GAAP Measure” above regarding non-GAAP free cash flow. The improvement in free cash flow of $4.4 million in the first six months of fiscal 2011 was due to improved operating income and the timing of working capital.</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to cash flow from operations, our other primary source of working capital is our credit facility, which we amended and restated with Bank of America, N.A. (the “Credit Facility”) during the fourth quarter of fiscal 2010. The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letters of credit and a sublimit of up to $15 million for Swingline Loans. The maturity date of the Credit Facility is November 10, 2014. Our Credit Facility is described in more detail in Note 2 to the Notes to the Consolidated Financial Statements.</w:t>
      </w:r>
    </w:p>
    <w:p>
      <w:pPr>
        <w:spacing w:after="0" w:line="116"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We had no borrowings outstanding under the Credit Facility at July 30, 2011. Outstanding standby letters of credit were $2.3 million and outstanding documentary letters of credit were $9.2 million. The average monthly borrowing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under this facility during the first six months of fiscal 2011 was less than $25,000, resulting in an average unused excess availability of approximately $65.4 million. Unused excess availability at July 30, 2011 was $63.6 million. Our obligations under the Credit Facility are secured by a lien on all of our assets. The facility contains no financial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July 30, 2011 and July 31, 2010, respectively:</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820" w:type="dxa"/>
            <w:vAlign w:val="bottom"/>
            <w:vMerge w:val="restart"/>
          </w:tcPr>
          <w:p>
            <w:pPr>
              <w:spacing w:after="0"/>
              <w:rPr>
                <w:sz w:val="20"/>
                <w:szCs w:val="20"/>
                <w:color w:val="auto"/>
              </w:rPr>
            </w:pPr>
            <w:r>
              <w:rPr>
                <w:rFonts w:ascii="Arial" w:cs="Arial" w:eastAsia="Arial" w:hAnsi="Arial"/>
                <w:sz w:val="14"/>
                <w:szCs w:val="14"/>
                <w:color w:val="auto"/>
                <w:w w:val="89"/>
              </w:rPr>
              <w:t>Store Concept</w:t>
            </w:r>
          </w:p>
        </w:tc>
        <w:tc>
          <w:tcPr>
            <w:tcW w:w="3680" w:type="dxa"/>
            <w:vAlign w:val="bottom"/>
            <w:vMerge w:val="restart"/>
          </w:tcPr>
          <w:p>
            <w:pPr>
              <w:spacing w:after="0"/>
              <w:rPr>
                <w:sz w:val="14"/>
                <w:szCs w:val="14"/>
                <w:color w:val="auto"/>
              </w:rPr>
            </w:pPr>
          </w:p>
        </w:tc>
        <w:tc>
          <w:tcPr>
            <w:tcW w:w="2580" w:type="dxa"/>
            <w:vAlign w:val="bottom"/>
            <w:gridSpan w:val="3"/>
          </w:tcPr>
          <w:p>
            <w:pPr>
              <w:jc w:val="right"/>
              <w:ind w:right="776"/>
              <w:spacing w:after="0"/>
              <w:rPr>
                <w:sz w:val="20"/>
                <w:szCs w:val="20"/>
                <w:color w:val="auto"/>
              </w:rPr>
            </w:pPr>
            <w:r>
              <w:rPr>
                <w:rFonts w:ascii="Arial" w:cs="Arial" w:eastAsia="Arial" w:hAnsi="Arial"/>
                <w:sz w:val="14"/>
                <w:szCs w:val="14"/>
                <w:color w:val="auto"/>
              </w:rPr>
              <w:t>At July 30, 2011</w:t>
            </w:r>
          </w:p>
        </w:tc>
        <w:tc>
          <w:tcPr>
            <w:tcW w:w="740" w:type="dxa"/>
            <w:vAlign w:val="bottom"/>
          </w:tcPr>
          <w:p>
            <w:pPr>
              <w:spacing w:after="0"/>
              <w:rPr>
                <w:sz w:val="14"/>
                <w:szCs w:val="14"/>
                <w:color w:val="auto"/>
              </w:rPr>
            </w:pPr>
          </w:p>
        </w:tc>
        <w:tc>
          <w:tcPr>
            <w:tcW w:w="2680" w:type="dxa"/>
            <w:vAlign w:val="bottom"/>
            <w:gridSpan w:val="4"/>
          </w:tcPr>
          <w:p>
            <w:pPr>
              <w:ind w:left="840"/>
              <w:spacing w:after="0"/>
              <w:rPr>
                <w:sz w:val="20"/>
                <w:szCs w:val="20"/>
                <w:color w:val="auto"/>
              </w:rPr>
            </w:pPr>
            <w:r>
              <w:rPr>
                <w:rFonts w:ascii="Arial" w:cs="Arial" w:eastAsia="Arial" w:hAnsi="Arial"/>
                <w:sz w:val="14"/>
                <w:szCs w:val="14"/>
                <w:color w:val="auto"/>
              </w:rPr>
              <w:t>At July 31, 2010</w:t>
            </w: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720" w:type="dxa"/>
            <w:vAlign w:val="bottom"/>
            <w:gridSpan w:val="2"/>
          </w:tcPr>
          <w:p>
            <w:pPr>
              <w:jc w:val="right"/>
              <w:ind w:right="760"/>
              <w:spacing w:after="0" w:line="146" w:lineRule="exact"/>
              <w:rPr>
                <w:sz w:val="20"/>
                <w:szCs w:val="20"/>
                <w:color w:val="auto"/>
              </w:rPr>
            </w:pPr>
            <w:r>
              <w:rPr>
                <w:rFonts w:ascii="Arial" w:cs="Arial" w:eastAsia="Arial" w:hAnsi="Arial"/>
                <w:sz w:val="14"/>
                <w:szCs w:val="14"/>
                <w:color w:val="auto"/>
                <w:w w:val="85"/>
              </w:rPr>
              <w:t>Number of Stores</w:t>
            </w:r>
          </w:p>
        </w:tc>
        <w:tc>
          <w:tcPr>
            <w:tcW w:w="860" w:type="dxa"/>
            <w:vAlign w:val="bottom"/>
          </w:tcPr>
          <w:p>
            <w:pPr>
              <w:jc w:val="right"/>
              <w:spacing w:after="0" w:line="146" w:lineRule="exact"/>
              <w:rPr>
                <w:sz w:val="20"/>
                <w:szCs w:val="20"/>
                <w:color w:val="auto"/>
              </w:rPr>
            </w:pPr>
            <w:r>
              <w:rPr>
                <w:rFonts w:ascii="Arial" w:cs="Arial" w:eastAsia="Arial" w:hAnsi="Arial"/>
                <w:sz w:val="14"/>
                <w:szCs w:val="14"/>
                <w:color w:val="auto"/>
                <w:w w:val="81"/>
              </w:rPr>
              <w:t>Square Footage</w:t>
            </w:r>
          </w:p>
        </w:tc>
        <w:tc>
          <w:tcPr>
            <w:tcW w:w="740" w:type="dxa"/>
            <w:vAlign w:val="bottom"/>
          </w:tcPr>
          <w:p>
            <w:pPr>
              <w:spacing w:after="0"/>
              <w:rPr>
                <w:sz w:val="14"/>
                <w:szCs w:val="14"/>
                <w:color w:val="auto"/>
              </w:rPr>
            </w:pPr>
          </w:p>
        </w:tc>
        <w:tc>
          <w:tcPr>
            <w:tcW w:w="174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Number of Stores</w:t>
            </w:r>
          </w:p>
        </w:tc>
        <w:tc>
          <w:tcPr>
            <w:tcW w:w="940" w:type="dxa"/>
            <w:vAlign w:val="bottom"/>
            <w:gridSpan w:val="2"/>
          </w:tcPr>
          <w:p>
            <w:pPr>
              <w:spacing w:after="0" w:line="146" w:lineRule="exact"/>
              <w:rPr>
                <w:sz w:val="20"/>
                <w:szCs w:val="20"/>
                <w:color w:val="auto"/>
              </w:rPr>
            </w:pPr>
            <w:r>
              <w:rPr>
                <w:rFonts w:ascii="Arial" w:cs="Arial" w:eastAsia="Arial" w:hAnsi="Arial"/>
                <w:sz w:val="14"/>
                <w:szCs w:val="14"/>
                <w:color w:val="auto"/>
                <w:w w:val="91"/>
              </w:rPr>
              <w:t>Square Footage</w:t>
            </w:r>
          </w:p>
        </w:tc>
        <w:tc>
          <w:tcPr>
            <w:tcW w:w="0" w:type="dxa"/>
            <w:vAlign w:val="bottom"/>
          </w:tcPr>
          <w:p>
            <w:pPr>
              <w:spacing w:after="0"/>
              <w:rPr>
                <w:sz w:val="1"/>
                <w:szCs w:val="1"/>
                <w:color w:val="auto"/>
              </w:rPr>
            </w:pPr>
          </w:p>
        </w:tc>
      </w:tr>
      <w:tr>
        <w:trPr>
          <w:trHeight w:val="136"/>
        </w:trPr>
        <w:tc>
          <w:tcPr>
            <w:tcW w:w="4500" w:type="dxa"/>
            <w:vAlign w:val="bottom"/>
            <w:gridSpan w:val="2"/>
          </w:tcPr>
          <w:p>
            <w:pPr>
              <w:spacing w:after="0" w:line="136" w:lineRule="exact"/>
              <w:rPr>
                <w:sz w:val="20"/>
                <w:szCs w:val="20"/>
                <w:color w:val="auto"/>
              </w:rPr>
            </w:pPr>
            <w:r>
              <w:rPr>
                <w:rFonts w:ascii="Arial" w:cs="Arial" w:eastAsia="Arial" w:hAnsi="Arial"/>
                <w:sz w:val="14"/>
                <w:szCs w:val="14"/>
                <w:i w:val="1"/>
                <w:iCs w:val="1"/>
                <w:color w:val="auto"/>
              </w:rPr>
              <w:t>(square footage in thousands)</w:t>
            </w:r>
          </w:p>
        </w:tc>
        <w:tc>
          <w:tcPr>
            <w:tcW w:w="96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451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DXL</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480" w:type="dxa"/>
            <w:vAlign w:val="bottom"/>
            <w:gridSpan w:val="3"/>
          </w:tcPr>
          <w:p>
            <w:pPr>
              <w:jc w:val="right"/>
              <w:ind w:right="760"/>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Clothing</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 Stores</w:t>
            </w:r>
          </w:p>
        </w:tc>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2"/>
            <w:vMerge w:val="continue"/>
          </w:tcPr>
          <w:p>
            <w:pPr>
              <w:spacing w:after="0"/>
              <w:rPr>
                <w:sz w:val="19"/>
                <w:szCs w:val="19"/>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458</w:t>
            </w:r>
          </w:p>
        </w:tc>
        <w:tc>
          <w:tcPr>
            <w:tcW w:w="860" w:type="dxa"/>
            <w:vAlign w:val="bottom"/>
          </w:tcPr>
          <w:p>
            <w:pPr>
              <w:jc w:val="right"/>
              <w:spacing w:after="0"/>
              <w:rPr>
                <w:sz w:val="20"/>
                <w:szCs w:val="20"/>
                <w:color w:val="auto"/>
              </w:rPr>
            </w:pPr>
            <w:r>
              <w:rPr>
                <w:rFonts w:ascii="Arial" w:cs="Arial" w:eastAsia="Arial" w:hAnsi="Arial"/>
                <w:sz w:val="18"/>
                <w:szCs w:val="18"/>
                <w:color w:val="auto"/>
              </w:rPr>
              <w:t>1,761</w:t>
            </w:r>
          </w:p>
        </w:tc>
        <w:tc>
          <w:tcPr>
            <w:tcW w:w="2480" w:type="dxa"/>
            <w:vAlign w:val="bottom"/>
            <w:gridSpan w:val="3"/>
          </w:tcPr>
          <w:p>
            <w:pPr>
              <w:jc w:val="right"/>
              <w:ind w:right="760"/>
              <w:spacing w:after="0"/>
              <w:rPr>
                <w:sz w:val="20"/>
                <w:szCs w:val="20"/>
                <w:color w:val="auto"/>
              </w:rPr>
            </w:pPr>
            <w:r>
              <w:rPr>
                <w:rFonts w:ascii="Arial" w:cs="Arial" w:eastAsia="Arial" w:hAnsi="Arial"/>
                <w:sz w:val="18"/>
                <w:szCs w:val="18"/>
                <w:color w:val="auto"/>
              </w:rPr>
              <w:t>471</w:t>
            </w:r>
          </w:p>
        </w:tc>
        <w:tc>
          <w:tcPr>
            <w:tcW w:w="84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Total cash outlays for capital expenditures for the first six months of fiscal 2011 and fiscal 2010 were $4.8 million and $3.6 million, respectively.</w:t>
      </w:r>
    </w:p>
    <w:p>
      <w:pPr>
        <w:spacing w:after="0" w:line="171"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For fiscal 2011, our capital expenditures are expected to be approximately $20.0 million. The budget includes approximately $12.0 million related to the opening of 15 to 16 additional DestinationXL stores and approximately $5.0 million for continued information technology projects, including the launch of our enhanced multi-branded e-commerce site, with the remainder for general overhead projects. In addition, for fiscal 2011, we expect to close approximately 15 to 20 existing stores (5 of which have already been closed during the first six months of fiscal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DXL store openings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the strong performance of the four DXL stores opened in fiscal 2010, we plan to open up to 15 to 16 new stores during fiscal 2011. Depending on the real estate and market demographics for each of these store locations, we expect the size of each store to be between 6,000 to 12,000 square feet, to accommodate each market.</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launching of our DXL website was postponed until the third quarter of fiscal 2011. This website will combine all of our existing e-commerce sites into one enhanced website, with state-of-the-art features and best practices. This will enable our customers to shop across all of our brands and product extensions with ease and will bring all of our customers under one concept. Their classification as a “Rochester” customer or a “Casual Male” customer will no longer limit their ability to access our full product assortment.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29, 2011:</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4"/>
                <w:szCs w:val="14"/>
                <w:color w:val="auto"/>
              </w:rPr>
              <w:t>Rochester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380" w:type="dxa"/>
            <w:vAlign w:val="bottom"/>
          </w:tcPr>
          <w:p>
            <w:pPr>
              <w:spacing w:after="0"/>
              <w:rPr>
                <w:sz w:val="13"/>
                <w:szCs w:val="13"/>
                <w:color w:val="auto"/>
              </w:rPr>
            </w:pPr>
          </w:p>
        </w:tc>
        <w:tc>
          <w:tcPr>
            <w:tcW w:w="13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w w:val="84"/>
              </w:rPr>
              <w:t>Casual Male</w:t>
            </w:r>
          </w:p>
        </w:tc>
        <w:tc>
          <w:tcPr>
            <w:tcW w:w="6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DXL</w:t>
            </w:r>
          </w:p>
        </w:tc>
        <w:tc>
          <w:tcPr>
            <w:tcW w:w="320" w:type="dxa"/>
            <w:vAlign w:val="bottom"/>
          </w:tcPr>
          <w:p>
            <w:pPr>
              <w:spacing w:after="0"/>
              <w:rPr>
                <w:sz w:val="13"/>
                <w:szCs w:val="13"/>
                <w:color w:val="auto"/>
              </w:rPr>
            </w:pPr>
          </w:p>
        </w:tc>
        <w:tc>
          <w:tcPr>
            <w:tcW w:w="114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w w:val="93"/>
              </w:rPr>
              <w:t>Clothing</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1"/>
              </w:rPr>
              <w:t>Total stores</w:t>
            </w: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At January 29, 2011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New stores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Closed stores</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At July 30, 2011</w:t>
            </w: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w:t>
            </w:r>
          </w:p>
        </w:tc>
        <w:tc>
          <w:tcPr>
            <w:tcW w:w="60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29, 2011 filed with the SEC on March 18,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July 30, 2011, we had no outstanding borrowings. Because our average outstanding borrowings during the first six months of fiscal 2011 were less than $25,000, any increase in interest rates would have been immaterial to the financial results for the first six months of fiscal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July 30, 2011,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July 30, 2011.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July 30, 2011,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July 30, 2011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29, 2011 filed with the SEC on March 18, 2011.</w:t>
      </w:r>
    </w:p>
    <w:p>
      <w:pPr>
        <w:sectPr>
          <w:pgSz w:w="11900" w:h="16838" w:orient="portrait"/>
          <w:cols w:equalWidth="0" w:num="1">
            <w:col w:w="11400"/>
          </w:cols>
          <w:pgMar w:left="240" w:top="274"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130" w:lineRule="exact"/>
        <w:rPr>
          <w:sz w:val="20"/>
          <w:szCs w:val="20"/>
          <w:color w:val="auto"/>
        </w:rPr>
      </w:pPr>
    </w:p>
    <w:p>
      <w:pPr>
        <w:sectPr>
          <w:pgSz w:w="11900" w:h="16838" w:orient="portrait"/>
          <w:cols w:equalWidth="0" w:num="2">
            <w:col w:w="540" w:space="500"/>
            <w:col w:w="1036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00"/>
          </w:cols>
          <w:pgMar w:left="240" w:top="274" w:right="2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1036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00"/>
          </w:cols>
          <w:pgMar w:left="240" w:top="274" w:right="2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36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00"/>
          </w:cols>
          <w:pgMar w:left="240" w:top="274" w:right="2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211" w:lineRule="exact"/>
        <w:rPr>
          <w:sz w:val="20"/>
          <w:szCs w:val="20"/>
          <w:color w:val="auto"/>
        </w:rPr>
      </w:pPr>
    </w:p>
    <w:p>
      <w:pPr>
        <w:sectPr>
          <w:pgSz w:w="11900" w:h="16838" w:orient="portrait"/>
          <w:cols w:equalWidth="0" w:num="2">
            <w:col w:w="540" w:space="500"/>
            <w:col w:w="10360"/>
          </w:cols>
          <w:pgMar w:left="240" w:top="274" w:right="259" w:bottom="1440" w:gutter="0" w:footer="0" w:header="0"/>
          <w:type w:val="continuous"/>
        </w:sectPr>
      </w:pPr>
    </w:p>
    <w:p>
      <w:pPr>
        <w:spacing w:after="0" w:line="4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Employment Agreement between the Company and Angela Chew dated as of June 20, 2011.</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820" w:hanging="812"/>
        <w:spacing w:after="0" w:line="306"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July 30, 2011, formatted in XBRL (eXtensible Business Reporting Language): (i) Consolidated Balance Sheets, (ii) Consolidated Statements of Operations, (iii) Consolidated Statements of Changes in Stockholders’ Equity, (iv) Consolidated Statements of Cash Flows, and (v) Notes to Consolidated Financial Statements.**</w:t>
      </w:r>
    </w:p>
    <w:p>
      <w:pPr>
        <w:spacing w:after="0" w:line="147" w:lineRule="exact"/>
        <w:rPr>
          <w:sz w:val="20"/>
          <w:szCs w:val="20"/>
          <w:color w:val="auto"/>
        </w:rPr>
      </w:pPr>
    </w:p>
    <w:p>
      <w:pPr>
        <w:ind w:left="460" w:right="24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type w:val="continuous"/>
        </w:sectPr>
      </w:pPr>
    </w:p>
    <w:bookmarkStart w:id="18" w:name="page19"/>
    <w:bookmarkEnd w:id="18"/>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August 19, 2011</w:t>
      </w:r>
      <w:r>
        <w:rPr>
          <w:sz w:val="20"/>
          <w:szCs w:val="20"/>
          <w:color w:val="auto"/>
        </w:rPr>
        <w:tab/>
      </w:r>
      <w:r>
        <w:rPr>
          <w:rFonts w:ascii="Arial" w:cs="Arial" w:eastAsia="Arial" w:hAnsi="Arial"/>
          <w:sz w:val="16"/>
          <w:szCs w:val="16"/>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Peter H. Stratton, Jr.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Senior Vice President of Finance, Corporate Controller</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Chief Accounting Officer</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240" w:top="280" w:right="11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Employment Agreement (“Agreement”) is made as of April 25, 2011 between CASUAL MALE RETAIL GROUP, INC., a Delaware corporation with an office at 555 Turnpike Street, Canton, Massachusetts, 02021 (the “Company” which term includes any affiliates and subsidiaries), and Angela Chew (the “Executive”) having an address at 40 Peck Avenue, Wayland, MA 01778.</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desires that Executive serve as Vice President – Global Sourcing and Executive desires to be so employed by the Company.</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Vice President – Global Sourcing.</w:t>
      </w:r>
    </w:p>
    <w:p>
      <w:pPr>
        <w:spacing w:after="0" w:line="286"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54"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140" w:firstLine="1492"/>
        <w:spacing w:after="0" w:line="255" w:lineRule="auto"/>
        <w:tabs>
          <w:tab w:leader="none" w:pos="1722" w:val="left"/>
        </w:tabs>
        <w:numPr>
          <w:ilvl w:val="1"/>
          <w:numId w:val="9"/>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One Hundred Ninety-Five Thousand Dollars and 00/100 Cents ($195,000.00)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ind w:right="20" w:firstLine="1492"/>
        <w:spacing w:after="0" w:line="294" w:lineRule="auto"/>
        <w:tabs>
          <w:tab w:leader="none" w:pos="1732" w:val="left"/>
        </w:tabs>
        <w:numPr>
          <w:ilvl w:val="1"/>
          <w:numId w:val="9"/>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(which shall be the total Base Salary as may be paid during the fiscal year (“Base Earnings”)). The actual award under the incentive program, if any, may be more or less</w:t>
      </w:r>
    </w:p>
    <w:p>
      <w:pPr>
        <w:sectPr>
          <w:pgSz w:w="11900" w:h="16838" w:orient="portrait"/>
          <w:cols w:equalWidth="0" w:num="1">
            <w:col w:w="11420"/>
          </w:cols>
          <w:pgMar w:left="240" w:top="125" w:right="239" w:bottom="1440" w:gutter="0" w:footer="0" w:header="0"/>
        </w:sectPr>
      </w:pPr>
    </w:p>
    <w:bookmarkStart w:id="20" w:name="page21"/>
    <w:bookmarkEnd w:id="20"/>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the target and will be based on Executive’s performance and the performance of the Company and payment will be made in accordance with and subject to the terms and conditions of the incentive program then in effect.</w:t>
      </w:r>
    </w:p>
    <w:p>
      <w:pPr>
        <w:spacing w:after="0" w:line="132" w:lineRule="exact"/>
        <w:rPr>
          <w:sz w:val="20"/>
          <w:szCs w:val="20"/>
          <w:color w:val="auto"/>
        </w:rPr>
      </w:pPr>
    </w:p>
    <w:p>
      <w:pPr>
        <w:ind w:firstLine="1492"/>
        <w:spacing w:after="0" w:line="255" w:lineRule="auto"/>
        <w:tabs>
          <w:tab w:leader="none" w:pos="1722"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1920" w:hanging="440"/>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20" w:firstLine="1484"/>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260" w:firstLine="1492"/>
        <w:spacing w:after="0" w:line="298" w:lineRule="auto"/>
        <w:tabs>
          <w:tab w:leader="none" w:pos="1722" w:val="left"/>
        </w:tabs>
        <w:numPr>
          <w:ilvl w:val="1"/>
          <w:numId w:val="12"/>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jc w:val="both"/>
        <w:ind w:right="40" w:firstLine="1492"/>
        <w:spacing w:after="0" w:line="298" w:lineRule="auto"/>
        <w:tabs>
          <w:tab w:leader="none" w:pos="1732"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Seven Thousand Two Hundred Dollars and 00/100 ($7,200.00)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113" w:lineRule="exact"/>
        <w:rPr>
          <w:sz w:val="20"/>
          <w:szCs w:val="20"/>
          <w:color w:val="auto"/>
        </w:rPr>
      </w:pPr>
    </w:p>
    <w:p>
      <w:pPr>
        <w:ind w:left="5680" w:right="2860" w:hanging="4188"/>
        <w:spacing w:after="0" w:line="440" w:lineRule="auto"/>
        <w:tabs>
          <w:tab w:leader="none" w:pos="17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380"/>
          </w:cols>
          <w:pgMar w:left="240" w:top="280" w:right="279" w:bottom="1440" w:gutter="0" w:footer="0" w:header="0"/>
        </w:sectPr>
      </w:pPr>
    </w:p>
    <w:bookmarkStart w:id="21" w:name="page22"/>
    <w:bookmarkEnd w:id="21"/>
    <w:p>
      <w:pPr>
        <w:ind w:left="1440" w:hanging="567"/>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w:t>
      </w:r>
    </w:p>
    <w:p>
      <w:pPr>
        <w:spacing w:after="0" w:line="90" w:lineRule="exact"/>
        <w:rPr>
          <w:rFonts w:ascii="Arial" w:cs="Arial" w:eastAsia="Arial" w:hAnsi="Arial"/>
          <w:sz w:val="18"/>
          <w:szCs w:val="18"/>
          <w:color w:val="auto"/>
        </w:rPr>
      </w:pPr>
    </w:p>
    <w:p>
      <w:pPr>
        <w:ind w:left="-40" w:right="140" w:firstLine="921"/>
        <w:spacing w:after="0" w:line="370" w:lineRule="auto"/>
        <w:tabs>
          <w:tab w:leader="none" w:pos="1112" w:val="left"/>
        </w:tabs>
        <w:numPr>
          <w:ilvl w:val="1"/>
          <w:numId w:val="14"/>
        </w:numPr>
        <w:rPr>
          <w:rFonts w:ascii="Arial" w:cs="Arial" w:eastAsia="Arial" w:hAnsi="Arial"/>
          <w:sz w:val="15"/>
          <w:szCs w:val="15"/>
          <w:color w:val="auto"/>
        </w:rPr>
      </w:pPr>
      <w:r>
        <w:rPr>
          <w:rFonts w:ascii="Arial" w:cs="Arial" w:eastAsia="Arial" w:hAnsi="Arial"/>
          <w:sz w:val="15"/>
          <w:szCs w:val="15"/>
          <w:color w:val="auto"/>
        </w:rPr>
        <w:t>Executive shall perform such duties and functions consistent with the position of Vice President – Global Sourcing and/or as the Company shall from time to time determine and Executive shall comply in the performance of her duties with the policies of, and be subject to the direction of the Company.</w:t>
      </w:r>
    </w:p>
    <w:p>
      <w:pPr>
        <w:spacing w:after="0" w:line="62" w:lineRule="exact"/>
        <w:rPr>
          <w:rFonts w:ascii="Arial" w:cs="Arial" w:eastAsia="Arial" w:hAnsi="Arial"/>
          <w:sz w:val="15"/>
          <w:szCs w:val="15"/>
          <w:color w:val="auto"/>
        </w:rPr>
      </w:pPr>
    </w:p>
    <w:p>
      <w:pPr>
        <w:ind w:left="-40" w:right="140" w:firstLine="921"/>
        <w:spacing w:after="0" w:line="298" w:lineRule="auto"/>
        <w:tabs>
          <w:tab w:leader="none" w:pos="1122" w:val="left"/>
        </w:tabs>
        <w:numPr>
          <w:ilvl w:val="1"/>
          <w:numId w:val="14"/>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Executive shall not be prevented from accepting positions in outside organizations so long as such activities do not interfere with Executive’s performance of her duties hereunder and do not violate paragraph 10 hereof.</w:t>
      </w:r>
    </w:p>
    <w:p>
      <w:pPr>
        <w:spacing w:after="0" w:line="112" w:lineRule="exact"/>
        <w:rPr>
          <w:rFonts w:ascii="Arial" w:cs="Arial" w:eastAsia="Arial" w:hAnsi="Arial"/>
          <w:sz w:val="16"/>
          <w:szCs w:val="16"/>
          <w:color w:val="auto"/>
        </w:rPr>
      </w:pPr>
    </w:p>
    <w:p>
      <w:pPr>
        <w:jc w:val="both"/>
        <w:ind w:left="-40" w:firstLine="921"/>
        <w:spacing w:after="0" w:line="306" w:lineRule="auto"/>
        <w:tabs>
          <w:tab w:leader="none" w:pos="1112"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228" w:lineRule="exact"/>
        <w:rPr>
          <w:rFonts w:ascii="Arial" w:cs="Arial" w:eastAsia="Arial" w:hAnsi="Arial"/>
          <w:sz w:val="16"/>
          <w:szCs w:val="16"/>
          <w:color w:val="auto"/>
        </w:rPr>
      </w:pPr>
    </w:p>
    <w:p>
      <w:pPr>
        <w:ind w:left="1440" w:hanging="567"/>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700" w:hanging="248"/>
        <w:spacing w:after="0"/>
        <w:tabs>
          <w:tab w:leader="none" w:pos="17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ind w:left="-40" w:right="180" w:firstLine="1948"/>
        <w:spacing w:after="0" w:line="259" w:lineRule="auto"/>
        <w:tabs>
          <w:tab w:leader="none" w:pos="2110" w:val="left"/>
        </w:tabs>
        <w:numPr>
          <w:ilvl w:val="3"/>
          <w:numId w:val="14"/>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2160" w:hanging="252"/>
        <w:spacing w:after="0"/>
        <w:tabs>
          <w:tab w:leader="none" w:pos="2160" w:val="left"/>
        </w:tabs>
        <w:numPr>
          <w:ilvl w:val="3"/>
          <w:numId w:val="14"/>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700" w:hanging="248"/>
        <w:spacing w:after="0"/>
        <w:tabs>
          <w:tab w:leader="none" w:pos="17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90" w:lineRule="exact"/>
        <w:rPr>
          <w:rFonts w:ascii="Arial" w:cs="Arial" w:eastAsia="Arial" w:hAnsi="Arial"/>
          <w:sz w:val="18"/>
          <w:szCs w:val="18"/>
          <w:color w:val="auto"/>
        </w:rPr>
      </w:pPr>
    </w:p>
    <w:p>
      <w:pPr>
        <w:ind w:left="2340" w:hanging="441"/>
        <w:spacing w:after="0"/>
        <w:tabs>
          <w:tab w:leader="none" w:pos="2340" w:val="left"/>
        </w:tabs>
        <w:numPr>
          <w:ilvl w:val="3"/>
          <w:numId w:val="14"/>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2340" w:right="440" w:hanging="441"/>
        <w:spacing w:after="0" w:line="268" w:lineRule="auto"/>
        <w:tabs>
          <w:tab w:leader="none" w:pos="2340" w:val="left"/>
        </w:tabs>
        <w:numPr>
          <w:ilvl w:val="3"/>
          <w:numId w:val="14"/>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50" w:lineRule="exact"/>
        <w:rPr>
          <w:rFonts w:ascii="Arial" w:cs="Arial" w:eastAsia="Arial" w:hAnsi="Arial"/>
          <w:sz w:val="18"/>
          <w:szCs w:val="18"/>
          <w:color w:val="auto"/>
        </w:rPr>
      </w:pPr>
    </w:p>
    <w:p>
      <w:pPr>
        <w:ind w:left="2340" w:hanging="441"/>
        <w:spacing w:after="0"/>
        <w:tabs>
          <w:tab w:leader="none" w:pos="2340" w:val="left"/>
        </w:tabs>
        <w:numPr>
          <w:ilvl w:val="3"/>
          <w:numId w:val="14"/>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22" w:name="page23"/>
    <w:bookmarkEnd w:id="22"/>
    <w:p>
      <w:pPr>
        <w:jc w:val="both"/>
        <w:ind w:left="-40" w:right="300" w:firstLine="1492"/>
        <w:spacing w:after="0" w:line="259" w:lineRule="auto"/>
        <w:tabs>
          <w:tab w:leader="none" w:pos="1682"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40" w:firstLine="1492"/>
        <w:spacing w:after="0" w:line="287" w:lineRule="auto"/>
        <w:tabs>
          <w:tab w:leader="none" w:pos="1692"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her termination of employment.</w:t>
      </w:r>
    </w:p>
    <w:p>
      <w:pPr>
        <w:spacing w:after="0" w:line="122" w:lineRule="exact"/>
        <w:rPr>
          <w:rFonts w:ascii="Arial" w:cs="Arial" w:eastAsia="Arial" w:hAnsi="Arial"/>
          <w:sz w:val="16"/>
          <w:szCs w:val="16"/>
          <w:color w:val="auto"/>
        </w:rPr>
      </w:pPr>
    </w:p>
    <w:p>
      <w:pPr>
        <w:ind w:left="-40" w:right="20" w:firstLine="921"/>
        <w:spacing w:after="0" w:line="289" w:lineRule="auto"/>
        <w:tabs>
          <w:tab w:leader="none" w:pos="11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her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jc w:val="both"/>
        <w:ind w:left="-40" w:firstLine="1492"/>
        <w:spacing w:after="0" w:line="259" w:lineRule="auto"/>
        <w:tabs>
          <w:tab w:leader="none" w:pos="16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140" w:lineRule="exact"/>
        <w:rPr>
          <w:rFonts w:ascii="Arial" w:cs="Arial" w:eastAsia="Arial" w:hAnsi="Arial"/>
          <w:sz w:val="18"/>
          <w:szCs w:val="18"/>
          <w:color w:val="auto"/>
        </w:rPr>
      </w:pPr>
    </w:p>
    <w:p>
      <w:pPr>
        <w:ind w:left="-40" w:right="80" w:firstLine="1492"/>
        <w:spacing w:after="0" w:line="335" w:lineRule="auto"/>
        <w:tabs>
          <w:tab w:leader="none" w:pos="1692" w:val="left"/>
        </w:tabs>
        <w:numPr>
          <w:ilvl w:val="1"/>
          <w:numId w:val="16"/>
        </w:numPr>
        <w:rPr>
          <w:rFonts w:ascii="Arial" w:cs="Arial" w:eastAsia="Arial" w:hAnsi="Arial"/>
          <w:sz w:val="15"/>
          <w:szCs w:val="15"/>
          <w:color w:val="auto"/>
        </w:rPr>
      </w:pPr>
      <w:r>
        <w:rPr>
          <w:rFonts w:ascii="Arial" w:cs="Arial" w:eastAsia="Arial" w:hAnsi="Arial"/>
          <w:sz w:val="15"/>
          <w:szCs w:val="15"/>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she begins to receive long-term disability insurance benefits under the policy provided by the Company pursuant to paragraph 5 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23" w:name="page24"/>
    <w:bookmarkEnd w:id="23"/>
    <w:p>
      <w:pPr>
        <w:ind w:left="-8" w:right="20" w:firstLine="1492"/>
        <w:spacing w:after="0" w:line="335" w:lineRule="auto"/>
        <w:tabs>
          <w:tab w:leader="none" w:pos="1724" w:val="left"/>
        </w:tabs>
        <w:numPr>
          <w:ilvl w:val="1"/>
          <w:numId w:val="1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88" w:lineRule="exact"/>
        <w:rPr>
          <w:rFonts w:ascii="Arial" w:cs="Arial" w:eastAsia="Arial" w:hAnsi="Arial"/>
          <w:sz w:val="15"/>
          <w:szCs w:val="15"/>
          <w:color w:val="auto"/>
        </w:rPr>
      </w:pPr>
    </w:p>
    <w:p>
      <w:pPr>
        <w:ind w:left="-8" w:right="20" w:firstLine="1492"/>
        <w:spacing w:after="0" w:line="301" w:lineRule="auto"/>
        <w:tabs>
          <w:tab w:leader="none" w:pos="1685" w:val="left"/>
        </w:tabs>
        <w:numPr>
          <w:ilvl w:val="1"/>
          <w:numId w:val="17"/>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w:t>
      </w:r>
    </w:p>
    <w:p>
      <w:pPr>
        <w:spacing w:after="0" w:line="4" w:lineRule="exact"/>
        <w:rPr>
          <w:rFonts w:ascii="Arial" w:cs="Arial" w:eastAsia="Arial" w:hAnsi="Arial"/>
          <w:sz w:val="15"/>
          <w:szCs w:val="15"/>
          <w:color w:val="auto"/>
        </w:rPr>
      </w:pPr>
    </w:p>
    <w:p>
      <w:pPr>
        <w:ind w:left="-8" w:firstLine="8"/>
        <w:spacing w:after="0" w:line="288" w:lineRule="auto"/>
        <w:tabs>
          <w:tab w:leader="none" w:pos="20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left="-8" w:right="260" w:firstLine="1492"/>
        <w:spacing w:after="0" w:line="268" w:lineRule="auto"/>
        <w:tabs>
          <w:tab w:leader="none" w:pos="16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2" w:lineRule="exact"/>
        <w:rPr>
          <w:sz w:val="20"/>
          <w:szCs w:val="20"/>
          <w:color w:val="auto"/>
        </w:rPr>
      </w:pPr>
    </w:p>
    <w:p>
      <w:pPr>
        <w:ind w:left="-8" w:right="100" w:firstLine="2404"/>
        <w:spacing w:after="0" w:line="256" w:lineRule="auto"/>
        <w:tabs>
          <w:tab w:leader="none" w:pos="25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24" w:name="page25"/>
    <w:bookmarkEnd w:id="24"/>
    <w:p>
      <w:pPr>
        <w:ind w:right="60" w:firstLine="2404"/>
        <w:spacing w:after="0" w:line="306" w:lineRule="auto"/>
        <w:tabs>
          <w:tab w:leader="none" w:pos="2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right="40" w:firstLine="2975"/>
        <w:spacing w:after="0" w:line="294" w:lineRule="auto"/>
        <w:tabs>
          <w:tab w:leader="none" w:pos="325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5" w:lineRule="exact"/>
        <w:rPr>
          <w:rFonts w:ascii="Arial" w:cs="Arial" w:eastAsia="Arial" w:hAnsi="Arial"/>
          <w:sz w:val="16"/>
          <w:szCs w:val="16"/>
          <w:color w:val="auto"/>
        </w:rPr>
      </w:pPr>
    </w:p>
    <w:p>
      <w:pPr>
        <w:ind w:left="3260" w:hanging="285"/>
        <w:spacing w:after="0"/>
        <w:tabs>
          <w:tab w:leader="none" w:pos="32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vested and unvested Awards (as that term is defined in the 2006 Incentive Compensation Plan) then held by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 shall immediately expire; and</w:t>
      </w:r>
    </w:p>
    <w:p>
      <w:pPr>
        <w:spacing w:after="0" w:line="164" w:lineRule="exact"/>
        <w:rPr>
          <w:rFonts w:ascii="Arial" w:cs="Arial" w:eastAsia="Arial" w:hAnsi="Arial"/>
          <w:sz w:val="16"/>
          <w:szCs w:val="16"/>
          <w:color w:val="auto"/>
        </w:rPr>
      </w:pPr>
    </w:p>
    <w:p>
      <w:pPr>
        <w:ind w:firstLine="2975"/>
        <w:spacing w:after="0" w:line="289" w:lineRule="auto"/>
        <w:tabs>
          <w:tab w:leader="none" w:pos="324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5" w:name="page26"/>
    <w:bookmarkEnd w:id="25"/>
    <w:p>
      <w:pPr>
        <w:ind w:left="-20" w:right="260" w:firstLine="1492"/>
        <w:spacing w:after="0" w:line="268" w:lineRule="auto"/>
        <w:tabs>
          <w:tab w:leader="none" w:pos="1712" w:val="left"/>
        </w:tabs>
        <w:numPr>
          <w:ilvl w:val="2"/>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payment pursuant to paragraph 7(e) or 7(j) shall be contingent upon Executive’s execution of the General Release within 21 days after termination of the Term of Employment, and the Executive’s not revoking that release.</w:t>
      </w:r>
    </w:p>
    <w:p>
      <w:pPr>
        <w:spacing w:after="0" w:line="253" w:lineRule="exact"/>
        <w:rPr>
          <w:rFonts w:ascii="Arial" w:cs="Arial" w:eastAsia="Arial" w:hAnsi="Arial"/>
          <w:sz w:val="18"/>
          <w:szCs w:val="18"/>
          <w:color w:val="auto"/>
        </w:rPr>
      </w:pPr>
    </w:p>
    <w:p>
      <w:pPr>
        <w:ind w:left="1460" w:hanging="56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left="-20" w:right="160" w:firstLine="921"/>
        <w:spacing w:after="0" w:line="291" w:lineRule="auto"/>
        <w:tabs>
          <w:tab w:leader="none" w:pos="1132" w:val="left"/>
        </w:tabs>
        <w:numPr>
          <w:ilvl w:val="1"/>
          <w:numId w:val="22"/>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jc w:val="both"/>
        <w:ind w:left="-20" w:right="80" w:firstLine="921"/>
        <w:spacing w:after="0" w:line="259" w:lineRule="auto"/>
        <w:tabs>
          <w:tab w:leader="none" w:pos="114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left="-20" w:right="40" w:firstLine="1948"/>
        <w:spacing w:after="0" w:line="289" w:lineRule="auto"/>
        <w:tabs>
          <w:tab w:leader="none" w:pos="2130" w:val="left"/>
        </w:tabs>
        <w:numPr>
          <w:ilvl w:val="3"/>
          <w:numId w:val="22"/>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left="-20" w:firstLine="1948"/>
        <w:spacing w:after="0" w:line="268" w:lineRule="auto"/>
        <w:tabs>
          <w:tab w:leader="none" w:pos="2178" w:val="left"/>
        </w:tabs>
        <w:numPr>
          <w:ilvl w:val="3"/>
          <w:numId w:val="22"/>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her separation from service, the Executive is a “key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26" w:name="page27"/>
    <w:bookmarkEnd w:id="26"/>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85" w:lineRule="exact"/>
        <w:rPr>
          <w:sz w:val="20"/>
          <w:szCs w:val="20"/>
          <w:color w:val="auto"/>
        </w:rPr>
      </w:pPr>
    </w:p>
    <w:p>
      <w:pPr>
        <w:ind w:right="180" w:firstLine="921"/>
        <w:spacing w:after="0" w:line="259" w:lineRule="auto"/>
        <w:tabs>
          <w:tab w:leader="none" w:pos="1162"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20" w:firstLine="921"/>
        <w:spacing w:after="0" w:line="306" w:lineRule="auto"/>
        <w:tabs>
          <w:tab w:leader="none" w:pos="1152" w:val="left"/>
        </w:tabs>
        <w:numPr>
          <w:ilvl w:val="1"/>
          <w:numId w:val="23"/>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171" w:lineRule="exact"/>
        <w:rPr>
          <w:rFonts w:ascii="Arial" w:cs="Arial" w:eastAsia="Arial" w:hAnsi="Arial"/>
          <w:sz w:val="18"/>
          <w:szCs w:val="18"/>
          <w:color w:val="auto"/>
        </w:rPr>
      </w:pPr>
    </w:p>
    <w:p>
      <w:pPr>
        <w:ind w:firstLine="1948"/>
        <w:spacing w:after="0" w:line="335" w:lineRule="auto"/>
        <w:tabs>
          <w:tab w:leader="none" w:pos="2150" w:val="left"/>
        </w:tabs>
        <w:numPr>
          <w:ilvl w:val="3"/>
          <w:numId w:val="23"/>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88" w:lineRule="exact"/>
        <w:rPr>
          <w:rFonts w:ascii="Arial" w:cs="Arial" w:eastAsia="Arial" w:hAnsi="Arial"/>
          <w:sz w:val="15"/>
          <w:szCs w:val="15"/>
          <w:color w:val="auto"/>
        </w:rPr>
      </w:pPr>
    </w:p>
    <w:p>
      <w:pPr>
        <w:ind w:right="200" w:firstLine="1948"/>
        <w:spacing w:after="0" w:line="268" w:lineRule="auto"/>
        <w:tabs>
          <w:tab w:leader="none" w:pos="2198" w:val="left"/>
        </w:tabs>
        <w:numPr>
          <w:ilvl w:val="3"/>
          <w:numId w:val="2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2260" w:hanging="312"/>
        <w:spacing w:after="0"/>
        <w:tabs>
          <w:tab w:leader="none" w:pos="2260" w:val="left"/>
        </w:tabs>
        <w:numPr>
          <w:ilvl w:val="3"/>
          <w:numId w:val="23"/>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92" w:lineRule="exact"/>
        <w:rPr>
          <w:rFonts w:ascii="Arial" w:cs="Arial" w:eastAsia="Arial" w:hAnsi="Arial"/>
          <w:sz w:val="18"/>
          <w:szCs w:val="18"/>
          <w:color w:val="auto"/>
        </w:rPr>
      </w:pPr>
    </w:p>
    <w:p>
      <w:pPr>
        <w:ind w:left="1480" w:hanging="567"/>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firstLine="1492"/>
        <w:spacing w:after="0" w:line="259" w:lineRule="auto"/>
        <w:tabs>
          <w:tab w:leader="none" w:pos="1722" w:val="left"/>
        </w:tabs>
        <w:numPr>
          <w:ilvl w:val="2"/>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27" w:name="page28"/>
    <w:bookmarkEnd w:id="27"/>
    <w:p>
      <w:pPr>
        <w:ind w:right="100" w:firstLine="1492"/>
        <w:spacing w:after="0" w:line="259" w:lineRule="auto"/>
        <w:tabs>
          <w:tab w:leader="none" w:pos="1732"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80" w:firstLine="1492"/>
        <w:spacing w:after="0" w:line="259" w:lineRule="auto"/>
        <w:tabs>
          <w:tab w:leader="none" w:pos="17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40" w:lineRule="exact"/>
        <w:rPr>
          <w:rFonts w:ascii="Arial" w:cs="Arial" w:eastAsia="Arial" w:hAnsi="Arial"/>
          <w:sz w:val="18"/>
          <w:szCs w:val="18"/>
          <w:color w:val="auto"/>
        </w:rPr>
      </w:pPr>
    </w:p>
    <w:p>
      <w:pPr>
        <w:ind w:right="160" w:firstLine="1492"/>
        <w:spacing w:after="0" w:line="259" w:lineRule="auto"/>
        <w:tabs>
          <w:tab w:leader="none" w:pos="17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 party to any judicial or administrative proceeding that resulted in a judgement, decree, or final order (i) enjoining her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Executive represents and warrants that she has never been accused of any impropriety in connection with any employment;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293" w:lineRule="exact"/>
        <w:rPr>
          <w:sz w:val="20"/>
          <w:szCs w:val="20"/>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firstLine="921"/>
        <w:spacing w:after="0" w:line="312" w:lineRule="auto"/>
        <w:tabs>
          <w:tab w:leader="none" w:pos="1152" w:val="left"/>
        </w:tabs>
        <w:numPr>
          <w:ilvl w:val="0"/>
          <w:numId w:val="27"/>
        </w:numPr>
        <w:rPr>
          <w:rFonts w:ascii="Arial" w:cs="Arial" w:eastAsia="Arial" w:hAnsi="Arial"/>
          <w:sz w:val="15"/>
          <w:szCs w:val="15"/>
          <w:color w:val="auto"/>
        </w:rPr>
      </w:pPr>
      <w:r>
        <w:rPr>
          <w:rFonts w:ascii="Arial" w:cs="Arial" w:eastAsia="Arial" w:hAnsi="Arial"/>
          <w:sz w:val="15"/>
          <w:szCs w:val="15"/>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8" w:name="page29"/>
    <w:bookmarkEnd w:id="28"/>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16" w:lineRule="exact"/>
        <w:rPr>
          <w:sz w:val="20"/>
          <w:szCs w:val="20"/>
          <w:color w:val="auto"/>
        </w:rPr>
      </w:pPr>
    </w:p>
    <w:p>
      <w:pPr>
        <w:ind w:right="140" w:firstLine="921"/>
        <w:spacing w:after="0" w:line="255"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firstLine="921"/>
        <w:spacing w:after="0" w:line="294" w:lineRule="auto"/>
        <w:tabs>
          <w:tab w:leader="none" w:pos="11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0" w:firstLine="921"/>
        <w:spacing w:after="0" w:line="256"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5"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right="20" w:firstLine="921"/>
        <w:spacing w:after="0" w:line="294" w:lineRule="auto"/>
        <w:tabs>
          <w:tab w:leader="none" w:pos="11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9" w:name="page30"/>
    <w:bookmarkEnd w:id="2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activities of the Company or its subsidiaries and affiliates known to her as a consequence of her employment or the rendering of advisory and consulting services hereunder (collectively the “Subject Matter”).</w:t>
      </w:r>
    </w:p>
    <w:p>
      <w:pPr>
        <w:spacing w:after="0" w:line="132" w:lineRule="exact"/>
        <w:rPr>
          <w:sz w:val="20"/>
          <w:szCs w:val="20"/>
          <w:color w:val="auto"/>
        </w:rPr>
      </w:pPr>
    </w:p>
    <w:p>
      <w:pPr>
        <w:ind w:right="60" w:firstLine="921"/>
        <w:spacing w:after="0" w:line="289" w:lineRule="auto"/>
        <w:tabs>
          <w:tab w:leader="none" w:pos="1162"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40"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921"/>
        <w:spacing w:after="0" w:line="285" w:lineRule="auto"/>
        <w:tabs>
          <w:tab w:leader="none" w:pos="11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6" w:lineRule="exact"/>
        <w:rPr>
          <w:rFonts w:ascii="Arial" w:cs="Arial" w:eastAsia="Arial" w:hAnsi="Arial"/>
          <w:sz w:val="16"/>
          <w:szCs w:val="16"/>
          <w:color w:val="auto"/>
        </w:rPr>
      </w:pPr>
    </w:p>
    <w:p>
      <w:pPr>
        <w:ind w:firstLine="921"/>
        <w:spacing w:after="0" w:line="268" w:lineRule="auto"/>
        <w:tabs>
          <w:tab w:leader="none" w:pos="11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information and documents relating to the Company and its subsidiaries or affiliates as herein above described (or other business affairs) shall be the exclusive property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30" w:name="page31"/>
    <w:bookmarkEnd w:id="30"/>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62"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30" w:lineRule="exact"/>
        <w:rPr>
          <w:sz w:val="20"/>
          <w:szCs w:val="20"/>
          <w:color w:val="auto"/>
        </w:rPr>
      </w:pPr>
    </w:p>
    <w:p>
      <w:pPr>
        <w:ind w:left="1480" w:hanging="567"/>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amendment or alteration of the terms of this Agreement shall be valid unless made in writing and signed by both of the parties hereto.</w:t>
      </w:r>
    </w:p>
    <w:p>
      <w:pPr>
        <w:spacing w:after="0" w:line="316" w:lineRule="exact"/>
        <w:rPr>
          <w:sz w:val="20"/>
          <w:szCs w:val="20"/>
          <w:color w:val="auto"/>
        </w:rPr>
      </w:pPr>
    </w:p>
    <w:p>
      <w:pPr>
        <w:ind w:left="1480" w:hanging="56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1480" w:hanging="56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31" w:name="page32"/>
    <w:bookmarkEnd w:id="31"/>
    <w:p>
      <w:pPr>
        <w:ind w:left="1480" w:hanging="567"/>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OR BREACH</w:t>
      </w:r>
    </w:p>
    <w:p>
      <w:pPr>
        <w:spacing w:after="0" w:line="9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54" w:lineRule="exact"/>
        <w:rPr>
          <w:sz w:val="20"/>
          <w:szCs w:val="20"/>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40" w:lineRule="exact"/>
        <w:rPr>
          <w:sz w:val="20"/>
          <w:szCs w:val="20"/>
          <w:color w:val="auto"/>
        </w:rPr>
      </w:pPr>
    </w:p>
    <w:p>
      <w:pPr>
        <w:ind w:left="1480" w:hanging="567"/>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54" w:lineRule="exact"/>
        <w:rPr>
          <w:sz w:val="20"/>
          <w:szCs w:val="20"/>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34" w:lineRule="exact"/>
        <w:rPr>
          <w:sz w:val="20"/>
          <w:szCs w:val="20"/>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32" w:name="page33"/>
    <w:bookmarkEnd w:id="32"/>
    <w:p>
      <w:pPr>
        <w:ind w:left="1480" w:hanging="567"/>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ASSURANCES</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right="7300" w:firstLine="913"/>
        <w:spacing w:after="0" w:line="362" w:lineRule="auto"/>
        <w:tabs>
          <w:tab w:leader="none" w:pos="147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50" w:lineRule="exact"/>
        <w:rPr>
          <w:rFonts w:ascii="Arial" w:cs="Arial" w:eastAsia="Arial" w:hAnsi="Arial"/>
          <w:sz w:val="18"/>
          <w:szCs w:val="18"/>
          <w:color w:val="auto"/>
        </w:rPr>
      </w:pPr>
    </w:p>
    <w:p>
      <w:pPr>
        <w:ind w:firstLine="1948"/>
        <w:spacing w:after="0" w:line="259" w:lineRule="auto"/>
        <w:tabs>
          <w:tab w:leader="none" w:pos="217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right="40" w:firstLine="1948"/>
        <w:spacing w:after="0" w:line="256" w:lineRule="auto"/>
        <w:tabs>
          <w:tab w:leader="none" w:pos="2189"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64" w:lineRule="exact"/>
        <w:rPr>
          <w:rFonts w:ascii="Arial" w:cs="Arial" w:eastAsia="Arial" w:hAnsi="Arial"/>
          <w:sz w:val="18"/>
          <w:szCs w:val="18"/>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1480" w:hanging="567"/>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33" w:name="page34"/>
    <w:bookmarkEnd w:id="3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under seal, as of the date and year first above written.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0"/>
                <w:szCs w:val="20"/>
                <w:color w:val="auto"/>
              </w:rPr>
            </w:pPr>
            <w:r>
              <w:rPr>
                <w:rFonts w:ascii="Arial" w:cs="Arial" w:eastAsia="Arial" w:hAnsi="Arial"/>
                <w:sz w:val="18"/>
                <w:szCs w:val="18"/>
                <w:color w:val="auto"/>
              </w:rPr>
              <w:t>/s/ DAVID A. LEVIN</w:t>
            </w:r>
          </w:p>
        </w:tc>
        <w:tc>
          <w:tcPr>
            <w:tcW w:w="1340" w:type="dxa"/>
            <w:vAlign w:val="bottom"/>
          </w:tcPr>
          <w:p>
            <w:pPr>
              <w:ind w:left="780"/>
              <w:spacing w:after="0"/>
              <w:rPr>
                <w:sz w:val="20"/>
                <w:szCs w:val="20"/>
                <w:color w:val="auto"/>
              </w:rPr>
            </w:pPr>
            <w:r>
              <w:rPr>
                <w:rFonts w:ascii="Arial" w:cs="Arial" w:eastAsia="Arial" w:hAnsi="Arial"/>
                <w:sz w:val="18"/>
                <w:szCs w:val="18"/>
                <w:color w:val="auto"/>
              </w:rPr>
              <w:t>Date:</w:t>
            </w: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June 20, 2011</w:t>
            </w: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David A. Levin</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68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0"/>
                <w:szCs w:val="20"/>
                <w:color w:val="auto"/>
              </w:rPr>
            </w:pPr>
            <w:r>
              <w:rPr>
                <w:rFonts w:ascii="Arial" w:cs="Arial" w:eastAsia="Arial" w:hAnsi="Arial"/>
                <w:sz w:val="18"/>
                <w:szCs w:val="18"/>
                <w:color w:val="auto"/>
              </w:rPr>
              <w:t>/s/ DENNIS R. HERNREICH</w:t>
            </w:r>
          </w:p>
        </w:tc>
        <w:tc>
          <w:tcPr>
            <w:tcW w:w="1340" w:type="dxa"/>
            <w:vAlign w:val="bottom"/>
          </w:tcPr>
          <w:p>
            <w:pPr>
              <w:ind w:left="780"/>
              <w:spacing w:after="0"/>
              <w:rPr>
                <w:sz w:val="20"/>
                <w:szCs w:val="20"/>
                <w:color w:val="auto"/>
              </w:rPr>
            </w:pPr>
            <w:r>
              <w:rPr>
                <w:rFonts w:ascii="Arial" w:cs="Arial" w:eastAsia="Arial" w:hAnsi="Arial"/>
                <w:sz w:val="18"/>
                <w:szCs w:val="18"/>
                <w:color w:val="auto"/>
              </w:rPr>
              <w:t>Date:</w:t>
            </w: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June 20, 2011</w:t>
            </w: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Dennis R. Hernreich</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680" w:type="dxa"/>
            <w:vAlign w:val="bottom"/>
          </w:tcPr>
          <w:p>
            <w:pPr>
              <w:spacing w:after="0"/>
              <w:rPr>
                <w:sz w:val="20"/>
                <w:szCs w:val="20"/>
                <w:color w:val="auto"/>
              </w:rPr>
            </w:pPr>
            <w:r>
              <w:rPr>
                <w:rFonts w:ascii="Arial" w:cs="Arial" w:eastAsia="Arial" w:hAnsi="Arial"/>
                <w:sz w:val="18"/>
                <w:szCs w:val="18"/>
                <w:color w:val="auto"/>
              </w:rPr>
              <w:t>Executive VP, COO, CFO</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5300" w:type="dxa"/>
            <w:vAlign w:val="bottom"/>
            <w:gridSpan w:val="2"/>
          </w:tcPr>
          <w:p>
            <w:pPr>
              <w:spacing w:after="0"/>
              <w:rPr>
                <w:sz w:val="20"/>
                <w:szCs w:val="20"/>
                <w:color w:val="auto"/>
              </w:rPr>
            </w:pPr>
            <w:r>
              <w:rPr>
                <w:rFonts w:ascii="Arial" w:cs="Arial" w:eastAsia="Arial" w:hAnsi="Arial"/>
                <w:sz w:val="18"/>
                <w:szCs w:val="18"/>
                <w:color w:val="auto"/>
              </w:rPr>
              <w:t>/s/ ANGELA CHEW</w:t>
            </w:r>
          </w:p>
        </w:tc>
        <w:tc>
          <w:tcPr>
            <w:tcW w:w="1340" w:type="dxa"/>
            <w:vAlign w:val="bottom"/>
          </w:tcPr>
          <w:p>
            <w:pPr>
              <w:ind w:left="780"/>
              <w:spacing w:after="0"/>
              <w:rPr>
                <w:sz w:val="20"/>
                <w:szCs w:val="20"/>
                <w:color w:val="auto"/>
              </w:rPr>
            </w:pPr>
            <w:r>
              <w:rPr>
                <w:rFonts w:ascii="Arial" w:cs="Arial" w:eastAsia="Arial" w:hAnsi="Arial"/>
                <w:sz w:val="18"/>
                <w:szCs w:val="18"/>
                <w:color w:val="auto"/>
              </w:rPr>
              <w:t>Date:</w:t>
            </w: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June 20, 2011</w:t>
            </w:r>
          </w:p>
        </w:tc>
        <w:tc>
          <w:tcPr>
            <w:tcW w:w="0" w:type="dxa"/>
            <w:vAlign w:val="bottom"/>
          </w:tcPr>
          <w:p>
            <w:pPr>
              <w:spacing w:after="0"/>
              <w:rPr>
                <w:sz w:val="1"/>
                <w:szCs w:val="1"/>
                <w:color w:val="auto"/>
              </w:rPr>
            </w:pP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Arial" w:cs="Arial" w:eastAsia="Arial" w:hAnsi="Arial"/>
                <w:sz w:val="18"/>
                <w:szCs w:val="18"/>
                <w:color w:val="auto"/>
              </w:rPr>
              <w:t>Angela Chew</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40" w:type="dxa"/>
            <w:vAlign w:val="bottom"/>
          </w:tcPr>
          <w:p>
            <w:pPr>
              <w:jc w:val="right"/>
              <w:ind w:right="752"/>
              <w:spacing w:after="0"/>
              <w:rPr>
                <w:sz w:val="20"/>
                <w:szCs w:val="20"/>
                <w:color w:val="auto"/>
              </w:rPr>
            </w:pPr>
            <w:r>
              <w:rPr>
                <w:rFonts w:ascii="Arial" w:cs="Arial" w:eastAsia="Arial" w:hAnsi="Arial"/>
                <w:sz w:val="18"/>
                <w:szCs w:val="18"/>
                <w:color w:val="auto"/>
              </w:rPr>
              <w:t>15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0"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921"/>
        <w:spacing w:after="0" w:line="285" w:lineRule="auto"/>
        <w:tabs>
          <w:tab w:leader="none" w:pos="104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Angela Chew (“</w:t>
      </w:r>
      <w:r>
        <w:rPr>
          <w:rFonts w:ascii="Arial" w:cs="Arial" w:eastAsia="Arial" w:hAnsi="Arial"/>
          <w:sz w:val="16"/>
          <w:szCs w:val="16"/>
          <w:u w:val="single" w:color="auto"/>
          <w:color w:val="auto"/>
        </w:rPr>
        <w:t>Executive</w:t>
      </w:r>
      <w:r>
        <w:rPr>
          <w:rFonts w:ascii="Arial" w:cs="Arial" w:eastAsia="Arial" w:hAnsi="Arial"/>
          <w:sz w:val="16"/>
          <w:szCs w:val="16"/>
          <w:color w:val="auto"/>
        </w:rPr>
        <w:t>”), for herself and her family, heirs, executors, administrators, legal representatives and their respective successors and assigns, in exchange for good and valuable consideration to be paid after the date of her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her to consult with an attorney of her choosing, and through this General Release of Claims encourages her to consult with her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she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80" w:right="259" w:bottom="1440" w:gutter="0" w:footer="0" w:header="0"/>
        </w:sectPr>
      </w:pPr>
    </w:p>
    <w:bookmarkStart w:id="35" w:name="page36"/>
    <w:bookmarkEnd w:id="3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80" w:right="359" w:bottom="1440" w:gutter="0" w:footer="0" w:header="0"/>
        </w:sectPr>
      </w:pPr>
    </w:p>
    <w:bookmarkStart w:id="36" w:name="page37"/>
    <w:bookmarkEnd w:id="36"/>
    <w:p>
      <w:pPr>
        <w:jc w:val="both"/>
        <w:ind w:firstLine="921"/>
        <w:spacing w:after="0" w:line="294" w:lineRule="auto"/>
        <w:tabs>
          <w:tab w:leader="none" w:pos="1088"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her right to commence a Proceeding to challenge whether Executive knowingly and voluntarily waived her rights under ADEA.</w:t>
      </w:r>
    </w:p>
    <w:p>
      <w:pPr>
        <w:spacing w:after="0" w:line="115" w:lineRule="exact"/>
        <w:rPr>
          <w:rFonts w:ascii="Arial" w:cs="Arial" w:eastAsia="Arial" w:hAnsi="Arial"/>
          <w:sz w:val="16"/>
          <w:szCs w:val="16"/>
          <w:color w:val="auto"/>
        </w:rPr>
      </w:pPr>
    </w:p>
    <w:p>
      <w:pPr>
        <w:ind w:firstLine="921"/>
        <w:spacing w:after="0" w:line="256" w:lineRule="auto"/>
        <w:tabs>
          <w:tab w:leader="none" w:pos="10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her that she has up to twenty-one (21) days to sign this General Release of Claims and she may knowingly and voluntarily waive that twenty-one (21) day period by signing this General Release of Claims earlier. Executive also understands that she shall have seven (7) days following the date on which she signs this General Release of Claims within which to revoke it by providing a written notice of her revocation to the Company.</w:t>
      </w:r>
    </w:p>
    <w:p>
      <w:pPr>
        <w:spacing w:after="0" w:line="143" w:lineRule="exact"/>
        <w:rPr>
          <w:rFonts w:ascii="Arial" w:cs="Arial" w:eastAsia="Arial" w:hAnsi="Arial"/>
          <w:sz w:val="18"/>
          <w:szCs w:val="18"/>
          <w:color w:val="auto"/>
        </w:rPr>
      </w:pPr>
    </w:p>
    <w:p>
      <w:pPr>
        <w:ind w:right="60" w:firstLine="921"/>
        <w:spacing w:after="0" w:line="268" w:lineRule="auto"/>
        <w:tabs>
          <w:tab w:leader="none" w:pos="10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ind w:right="140" w:firstLine="921"/>
        <w:spacing w:after="0" w:line="259" w:lineRule="auto"/>
        <w:tabs>
          <w:tab w:leader="none" w:pos="10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acknowledges that she has read this General Release of Claims, that she has been advised that she should consult with an attorney before she executes this general release of claims, and that she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right="480" w:firstLine="921"/>
        <w:spacing w:after="0" w:line="268" w:lineRule="auto"/>
        <w:tabs>
          <w:tab w:leader="none" w:pos="10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252095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Angela Chew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30, 2011,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August 19, 2011</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30, 2011,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August 19, 2011</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2"/>
    </w:lvl>
  </w:abstractNum>
  <w:abstractNum w:abstractNumId="2">
    <w:nsid w:val="71F32454"/>
    <w:multiLevelType w:val="hybridMultilevel"/>
    <w:lvl w:ilvl="0">
      <w:lvlJc w:val="left"/>
      <w:lvlText w:val="%1."/>
      <w:numFmt w:val="decimal"/>
      <w:start w:val="3"/>
    </w:lvl>
  </w:abstractNum>
  <w:abstractNum w:abstractNumId="3">
    <w:nsid w:val="2CA88611"/>
    <w:multiLevelType w:val="hybridMultilevel"/>
    <w:lvl w:ilvl="0">
      <w:lvlJc w:val="left"/>
      <w:lvlText w:val="%1."/>
      <w:numFmt w:val="decimal"/>
      <w:start w:val="4"/>
    </w:lvl>
  </w:abstractNum>
  <w:abstractNum w:abstractNumId="4">
    <w:nsid w:val="836C40E"/>
    <w:multiLevelType w:val="hybridMultilevel"/>
    <w:lvl w:ilvl="0">
      <w:lvlJc w:val="left"/>
      <w:lvlText w:val="%1"/>
      <w:numFmt w:val="decimal"/>
      <w:start w:val="10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2"/>
    </w:lvl>
  </w:abstractNum>
  <w:abstractNum w:abstractNumId="8">
    <w:nsid w:val="1E7FF521"/>
    <w:multiLevelType w:val="hybridMultilevel"/>
    <w:lvl w:ilvl="0">
      <w:lvlJc w:val="left"/>
      <w:lvlText w:val="%1."/>
      <w:numFmt w:val="decimal"/>
      <w:start w:val="3"/>
    </w:lvl>
    <w:lvl w:ilvl="1">
      <w:lvlJc w:val="left"/>
      <w:lvlText w:val="(%2)"/>
      <w:numFmt w:val="lowerLetter"/>
      <w:start w:val="1"/>
    </w:lvl>
  </w:abstractNum>
  <w:abstractNum w:abstractNumId="9">
    <w:nsid w:val="7C3DBD3D"/>
    <w:multiLevelType w:val="hybridMultilevel"/>
    <w:lvl w:ilvl="0">
      <w:lvlJc w:val="left"/>
      <w:lvlText w:val="%1"/>
      <w:numFmt w:val="decimal"/>
      <w:start w:val="1"/>
    </w:lvl>
    <w:lvl w:ilvl="1">
      <w:lvlJc w:val="left"/>
      <w:lvlText w:val="(%2)"/>
      <w:numFmt w:val="lowerLetter"/>
      <w:start w:val="3"/>
    </w:lvl>
  </w:abstractNum>
  <w:abstractNum w:abstractNumId="10">
    <w:nsid w:val="737B8DDC"/>
    <w:multiLevelType w:val="hybridMultilevel"/>
    <w:lvl w:ilvl="0">
      <w:lvlJc w:val="left"/>
      <w:lvlText w:val="%1."/>
      <w:numFmt w:val="decimal"/>
      <w:start w:val="4"/>
    </w:lvl>
    <w:lvl w:ilvl="1">
      <w:lvlJc w:val="left"/>
      <w:lvlText w:val="%2"/>
      <w:numFmt w:val="lowerLetter"/>
      <w:start w:val="1"/>
    </w:lvl>
  </w:abstractNum>
  <w:abstractNum w:abstractNumId="11">
    <w:nsid w:val="6CEAF087"/>
    <w:multiLevelType w:val="hybridMultilevel"/>
    <w:lvl w:ilvl="0">
      <w:lvlJc w:val="left"/>
      <w:lvlText w:val="%1."/>
      <w:numFmt w:val="decimal"/>
      <w:start w:val="5"/>
    </w:lvl>
    <w:lvl w:ilvl="1">
      <w:lvlJc w:val="left"/>
      <w:lvlText w:val="(%2)"/>
      <w:numFmt w:val="lowerLetter"/>
      <w:start w:val="1"/>
    </w:lvl>
  </w:abstractNum>
  <w:abstractNum w:abstractNumId="12">
    <w:nsid w:val="22221A70"/>
    <w:multiLevelType w:val="hybridMultilevel"/>
    <w:lvl w:ilvl="0">
      <w:lvlJc w:val="left"/>
      <w:lvlText w:val="(%1)"/>
      <w:numFmt w:val="lowerLetter"/>
      <w:start w:val="2"/>
    </w:lvl>
  </w:abstractNum>
  <w:abstractNum w:abstractNumId="13">
    <w:nsid w:val="4516DDE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4">
    <w:nsid w:val="3006C83E"/>
    <w:multiLevelType w:val="hybridMultilevel"/>
    <w:lvl w:ilvl="0">
      <w:lvlJc w:val="left"/>
      <w:lvlText w:val="%1"/>
      <w:numFmt w:val="lowerLetter"/>
      <w:start w:val="1"/>
    </w:lvl>
    <w:lvl w:ilvl="1">
      <w:lvlJc w:val="left"/>
      <w:lvlText w:val="(%2)"/>
      <w:numFmt w:val="lowerLetter"/>
      <w:start w:val="3"/>
    </w:lvl>
  </w:abstractNum>
  <w:abstractNum w:abstractNumId="15">
    <w:nsid w:val="614FD4A1"/>
    <w:multiLevelType w:val="hybridMultilevel"/>
    <w:lvl w:ilvl="0">
      <w:lvlJc w:val="left"/>
      <w:lvlText w:val="(%1)"/>
      <w:numFmt w:val="lowerLetter"/>
      <w:start w:val="5"/>
    </w:lvl>
    <w:lvl w:ilvl="1">
      <w:lvlJc w:val="left"/>
      <w:lvlText w:val="(%2)"/>
      <w:numFmt w:val="lowerLetter"/>
      <w:start w:val="6"/>
    </w:lvl>
  </w:abstractNum>
  <w:abstractNum w:abstractNumId="16">
    <w:nsid w:val="419AC241"/>
    <w:multiLevelType w:val="hybridMultilevel"/>
    <w:lvl w:ilvl="0">
      <w:lvlJc w:val="left"/>
      <w:lvlText w:val="%1"/>
      <w:numFmt w:val="lowerLetter"/>
      <w:start w:val="1"/>
    </w:lvl>
    <w:lvl w:ilvl="1">
      <w:lvlJc w:val="left"/>
      <w:lvlText w:val="(%2)"/>
      <w:numFmt w:val="lowerLetter"/>
      <w:start w:val="8"/>
    </w:lvl>
  </w:abstractNum>
  <w:abstractNum w:abstractNumId="17">
    <w:nsid w:val="5577F8E1"/>
    <w:multiLevelType w:val="hybridMultilevel"/>
    <w:lvl w:ilvl="0">
      <w:lvlJc w:val="left"/>
      <w:lvlText w:val="(%1)"/>
      <w:numFmt w:val="lowerLetter"/>
      <w:start w:val="9"/>
    </w:lvl>
    <w:lvl w:ilvl="1">
      <w:lvlJc w:val="left"/>
      <w:lvlText w:val="(%2)"/>
      <w:numFmt w:val="lowerLetter"/>
      <w:start w:val="10"/>
    </w:lvl>
  </w:abstractNum>
  <w:abstractNum w:abstractNumId="18">
    <w:nsid w:val="440BADFC"/>
    <w:multiLevelType w:val="hybridMultilevel"/>
    <w:lvl w:ilvl="0">
      <w:lvlJc w:val="left"/>
      <w:lvlText w:val="(%1)"/>
      <w:numFmt w:val="lowerRoman"/>
      <w:start w:val="1"/>
    </w:lvl>
  </w:abstractNum>
  <w:abstractNum w:abstractNumId="19">
    <w:nsid w:val="5072367"/>
    <w:multiLevelType w:val="hybridMultilevel"/>
    <w:lvl w:ilvl="0">
      <w:lvlJc w:val="left"/>
      <w:lvlText w:val="(%1)"/>
      <w:numFmt w:val="lowerRoman"/>
      <w:start w:val="2"/>
    </w:lvl>
    <w:lvl w:ilvl="1">
      <w:lvlJc w:val="left"/>
      <w:lvlText w:val="(%2)"/>
      <w:numFmt w:val="upperLetter"/>
      <w:start w:val="1"/>
    </w:lvl>
  </w:abstractNum>
  <w:abstractNum w:abstractNumId="20">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1"/>
    </w:lvl>
    <w:lvl w:ilvl="3">
      <w:lvlJc w:val="left"/>
      <w:lvlText w:val="%4"/>
      <w:numFmt w:val="lowerRoman"/>
      <w:start w:val="1"/>
    </w:lvl>
  </w:abstractNum>
  <w:abstractNum w:abstractNumId="21">
    <w:nsid w:val="77465F0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2">
    <w:nsid w:val="7724C67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23">
    <w:nsid w:val="5C482A97"/>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4">
    <w:nsid w:val="2463B9EA"/>
    <w:multiLevelType w:val="hybridMultilevel"/>
    <w:lvl w:ilvl="0">
      <w:lvlJc w:val="left"/>
      <w:lvlText w:val="(%1)"/>
      <w:numFmt w:val="lowerLetter"/>
      <w:start w:val="2"/>
    </w:lvl>
  </w:abstractNum>
  <w:abstractNum w:abstractNumId="25">
    <w:nsid w:val="5E884ADC"/>
    <w:multiLevelType w:val="hybridMultilevel"/>
    <w:lvl w:ilvl="0">
      <w:lvlJc w:val="left"/>
      <w:lvlText w:val="%1."/>
      <w:numFmt w:val="decimal"/>
      <w:start w:val="10"/>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2"/>
    </w:lvl>
  </w:abstractNum>
  <w:abstractNum w:abstractNumId="28">
    <w:nsid w:val="580BD78F"/>
    <w:multiLevelType w:val="hybridMultilevel"/>
    <w:lvl w:ilvl="0">
      <w:lvlJc w:val="left"/>
      <w:lvlText w:val="%1."/>
      <w:numFmt w:val="decimal"/>
      <w:start w:val="1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2"/>
    </w:lvl>
  </w:abstractNum>
  <w:abstractNum w:abstractNumId="31">
    <w:nsid w:val="70A64E2A"/>
    <w:multiLevelType w:val="hybridMultilevel"/>
    <w:lvl w:ilvl="0">
      <w:lvlJc w:val="left"/>
      <w:lvlText w:val="%1."/>
      <w:numFmt w:val="decimal"/>
      <w:start w:val="12"/>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decimal"/>
      <w:start w:val="13"/>
    </w:lvl>
  </w:abstractNum>
  <w:abstractNum w:abstractNumId="34">
    <w:nsid w:val="1D4ED43B"/>
    <w:multiLevelType w:val="hybridMultilevel"/>
    <w:lvl w:ilvl="0">
      <w:lvlJc w:val="left"/>
      <w:lvlText w:val="%1."/>
      <w:numFmt w:val="decimal"/>
      <w:start w:val="14"/>
    </w:lvl>
  </w:abstractNum>
  <w:abstractNum w:abstractNumId="35">
    <w:nsid w:val="725A06FB"/>
    <w:multiLevelType w:val="hybridMultilevel"/>
    <w:lvl w:ilvl="0">
      <w:lvlJc w:val="left"/>
      <w:lvlText w:val="%1."/>
      <w:numFmt w:val="decimal"/>
      <w:start w:val="15"/>
    </w:lvl>
  </w:abstractNum>
  <w:abstractNum w:abstractNumId="36">
    <w:nsid w:val="2CD89A32"/>
    <w:multiLevelType w:val="hybridMultilevel"/>
    <w:lvl w:ilvl="0">
      <w:lvlJc w:val="left"/>
      <w:lvlText w:val="%1."/>
      <w:numFmt w:val="decimal"/>
      <w:start w:val="16"/>
    </w:lvl>
  </w:abstractNum>
  <w:abstractNum w:abstractNumId="37">
    <w:nsid w:val="57E4CCAF"/>
    <w:multiLevelType w:val="hybridMultilevel"/>
    <w:lvl w:ilvl="0">
      <w:lvlJc w:val="left"/>
      <w:lvlText w:val="%1."/>
      <w:numFmt w:val="decimal"/>
      <w:start w:val="17"/>
    </w:lvl>
  </w:abstractNum>
  <w:abstractNum w:abstractNumId="38">
    <w:nsid w:val="7A6D8D3C"/>
    <w:multiLevelType w:val="hybridMultilevel"/>
    <w:lvl w:ilvl="0">
      <w:lvlJc w:val="left"/>
      <w:lvlText w:val="%1."/>
      <w:numFmt w:val="decimal"/>
      <w:start w:val="18"/>
    </w:lvl>
  </w:abstractNum>
  <w:abstractNum w:abstractNumId="39">
    <w:nsid w:val="4B588F54"/>
    <w:multiLevelType w:val="hybridMultilevel"/>
    <w:lvl w:ilvl="0">
      <w:lvlJc w:val="left"/>
      <w:lvlText w:val="%1."/>
      <w:numFmt w:val="decimal"/>
      <w:start w:val="19"/>
    </w:lvl>
  </w:abstractNum>
  <w:abstractNum w:abstractNumId="40">
    <w:nsid w:val="542289EC"/>
    <w:multiLevelType w:val="hybridMultilevel"/>
    <w:lvl w:ilvl="0">
      <w:lvlJc w:val="left"/>
      <w:lvlText w:val="%1."/>
      <w:numFmt w:val="decimal"/>
      <w:start w:val="20"/>
    </w:lvl>
  </w:abstractNum>
  <w:abstractNum w:abstractNumId="41">
    <w:nsid w:val="6DE91B18"/>
    <w:multiLevelType w:val="hybridMultilevel"/>
    <w:lvl w:ilvl="0">
      <w:lvlJc w:val="left"/>
      <w:lvlText w:val="%1."/>
      <w:numFmt w:val="decimal"/>
      <w:start w:val="21"/>
    </w:lvl>
  </w:abstractNum>
  <w:abstractNum w:abstractNumId="42">
    <w:nsid w:val="38437FDB"/>
    <w:multiLevelType w:val="hybridMultilevel"/>
    <w:lvl w:ilvl="0">
      <w:lvlJc w:val="left"/>
      <w:lvlText w:val="%1."/>
      <w:numFmt w:val="decimal"/>
      <w:start w:val="22"/>
    </w:lvl>
  </w:abstractNum>
  <w:abstractNum w:abstractNumId="43">
    <w:nsid w:val="7644A45C"/>
    <w:multiLevelType w:val="hybridMultilevel"/>
    <w:lvl w:ilvl="0">
      <w:lvlJc w:val="left"/>
      <w:lvlText w:val="%1."/>
      <w:numFmt w:val="decimal"/>
      <w:start w:val="23"/>
    </w:lvl>
  </w:abstractNum>
  <w:abstractNum w:abstractNumId="44">
    <w:nsid w:val="32FFF902"/>
    <w:multiLevelType w:val="hybridMultilevel"/>
    <w:lvl w:ilvl="0">
      <w:lvlJc w:val="left"/>
      <w:lvlText w:val="%1."/>
      <w:numFmt w:val="decimal"/>
      <w:start w:val="24"/>
    </w:lvl>
    <w:lvl w:ilvl="1">
      <w:lvlJc w:val="left"/>
      <w:lvlText w:val="(%2)"/>
      <w:numFmt w:val="lowerLetter"/>
      <w:start w:val="1"/>
    </w:lvl>
  </w:abstractNum>
  <w:abstractNum w:abstractNumId="45">
    <w:nsid w:val="684A481A"/>
    <w:multiLevelType w:val="hybridMultilevel"/>
    <w:lvl w:ilvl="0">
      <w:lvlJc w:val="left"/>
      <w:lvlText w:val="%1."/>
      <w:numFmt w:val="decimal"/>
      <w:start w:val="26"/>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2"/>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2019-12-10T07:54:27Z</dcterms:created>
  <dcterms:modified xsi:type="dcterms:W3CDTF">2019-12-10T07:54:27Z</dcterms:modified>
</cp:coreProperties>
</file>