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August 25, 2009</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46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6"/>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4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87"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August 25, 2009, Casual Male Retail Group, Inc. (the “Company”) issued a press release announcing the Company’s sales and results of operations for the second quarter and first six months of fiscal year 2009. A copy of this press release is attached hereto as Exhibit 99.1.</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736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w w:val="86"/>
              </w:rPr>
              <w:t>Press release announcing sales and operating results for the second quarter and first six months of fiscal year 2009.</w:t>
            </w:r>
          </w:p>
        </w:tc>
      </w:tr>
    </w:tbl>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2009</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Jeff Unger</w:t>
      </w:r>
    </w:p>
    <w:p>
      <w:pPr>
        <w:spacing w:after="0" w:line="221" w:lineRule="auto"/>
        <w:rPr>
          <w:sz w:val="20"/>
          <w:szCs w:val="20"/>
          <w:color w:val="auto"/>
        </w:rPr>
      </w:pPr>
      <w:r>
        <w:rPr>
          <w:rFonts w:ascii="Arial" w:cs="Arial" w:eastAsia="Arial" w:hAnsi="Arial"/>
          <w:sz w:val="14"/>
          <w:szCs w:val="14"/>
          <w:color w:val="auto"/>
        </w:rPr>
        <w:t>Vice President of Investor Relations</w:t>
      </w:r>
    </w:p>
    <w:p>
      <w:pPr>
        <w:spacing w:after="0" w:line="221" w:lineRule="auto"/>
        <w:rPr>
          <w:sz w:val="20"/>
          <w:szCs w:val="20"/>
          <w:color w:val="auto"/>
        </w:rPr>
      </w:pPr>
      <w:r>
        <w:rPr>
          <w:rFonts w:ascii="Arial" w:cs="Arial" w:eastAsia="Arial" w:hAnsi="Arial"/>
          <w:sz w:val="14"/>
          <w:szCs w:val="14"/>
          <w:color w:val="auto"/>
        </w:rPr>
        <w:t>Casual Male Retail Group, Inc.</w:t>
      </w:r>
    </w:p>
    <w:p>
      <w:pPr>
        <w:spacing w:after="0"/>
        <w:rPr>
          <w:sz w:val="20"/>
          <w:szCs w:val="20"/>
          <w:color w:val="auto"/>
        </w:rPr>
      </w:pPr>
      <w:r>
        <w:rPr>
          <w:rFonts w:ascii="Arial" w:cs="Arial" w:eastAsia="Arial" w:hAnsi="Arial"/>
          <w:sz w:val="14"/>
          <w:szCs w:val="14"/>
          <w:color w:val="auto"/>
        </w:rPr>
        <w:t>561-482-9715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CASUAL MALE RETAIL GROUP, INC. REPORTS SALES AND OPERATING RESULTS FOR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AND FIRST SIX MONTHS OF FISCAL 2009</w:t>
      </w:r>
    </w:p>
    <w:p>
      <w:pPr>
        <w:jc w:val="center"/>
        <w:spacing w:after="0"/>
        <w:rPr>
          <w:sz w:val="20"/>
          <w:szCs w:val="20"/>
          <w:color w:val="auto"/>
        </w:rPr>
      </w:pPr>
      <w:r>
        <w:rPr>
          <w:rFonts w:ascii="Arial" w:cs="Arial" w:eastAsia="Arial" w:hAnsi="Arial"/>
          <w:sz w:val="18"/>
          <w:szCs w:val="18"/>
          <w:b w:val="1"/>
          <w:bCs w:val="1"/>
          <w:color w:val="auto"/>
        </w:rPr>
        <w:t>Second Quarter Fiscal 2009 EPS $0.09 versus $0.05 last year</w:t>
      </w:r>
    </w:p>
    <w:p>
      <w:pPr>
        <w:spacing w:after="0" w:line="151" w:lineRule="exact"/>
        <w:rPr>
          <w:sz w:val="20"/>
          <w:szCs w:val="20"/>
          <w:color w:val="auto"/>
        </w:rPr>
      </w:pPr>
    </w:p>
    <w:p>
      <w:pPr>
        <w:jc w:val="both"/>
        <w:ind w:right="40" w:firstLine="456"/>
        <w:spacing w:after="0" w:line="339" w:lineRule="auto"/>
        <w:rPr>
          <w:sz w:val="20"/>
          <w:szCs w:val="20"/>
          <w:color w:val="auto"/>
        </w:rPr>
      </w:pPr>
      <w:r>
        <w:rPr>
          <w:rFonts w:ascii="Arial" w:cs="Arial" w:eastAsia="Arial" w:hAnsi="Arial"/>
          <w:sz w:val="16"/>
          <w:szCs w:val="16"/>
          <w:b w:val="1"/>
          <w:bCs w:val="1"/>
          <w:color w:val="auto"/>
        </w:rPr>
        <w:t xml:space="preserve">CANTON, MA, (August 25, 2009) </w:t>
      </w:r>
      <w:r>
        <w:rPr>
          <w:rFonts w:ascii="Arial" w:cs="Arial" w:eastAsia="Arial" w:hAnsi="Arial"/>
          <w:sz w:val="16"/>
          <w:szCs w:val="16"/>
          <w:color w:val="auto"/>
        </w:rPr>
        <w:t>— Casual Male Retail Group, Inc. (NASDAQ: “CMRG”),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XL</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Rochester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Clothing</w:t>
      </w:r>
      <w:r>
        <w:rPr>
          <w:rFonts w:ascii="Arial" w:cs="Arial" w:eastAsia="Arial" w:hAnsi="Arial"/>
          <w:sz w:val="16"/>
          <w:szCs w:val="16"/>
          <w:color w:val="auto"/>
        </w:rPr>
        <w:t>,</w:t>
      </w:r>
      <w:r>
        <w:rPr>
          <w:rFonts w:ascii="Arial" w:cs="Arial" w:eastAsia="Arial" w:hAnsi="Arial"/>
          <w:sz w:val="16"/>
          <w:szCs w:val="16"/>
          <w:i w:val="1"/>
          <w:iCs w:val="1"/>
          <w:color w:val="auto"/>
        </w:rPr>
        <w:t xml:space="preserve"> B&amp;T Factory Direct</w:t>
      </w:r>
      <w:r>
        <w:rPr>
          <w:rFonts w:ascii="Arial" w:cs="Arial" w:eastAsia="Arial" w:hAnsi="Arial"/>
          <w:sz w:val="16"/>
          <w:szCs w:val="16"/>
          <w:color w:val="auto"/>
        </w:rPr>
        <w:t>,</w:t>
      </w:r>
      <w:r>
        <w:rPr>
          <w:rFonts w:ascii="Arial" w:cs="Arial" w:eastAsia="Arial" w:hAnsi="Arial"/>
          <w:sz w:val="16"/>
          <w:szCs w:val="16"/>
          <w:i w:val="1"/>
          <w:iCs w:val="1"/>
          <w:color w:val="auto"/>
        </w:rPr>
        <w:t xml:space="preserve"> Living XL </w:t>
      </w:r>
      <w:r>
        <w:rPr>
          <w:rFonts w:ascii="Arial" w:cs="Arial" w:eastAsia="Arial" w:hAnsi="Arial"/>
          <w:sz w:val="16"/>
          <w:szCs w:val="16"/>
          <w:color w:val="auto"/>
        </w:rPr>
        <w:t>and</w:t>
      </w:r>
      <w:r>
        <w:rPr>
          <w:rFonts w:ascii="Arial" w:cs="Arial" w:eastAsia="Arial" w:hAnsi="Arial"/>
          <w:sz w:val="16"/>
          <w:szCs w:val="16"/>
          <w:i w:val="1"/>
          <w:iCs w:val="1"/>
          <w:color w:val="auto"/>
        </w:rPr>
        <w:t xml:space="preserve"> Shoes XL</w:t>
      </w:r>
      <w:r>
        <w:rPr>
          <w:rFonts w:ascii="Arial" w:cs="Arial" w:eastAsia="Arial" w:hAnsi="Arial"/>
          <w:sz w:val="16"/>
          <w:szCs w:val="16"/>
          <w:color w:val="auto"/>
        </w:rPr>
        <w:t>, announced today its sales and operating results for the second quarter and first six months of fiscal 2009.</w:t>
      </w:r>
    </w:p>
    <w:p>
      <w:pPr>
        <w:spacing w:after="0" w:line="8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the second quarter of fiscal 2009, net income was $3.6 million, or $0.09 per diluted share, compared to net income for the second quarter of fiscal 2008 of $1.9 million, or $0.05 per diluted share. Sales for the second quarter of fiscal 2009 decreased in total by 13.4%, and by 13.9% on a comparable basis, to $98.3 million from $113.5 million for the second quarter of fiscal 2008.</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first six months of fiscal 2009, net income was $4.0 million, or $0.10 per diluted share, as compared to net income of $2.0 million, or $0.05 per diluted share for the first six months of fiscal 2008. Sales for the first six months of fiscal 2009 decreased in total by 11.4%, and by 12.3% on a comparable basis, to $195.8 million from $221.1 million for the first six months of fiscal 2008.</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David Levin, President and CEO, stated, “The Company’s profitability in the second quarter is directly attributable to the proactive retooling of our business, which has improved productivity, free cash flow and liquidity in this difficult macroeconomic and consumer environment. We are pleased with the operating margins and free cash flow given the realities of a lower top line. Our positioning allows us to focus on strategies which will allow Casual Male to increase market share.”</w:t>
      </w:r>
    </w:p>
    <w:p>
      <w:pPr>
        <w:spacing w:after="0" w:line="14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Dennis Hernreich, EVP and COO/CFO, added, “The Company’s realignment of its inventory levels, SG&amp;A expenses, and infrastructure costs aided in generating an operating income increase of 15.6% for the second quarter and 7.5% for the first six months even though the Company experienced double digit sales decreases. The Company’s revised business model has enhanced its operating leverage for the long term.”</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Both our retail and direct channels experienced similar decreases during the second quarter and first six months of fiscal 2009, contributing to our overall comparable sales decreases of 13.9% and 12.3%, respectively.</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For the year-to-date period, our Casual Male business had a comparable sales decrease of 8.9%, while our Rochester business experienced a 26.3% comparable sales decrease. Similar to other luxury retailers, our Rochester division has been significantly impacted by the recession.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second quarter gross margin rate decreased by 60 basis points as a result of a 260 basis point increase in fixed occupancy costs on a lower sales base, substantially offset by a 200 basis point improvement in merchandise margin.</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For the first six months of fiscal 2009, our gross margin rate decreased by 150 basis points, due again to a 220 basis point increase in fixed occupancy costs, partially offset by a 70 basis point improvement in merchandise margins. Our year-to-date merchandise margin for fiscal 2009 was negatively impacted during the first quarter by residual fourth quarter 2008 clearance merchandise.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second quarter of fiscal 2009, our SG&amp;A costs decreased $8.0 million, or 18.3% over last year and for the first six months of fiscal 2009, SG&amp;A costs decreased $14.1 million, or 16.3% over last year. This decrease is a result of our cost-reduction initiatives and is in line with our expectation to reduce full-year SG&amp;A costs by approximately $26.0 million and $30.0 million on an annualized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interest expense decreased $0.4 million for the second quarter and $0.9 million for the first six months of fiscal 2009 in comparison to the comparable prior year periods. The reduction of interest costs in fiscal 2009 was due to an overall reduction of 23% in total debt as of the end of the second quarter, as well as favorable interest rates on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effective tax rate for the second quarter and first six months of fiscal 2009 has been reduced from the statutory rate due to the utilization of fully reserved net operating loss carryforwards. This benefit resulted in a reduction in income tax provision of approximately $1.3 million, or $0.03 per diluted share, for the first six months of fiscal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Free Cash Flow (as defined below) for the first six months of fiscal 2009 improved by $6.0 million to $5.9 million as compared to $(0.1) million for the same period last year.</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Balance Sheet &amp; Liquidity</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Inventory levels have decreased by $18.4 million, or 16.3%, to $94.3 million from $112.7 million at the end of last year’s second quarter. Our total debt is lower than last year’s second quarter by $13.9 million and our credit line availability is at $29.0 million at the end of the second quarter.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2009 Outlook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expectations for fiscal 2009 remain largely unchanged from the guidance that we provided at the end of the first quarter of fiscal 2009. We expect:</w:t>
      </w:r>
    </w:p>
    <w:p>
      <w:pPr>
        <w:spacing w:after="0" w:line="11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for the year to be approximately 10%-12% less than last year,</w:t>
      </w:r>
    </w:p>
    <w:p>
      <w:pPr>
        <w:spacing w:after="0" w:line="90" w:lineRule="exact"/>
        <w:rPr>
          <w:rFonts w:ascii="Arial" w:cs="Arial" w:eastAsia="Arial" w:hAnsi="Arial"/>
          <w:sz w:val="18"/>
          <w:szCs w:val="18"/>
          <w:color w:val="auto"/>
        </w:rPr>
      </w:pPr>
    </w:p>
    <w:p>
      <w:pPr>
        <w:ind w:left="900" w:right="9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merchandise margins to improve between 275 to 325 basis points, partially offset by unfavorable leveraging of fixed occupancy costs of approximately 180 basis points,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savings in SG&amp;A of approximately $26.0 million, resulting in SG&amp;A for the year of approximately $151.0 million, or a decrease of 15% over the prior year.</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for fiscal 2009 to approximate between $20.0-$25.0 million and overall debt levels are anticipated to decline to $25.0-$30.0 million by the end of fiscal 2009.</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Investors are invited to listen to a broadcast of the Company’s conference call to discuss its earnings results for the second quarter and first six months of fiscal 2009. The conference call will broadcast live today, Tuesday, August 25, 2009 at 9:00 a.m. Eastern Time at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then click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1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The above discussion refers to non-GAAP free cash flow of $5.9 million for the first six months of fiscal 2009 and $(0.1) million for the first six months of fiscal 2008 and estimated non-GAAP free cash flow of $20.0 to $25.0 million for fiscal 2009. 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($8.1 million and $9.2 million for the first six months of fiscal 2009 and 2008, respectively) less capital expenditures ($2.2 million and $6.8 million for the first six months of fiscal 2009 and 2008, respectively) less discretionary store asset acquisitions, which included the acquisition of Dahle Big &amp; Tall stores of $2.5 million for the first six months of fiscal 2008. The Company’s projected free cash flow for fiscal 2009 consists of an estimated $25.0-$30.0 million in cash</w:t>
      </w:r>
    </w:p>
    <w:p>
      <w:pPr>
        <w:sectPr>
          <w:pgSz w:w="11900" w:h="16838" w:orient="portrait"/>
          <w:cols w:equalWidth="0" w:num="1">
            <w:col w:w="11380"/>
          </w:cols>
          <w:pgMar w:left="240" w:top="274" w:right="27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flow from operating activities less estimated capital expenditures of $5.0 million. This quarter, we changed our method of calculating free cash flow to include, as a deduction, the use of cash for the acquisition of Dahle Big &amp; Tall stores in the second quarter of fiscal 2008. Accordingly, free cash flow for the six months ended August 2, 2008, which was previously defined as cash flow from operating activities less capital expenditures, has been restated to include the cash used for the acquisition of Dahle Big &amp; Tall stores of $2.5 million.</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Casual Male Retail Group, Inc., the largest retailer of big and tall men’s apparel with operations throughout the United States, Canada and Europe, operates 467 Casual Male XL retail and outlet stores, 20 Rochester Clothing stores, and direct to consumer businesses which include several catalogs and e-commerce sites. The Company is headquartered in Canton, Massachusetts, and its common stock is listed on the NASDAQ Global Market under the symbol “CMRG.”</w:t>
      </w:r>
    </w:p>
    <w:p>
      <w:pPr>
        <w:spacing w:after="0" w:line="8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fiscal 2009,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23, 2009, that set forth certain risks and uncertainties that may have an impact on future results and direction of the Company.</w:t>
      </w:r>
    </w:p>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380"/>
          </w:cols>
          <w:pgMar w:left="240" w:top="280"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9"/>
              </w:rPr>
              <w:t>For the three months ended</w:t>
            </w:r>
          </w:p>
        </w:tc>
        <w:tc>
          <w:tcPr>
            <w:tcW w:w="80" w:type="dxa"/>
            <w:vAlign w:val="bottom"/>
          </w:tcPr>
          <w:p>
            <w:pPr>
              <w:spacing w:after="0"/>
              <w:rPr>
                <w:sz w:val="14"/>
                <w:szCs w:val="14"/>
                <w:color w:val="auto"/>
              </w:rPr>
            </w:pPr>
          </w:p>
        </w:tc>
        <w:tc>
          <w:tcPr>
            <w:tcW w:w="16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4"/>
              </w:rPr>
              <w:t>For the 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90"/>
              </w:rPr>
              <w:t>August 1,</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4"/>
              </w:rPr>
              <w:t>August 2,</w:t>
            </w:r>
          </w:p>
        </w:tc>
        <w:tc>
          <w:tcPr>
            <w:tcW w:w="32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0"/>
              </w:rPr>
              <w:t>August 1,</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August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98,252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195,813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54,427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62,137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110,430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43,825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99,677</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35,513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43,485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4,107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39,493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47,592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95,080</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4,332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3,746</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per share—basic</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41,450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41,926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41,689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41,690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 2009 and January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August 1, 2009</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January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270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5,724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94,272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current assets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11,234</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46,954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33,084</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2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270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192,159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70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50,051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35,889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5,139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gain</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24,179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Stockholders’ equity</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76,901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192,159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2019-12-10T07:41:56Z</dcterms:created>
  <dcterms:modified xsi:type="dcterms:W3CDTF">2019-12-10T07:41:56Z</dcterms:modified>
</cp:coreProperties>
</file>