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vMerge w:val="restart"/>
          </w:tcPr>
          <w:p>
            <w:pPr>
              <w:spacing w:after="0" w:line="250" w:lineRule="exact"/>
              <w:rPr>
                <w:rFonts w:ascii="Arial" w:cs="Arial" w:eastAsia="Arial" w:hAnsi="Arial"/>
                <w:sz w:val="22"/>
                <w:szCs w:val="22"/>
                <w:color w:val="0000EE"/>
                <w:w w:val="88"/>
              </w:rPr>
            </w:pPr>
            <w:hyperlink r:id="rId12">
              <w:r>
                <w:rPr>
                  <w:rFonts w:ascii="Arial" w:cs="Arial" w:eastAsia="Arial" w:hAnsi="Arial"/>
                  <w:sz w:val="22"/>
                  <w:szCs w:val="22"/>
                  <w:color w:val="0000EE"/>
                  <w:w w:val="88"/>
                </w:rPr>
                <w:t>Ederle Kenneth</w:t>
              </w:r>
            </w:hyperlink>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bottom w:val="single" w:sz="8" w:color="0000EE"/>
            </w:tcBorders>
            <w:gridSpan w:val="2"/>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10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5"/>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SVP, GMM-DXL</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05/23/2011</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540" w:type="dxa"/>
            <w:vAlign w:val="bottom"/>
            <w:tcBorders>
              <w:bottom w:val="single" w:sz="8" w:color="2C2C2C"/>
            </w:tcBorders>
            <w:gridSpan w:val="7"/>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7"/>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4"/>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4"/>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0" w:type="dxa"/>
            <w:vAlign w:val="bottom"/>
          </w:tcPr>
          <w:p>
            <w:pPr>
              <w:spacing w:after="0"/>
              <w:rPr>
                <w:sz w:val="11"/>
                <w:szCs w:val="11"/>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680" w:type="dxa"/>
            <w:vAlign w:val="bottom"/>
            <w:tcBorders>
              <w:bottom w:val="single" w:sz="8" w:color="2C2C2C"/>
            </w:tcBorders>
            <w:gridSpan w:val="4"/>
          </w:tcPr>
          <w:p>
            <w:pPr>
              <w:ind w:left="780"/>
              <w:spacing w:after="0"/>
              <w:rPr>
                <w:sz w:val="20"/>
                <w:szCs w:val="20"/>
                <w:color w:val="auto"/>
              </w:rPr>
            </w:pPr>
            <w:r>
              <w:rPr>
                <w:rFonts w:ascii="Arial" w:cs="Arial" w:eastAsia="Arial" w:hAnsi="Arial"/>
                <w:sz w:val="18"/>
                <w:szCs w:val="18"/>
                <w:color w:val="0000FF"/>
                <w:w w:val="97"/>
              </w:rPr>
              <w:t>05/23/2011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2,410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5"/>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3.809</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30,845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The actual purchase prices with respect to these shares were between $3.775 and $3.895.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Kenneth M. Ederle</w:t>
            </w:r>
          </w:p>
        </w:tc>
        <w:tc>
          <w:tcPr>
            <w:tcW w:w="96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4"/>
              </w:rPr>
              <w:t>05/24/2011</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180"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2019-12-16T05:18:12Z</dcterms:created>
  <dcterms:modified xsi:type="dcterms:W3CDTF">2019-12-16T05:18:12Z</dcterms:modified>
</cp:coreProperties>
</file>