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730885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-173355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ind w:left="3480" w:right="2100" w:hanging="3472"/>
        <w:spacing w:after="0" w:line="302" w:lineRule="auto"/>
        <w:tabs>
          <w:tab w:leader="none" w:pos="3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3, 2024 (Fiscal 2023)</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jc w:val="center"/>
        <w:ind w:right="40"/>
        <w:spacing w:after="0" w:line="207" w:lineRule="exact"/>
        <w:tabs>
          <w:tab w:leader="none" w:pos="160" w:val="left"/>
          <w:tab w:leader="none" w:pos="2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TRANSITION REPORT PURSUANT TO SECTION 13 OR 15(d) OF THE SECURITIES EXCHANGE ACT OF</w:t>
      </w:r>
      <w:r>
        <w:rPr>
          <w:sz w:val="20"/>
          <w:szCs w:val="20"/>
          <w:color w:val="auto"/>
        </w:rPr>
        <w:tab/>
      </w:r>
      <w:r>
        <w:rPr>
          <w:rFonts w:ascii="Times New Roman" w:cs="Times New Roman" w:eastAsia="Times New Roman" w:hAnsi="Times New Roman"/>
          <w:sz w:val="18"/>
          <w:szCs w:val="18"/>
          <w:b w:val="1"/>
          <w:bCs w:val="1"/>
          <w:color w:val="auto"/>
        </w:rPr>
        <w:t>1934 FOR THE</w:t>
      </w:r>
    </w:p>
    <w:p>
      <w:pPr>
        <w:spacing w:after="0" w:line="6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37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TRANSITION PERIOD FROM</w:t>
            </w:r>
          </w:p>
        </w:tc>
        <w:tc>
          <w:tcPr>
            <w:tcW w:w="1180" w:type="dxa"/>
            <w:vAlign w:val="bottom"/>
            <w:gridSpan w:val="2"/>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2"/>
              </w:rPr>
              <w:t>TO</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Commission File Number 01-34219</w:t>
            </w: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8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300" w:type="dxa"/>
            <w:vAlign w:val="bottom"/>
          </w:tcPr>
          <w:p>
            <w:pPr>
              <w:spacing w:after="0"/>
              <w:rPr>
                <w:sz w:val="24"/>
                <w:szCs w:val="24"/>
                <w:color w:val="auto"/>
              </w:rPr>
            </w:pPr>
          </w:p>
        </w:tc>
        <w:tc>
          <w:tcPr>
            <w:tcW w:w="4880" w:type="dxa"/>
            <w:vAlign w:val="bottom"/>
            <w:gridSpan w:val="6"/>
          </w:tcPr>
          <w:p>
            <w:pPr>
              <w:jc w:val="center"/>
              <w:ind w:right="213"/>
              <w:spacing w:after="0" w:line="308" w:lineRule="exact"/>
              <w:rPr>
                <w:sz w:val="20"/>
                <w:szCs w:val="20"/>
                <w:color w:val="auto"/>
              </w:rPr>
            </w:pPr>
            <w:r>
              <w:rPr>
                <w:rFonts w:ascii="Times New Roman" w:cs="Times New Roman" w:eastAsia="Times New Roman" w:hAnsi="Times New Roman"/>
                <w:sz w:val="29"/>
                <w:szCs w:val="29"/>
                <w:b w:val="1"/>
                <w:bCs w:val="1"/>
                <w:color w:val="auto"/>
                <w:w w:val="97"/>
              </w:rPr>
              <w:t>DESTINATION XL GROUP, INC.</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4880" w:type="dxa"/>
            <w:vAlign w:val="bottom"/>
            <w:gridSpan w:val="6"/>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300" w:type="dxa"/>
            <w:vAlign w:val="bottom"/>
            <w:vMerge w:val="restart"/>
          </w:tcPr>
          <w:p>
            <w:pPr>
              <w:jc w:val="center"/>
              <w:ind w:left="22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40" w:type="dxa"/>
            <w:vAlign w:val="bottom"/>
            <w:gridSpan w:val="3"/>
            <w:vMerge w:val="restart"/>
          </w:tcPr>
          <w:p>
            <w:pPr>
              <w:jc w:val="right"/>
              <w:ind w:right="2279"/>
              <w:spacing w:after="0"/>
              <w:rPr>
                <w:sz w:val="20"/>
                <w:szCs w:val="20"/>
                <w:color w:val="auto"/>
              </w:rPr>
            </w:pPr>
            <w:r>
              <w:rPr>
                <w:rFonts w:ascii="Times New Roman" w:cs="Times New Roman" w:eastAsia="Times New Roman" w:hAnsi="Times New Roman"/>
                <w:sz w:val="18"/>
                <w:szCs w:val="18"/>
                <w:b w:val="1"/>
                <w:bCs w:val="1"/>
                <w:color w:val="auto"/>
              </w:rPr>
              <w:t>04-2623104</w:t>
            </w:r>
          </w:p>
        </w:tc>
        <w:tc>
          <w:tcPr>
            <w:tcW w:w="0" w:type="dxa"/>
            <w:vAlign w:val="bottom"/>
          </w:tcPr>
          <w:p>
            <w:pPr>
              <w:spacing w:after="0"/>
              <w:rPr>
                <w:sz w:val="1"/>
                <w:szCs w:val="1"/>
                <w:color w:val="auto"/>
              </w:rPr>
            </w:pPr>
          </w:p>
        </w:tc>
      </w:tr>
      <w:tr>
        <w:trPr>
          <w:trHeight w:val="304"/>
        </w:trPr>
        <w:tc>
          <w:tcPr>
            <w:tcW w:w="33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00" w:type="dxa"/>
            <w:vAlign w:val="bottom"/>
            <w:gridSpan w:val="5"/>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4240" w:type="dxa"/>
            <w:vAlign w:val="bottom"/>
            <w:gridSpan w:val="3"/>
          </w:tcPr>
          <w:p>
            <w:pPr>
              <w:jc w:val="center"/>
              <w:ind w:right="1279"/>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326"/>
        </w:trPr>
        <w:tc>
          <w:tcPr>
            <w:tcW w:w="7000" w:type="dxa"/>
            <w:vAlign w:val="bottom"/>
            <w:gridSpan w:val="5"/>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555 Turnpike Street, Canton, MA</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Pr>
          <w:p>
            <w:pPr>
              <w:jc w:val="right"/>
              <w:ind w:right="2499"/>
              <w:spacing w:after="0"/>
              <w:rPr>
                <w:sz w:val="20"/>
                <w:szCs w:val="20"/>
                <w:color w:val="auto"/>
              </w:rPr>
            </w:pPr>
            <w:r>
              <w:rPr>
                <w:rFonts w:ascii="Times New Roman" w:cs="Times New Roman" w:eastAsia="Times New Roman" w:hAnsi="Times New Roman"/>
                <w:sz w:val="18"/>
                <w:szCs w:val="18"/>
                <w:b w:val="1"/>
                <w:bCs w:val="1"/>
                <w:color w:val="auto"/>
              </w:rPr>
              <w:t>02021</w:t>
            </w:r>
          </w:p>
        </w:tc>
        <w:tc>
          <w:tcPr>
            <w:tcW w:w="0" w:type="dxa"/>
            <w:vAlign w:val="bottom"/>
          </w:tcPr>
          <w:p>
            <w:pPr>
              <w:spacing w:after="0"/>
              <w:rPr>
                <w:sz w:val="1"/>
                <w:szCs w:val="1"/>
                <w:color w:val="auto"/>
              </w:rPr>
            </w:pPr>
          </w:p>
        </w:tc>
      </w:tr>
      <w:tr>
        <w:trPr>
          <w:trHeight w:val="173"/>
        </w:trPr>
        <w:tc>
          <w:tcPr>
            <w:tcW w:w="7000" w:type="dxa"/>
            <w:vAlign w:val="bottom"/>
            <w:gridSpan w:val="5"/>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20" w:type="dxa"/>
            <w:vAlign w:val="bottom"/>
          </w:tcPr>
          <w:p>
            <w:pPr>
              <w:spacing w:after="0"/>
              <w:rPr>
                <w:sz w:val="15"/>
                <w:szCs w:val="15"/>
                <w:color w:val="auto"/>
              </w:rPr>
            </w:pPr>
          </w:p>
        </w:tc>
        <w:tc>
          <w:tcPr>
            <w:tcW w:w="3720" w:type="dxa"/>
            <w:vAlign w:val="bottom"/>
            <w:gridSpan w:val="2"/>
          </w:tcPr>
          <w:p>
            <w:pPr>
              <w:jc w:val="center"/>
              <w:ind w:right="1819"/>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72"/>
        </w:trPr>
        <w:tc>
          <w:tcPr>
            <w:tcW w:w="81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7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30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6"/>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300" w:type="dxa"/>
            <w:vAlign w:val="bottom"/>
            <w:tcBorders>
              <w:left w:val="single" w:sz="8" w:color="auto"/>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5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9"/>
        </w:trPr>
        <w:tc>
          <w:tcPr>
            <w:tcW w:w="3300" w:type="dxa"/>
            <w:vAlign w:val="bottom"/>
            <w:tcBorders>
              <w:left w:val="single" w:sz="8" w:color="auto"/>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4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DXLG</w:t>
            </w:r>
          </w:p>
        </w:tc>
        <w:tc>
          <w:tcPr>
            <w:tcW w:w="5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880" w:type="dxa"/>
            <w:vAlign w:val="bottom"/>
            <w:gridSpan w:val="6"/>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None.</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180" w:type="dxa"/>
            <w:vAlign w:val="bottom"/>
            <w:gridSpan w:val="7"/>
          </w:tcPr>
          <w:p>
            <w:pPr>
              <w:jc w:val="right"/>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p>
        </w:tc>
        <w:tc>
          <w:tcPr>
            <w:tcW w:w="3060" w:type="dxa"/>
            <w:vAlign w:val="bottom"/>
          </w:tcPr>
          <w:p>
            <w:pPr>
              <w:jc w:val="center"/>
              <w:ind w:right="2199"/>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272"/>
        </w:trPr>
        <w:tc>
          <w:tcPr>
            <w:tcW w:w="8180" w:type="dxa"/>
            <w:vAlign w:val="bottom"/>
            <w:gridSpan w:val="7"/>
          </w:tcPr>
          <w:p>
            <w:pPr>
              <w:jc w:val="right"/>
              <w:ind w:right="13"/>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3060" w:type="dxa"/>
            <w:vAlign w:val="bottom"/>
          </w:tcPr>
          <w:p>
            <w:pPr>
              <w:jc w:val="center"/>
              <w:ind w:right="2239"/>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9" w:lineRule="exact"/>
        <w:rPr>
          <w:sz w:val="24"/>
          <w:szCs w:val="24"/>
          <w:color w:val="auto"/>
        </w:rPr>
      </w:pPr>
    </w:p>
    <w:p>
      <w:pPr>
        <w:ind w:right="4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jc w:val="both"/>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23" w:lineRule="exact"/>
        <w:rPr>
          <w:sz w:val="24"/>
          <w:szCs w:val="24"/>
          <w:color w:val="auto"/>
        </w:rPr>
      </w:pPr>
    </w:p>
    <w:tbl>
      <w:tblPr>
        <w:tblLayout w:type="fixed"/>
        <w:tblInd w:w="86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72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72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2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34"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320"/>
        <w:spacing w:after="0" w:line="20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340"/>
        <w:spacing w:after="0" w:line="200"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209" w:lineRule="exact"/>
        <w:tabs>
          <w:tab w:leader="none" w:pos="74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267" w:lineRule="auto"/>
        <w:rPr>
          <w:sz w:val="20"/>
          <w:szCs w:val="20"/>
          <w:color w:val="auto"/>
        </w:rPr>
      </w:pPr>
      <w:r>
        <w:rPr>
          <w:rFonts w:ascii="Times New Roman" w:cs="Times New Roman" w:eastAsia="Times New Roman" w:hAnsi="Times New Roman"/>
          <w:sz w:val="16"/>
          <w:szCs w:val="16"/>
          <w:color w:val="auto"/>
        </w:rPr>
        <w:t>As of July 28, 2023, the aggregate market value of the Common Stock held by non-affiliates of the registrant was approximately $268.3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 The registrant had 58,228,053 shares of Common Stock, $0.01 par value, outstanding as of May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Documents Incorporated by Reference: None.</w:t>
      </w:r>
    </w:p>
    <w:p>
      <w:pPr>
        <w:spacing w:after="0" w:line="45" w:lineRule="exact"/>
        <w:rPr>
          <w:sz w:val="20"/>
          <w:szCs w:val="20"/>
          <w:color w:val="auto"/>
        </w:rPr>
      </w:pPr>
    </w:p>
    <w:p>
      <w:pPr>
        <w:ind w:left="20"/>
        <w:spacing w:after="0"/>
        <w:tabs>
          <w:tab w:leader="none" w:pos="4280" w:val="left"/>
          <w:tab w:leader="none" w:pos="9800" w:val="left"/>
        </w:tabs>
        <w:rPr>
          <w:sz w:val="20"/>
          <w:szCs w:val="20"/>
          <w:color w:val="auto"/>
        </w:rPr>
      </w:pPr>
      <w:r>
        <w:rPr>
          <w:rFonts w:ascii="Times New Roman" w:cs="Times New Roman" w:eastAsia="Times New Roman" w:hAnsi="Times New Roman"/>
          <w:sz w:val="16"/>
          <w:szCs w:val="16"/>
          <w:color w:val="auto"/>
        </w:rPr>
        <w:t>Auditor Name: KPMG, LLP</w:t>
      </w:r>
      <w:r>
        <w:rPr>
          <w:sz w:val="20"/>
          <w:szCs w:val="20"/>
          <w:color w:val="auto"/>
        </w:rPr>
        <w:tab/>
      </w:r>
      <w:r>
        <w:rPr>
          <w:rFonts w:ascii="Times New Roman" w:cs="Times New Roman" w:eastAsia="Times New Roman" w:hAnsi="Times New Roman"/>
          <w:sz w:val="16"/>
          <w:szCs w:val="16"/>
          <w:color w:val="auto"/>
        </w:rPr>
        <w:t>Auditor Location: Boston, Massachusetts</w:t>
      </w:r>
      <w:r>
        <w:rPr>
          <w:sz w:val="20"/>
          <w:szCs w:val="20"/>
          <w:color w:val="auto"/>
        </w:rPr>
        <w:tab/>
      </w:r>
      <w:r>
        <w:rPr>
          <w:rFonts w:ascii="Times New Roman" w:cs="Times New Roman" w:eastAsia="Times New Roman" w:hAnsi="Times New Roman"/>
          <w:sz w:val="16"/>
          <w:szCs w:val="16"/>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are filing this Amendment No. 1 to our Annual Report on Form 10−K for the fiscal year ended February 3, 2024 (this “Form 10-K/A”) pursuant to General Instruction G(3) to Form 10−K for the purposes of filing the information required to be disclosed pursuant to Part III of Form 10−K.</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Except for the amendments described above, this Form 10−K/A does not modify or update the disclosure in our Annual Report on Form 10−K for the fiscal year ended February 3, 2024 filed with the Securities and Exchange Commission on March 21, 2024.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89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Executive Compensation</w:t>
            </w:r>
          </w:p>
        </w:tc>
        <w:tc>
          <w:tcPr>
            <w:tcW w:w="2280" w:type="dxa"/>
            <w:vAlign w:val="bottom"/>
            <w:tcBorders>
              <w:top w:val="single" w:sz="8" w:color="0000EE"/>
            </w:tcBorders>
            <w:gridSpan w:val="3"/>
          </w:tcPr>
          <w:p>
            <w:pPr>
              <w:spacing w:after="0"/>
              <w:rPr>
                <w:sz w:val="19"/>
                <w:szCs w:val="19"/>
                <w:color w:val="auto"/>
              </w:rPr>
            </w:pPr>
          </w:p>
        </w:tc>
        <w:tc>
          <w:tcPr>
            <w:tcW w:w="4880" w:type="dxa"/>
            <w:vAlign w:val="bottom"/>
            <w:gridSpan w:val="3"/>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1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Certain Relationships and Related Transactions, and Director Independence</w:t>
            </w:r>
          </w:p>
        </w:tc>
        <w:tc>
          <w:tcPr>
            <w:tcW w:w="3520" w:type="dxa"/>
            <w:vAlign w:val="bottom"/>
            <w:gridSpan w:val="2"/>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78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w w:val="95"/>
              </w:rPr>
              <w:t>SIGNATURES</w:t>
            </w:r>
          </w:p>
        </w:tc>
        <w:tc>
          <w:tcPr>
            <w:tcW w:w="894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66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15, 2024, current committee membership, and the year in which each became a director of our Company: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Cybersecurity</w:t>
            </w: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Director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2"/>
                <w:szCs w:val="12"/>
                <w:color w:val="auto"/>
              </w:rPr>
            </w:pPr>
          </w:p>
        </w:tc>
        <w:tc>
          <w:tcPr>
            <w:tcW w:w="1300" w:type="dxa"/>
            <w:vAlign w:val="bottom"/>
          </w:tcPr>
          <w:p>
            <w:pPr>
              <w:ind w:left="560"/>
              <w:spacing w:after="0" w:line="149" w:lineRule="exact"/>
              <w:rPr>
                <w:sz w:val="20"/>
                <w:szCs w:val="20"/>
                <w:color w:val="auto"/>
              </w:rPr>
            </w:pPr>
            <w:r>
              <w:rPr>
                <w:rFonts w:ascii="Times New Roman" w:cs="Times New Roman" w:eastAsia="Times New Roman" w:hAnsi="Times New Roman"/>
                <w:sz w:val="13"/>
                <w:szCs w:val="13"/>
                <w:b w:val="1"/>
                <w:bCs w:val="1"/>
                <w:color w:val="auto"/>
              </w:rPr>
              <w:t>and</w:t>
            </w:r>
          </w:p>
        </w:tc>
      </w:tr>
      <w:tr>
        <w:trPr>
          <w:trHeight w:val="178"/>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Age</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Governance</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Data Privacy</w:t>
            </w: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 of the Board and Director</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61</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11"/>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Harvey S. Kanter, President and Chief Executive Officer and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Carmen R. Bauza, Director</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 Boyle, Director</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Willem Mesdag, Director</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Ross, Director</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68</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Elaine K. Rubin, Director</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61</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200" w:lineRule="exact"/>
        <w:rPr>
          <w:sz w:val="20"/>
          <w:szCs w:val="20"/>
          <w:color w:val="auto"/>
        </w:rPr>
      </w:pPr>
    </w:p>
    <w:p>
      <w:pPr>
        <w:spacing w:after="0" w:line="2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Lionel F. Conacher </w:t>
      </w:r>
      <w:r>
        <w:rPr>
          <w:rFonts w:ascii="Times New Roman" w:cs="Times New Roman" w:eastAsia="Times New Roman" w:hAnsi="Times New Roman"/>
          <w:sz w:val="18"/>
          <w:szCs w:val="18"/>
          <w:color w:val="auto"/>
        </w:rPr>
        <w:t>has been a director since June 2018 and became Chairman of the Board on August 12, 2020. Since September 2021, Mr. Conacher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the board of directors for Better Choice Company Inc., a publicly traded company and served as a member of its audit committee from November 2021 until September 2022. From September 2022 until May 2023, he served as its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19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Harvey S. Kanter </w:t>
      </w:r>
      <w:r>
        <w:rPr>
          <w:rFonts w:ascii="Times New Roman" w:cs="Times New Roman" w:eastAsia="Times New Roman" w:hAnsi="Times New Roman"/>
          <w:sz w:val="18"/>
          <w:szCs w:val="18"/>
          <w:color w:val="auto"/>
        </w:rPr>
        <w:t>is the President, Chief Executive Officer and a director of the Company. Mr. Kanter joined the Company in February 2019 in a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as Advisor to the Acting CEO and assumed the role of President and Chief Executive Officer and a director of the Company in April 2019. Mr. Kanter served as a non-executive co-chair, Seattle University Center for Leadership Formation, Albers School of Business and Economics from February 2021 until February 2024. Mr. Kanter served as a director and a member of the compensation committee of Potbelly Corporation, a publicly traded company, from August 2015 until May 2019. Mr. Kanter has over 35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 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an extensive knowledge of integrated-commerce retailing, with strong strategic and operational expertise.</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Carmen R. Bauza </w:t>
      </w:r>
      <w:r>
        <w:rPr>
          <w:rFonts w:ascii="Times New Roman" w:cs="Times New Roman" w:eastAsia="Times New Roman" w:hAnsi="Times New Roman"/>
          <w:sz w:val="18"/>
          <w:szCs w:val="18"/>
          <w:color w:val="auto"/>
        </w:rPr>
        <w:t>was appointed a director of the Company in December 2021. In March 2023, Ms. Bauza joined the board of directors of OneWater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Marine Inc., a publicly traded company, and serves as a member of its audit and compensation committees. Since May 2022, Ms. Bauza has also served on the board of directors of Zumiez, Inc., a publicly traded company, and serves as a member of its audit and governance and nominating committees. Ms. Bauza serves as a member of the board of managers of Claire’s Holdings LLC, which she joined in October 2018. Most recently, Ms. Bauza was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right="260"/>
        <w:spacing w:after="0" w:line="265" w:lineRule="auto"/>
        <w:rPr>
          <w:sz w:val="20"/>
          <w:szCs w:val="20"/>
          <w:color w:val="auto"/>
        </w:rPr>
      </w:pPr>
      <w:r>
        <w:rPr>
          <w:rFonts w:ascii="Times New Roman" w:cs="Times New Roman" w:eastAsia="Times New Roman" w:hAnsi="Times New Roman"/>
          <w:sz w:val="18"/>
          <w:szCs w:val="18"/>
          <w:color w:val="auto"/>
        </w:rPr>
        <w:t>2007 to October 2016. 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February 2024, Mr. Boyle has been the president, buying and North America for Fanatics,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leader for officially licensed sports merchandise. From February 2019 to January 2024, Mr. Boyle was the global co-president of direct to consumer/omni-channel for Fanatics, Inc. Mr. Boyle originally joined Fanatics as president of merchandising in June 2012, and from December 2017 to February 2019, served as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Mr. Mesdag is the managing partner of Red Mountain Capital Partners LLC, an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He also currently serves on the board of Heidrick &amp; Struggles International, Inc., a publicly traded company, for which he chairs the audit and finance committee and serves on the human resources and compensation committee. He previously served on the boards of 3i Group plc, Cost Plus, Inc., Encore Capital Group, Inc., Nature’s Sunshine Products, Inc., Skandia AB and Yuma Energy, Inc., all of which are or were publicly-traded companies. Having had an extensive career in international investment banking and finance and having served on domestic and international public company boards, Mr. Mesdag brings to the Board significant knowledge and experience related to business and financial issues and corporate governance as well as an investor's perspective</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Ivy Ross </w:t>
      </w:r>
      <w:r>
        <w:rPr>
          <w:rFonts w:ascii="Times New Roman" w:cs="Times New Roman" w:eastAsia="Times New Roman" w:hAnsi="Times New Roman"/>
          <w:sz w:val="18"/>
          <w:szCs w:val="18"/>
          <w:color w:val="auto"/>
        </w:rPr>
        <w:t>has been a director since January 2013. In May 2014, Ms. Ross joined Google as head of glass and is currently a vice president of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at Google. From July 2011 until April 2014, Ms. Ross was the chief marketing officer of Art.com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8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Elaine K. Rubin </w:t>
      </w:r>
      <w:r>
        <w:rPr>
          <w:rFonts w:ascii="Times New Roman" w:cs="Times New Roman" w:eastAsia="Times New Roman" w:hAnsi="Times New Roman"/>
          <w:sz w:val="17"/>
          <w:szCs w:val="17"/>
          <w:color w:val="auto"/>
        </w:rPr>
        <w:t>has been a director since April 2021. Since January 2010, Ms. Rubin has been the founder and president of Digital Prophets Network,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of which were formerly publicly traded companies. Ms. Rubin co-founded shop.org in February 1996 and served as its elected chair of the board of directors from February 1996 to October 2007 and served on the board of the National Retail Federation (NRF) from 2001 until 2010. Ms. Rubin brings extensive knowledge and experience of digital commerce business and provides valuable insights to the Board as we continue to grow our direct business.</w:t>
      </w:r>
    </w:p>
    <w:p>
      <w:pPr>
        <w:spacing w:after="0" w:line="17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Non-Director Executive Officers</w:t>
      </w:r>
    </w:p>
    <w:p>
      <w:pPr>
        <w:spacing w:after="0" w:line="1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Peter H. Stratton, Jr.</w:t>
      </w:r>
      <w:r>
        <w:rPr>
          <w:rFonts w:ascii="Times New Roman" w:cs="Times New Roman" w:eastAsia="Times New Roman" w:hAnsi="Times New Roman"/>
          <w:sz w:val="18"/>
          <w:szCs w:val="18"/>
          <w:color w:val="auto"/>
        </w:rPr>
        <w:t>, 52, has been our Executive Vice President, Chief Financial Officer and Treasurer since November 2017. Prior to that, Mr. Stratton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Rob Bogan</w:t>
      </w:r>
      <w:r>
        <w:rPr>
          <w:rFonts w:ascii="Times New Roman" w:cs="Times New Roman" w:eastAsia="Times New Roman" w:hAnsi="Times New Roman"/>
          <w:sz w:val="18"/>
          <w:szCs w:val="18"/>
          <w:color w:val="auto"/>
        </w:rPr>
        <w:t>, 56, joined the Company in November 2023 as our Chief Technology Officer and brings over 35 years of experience in the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landscape. Prior to joining our Company, from August 2023 to November 2023, he was the Chief Information Officer at the Cato Corporation, a specialty retailer of value-priced fashion apparel and accessories. Prior to that, Mr. Bogan was the Chief</w:t>
      </w: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 w:name="page5"/>
    <w:bookmarkEnd w:id="4"/>
    <w:p>
      <w:pPr>
        <w:ind w:right="20"/>
        <w:spacing w:after="0" w:line="260" w:lineRule="auto"/>
        <w:rPr>
          <w:sz w:val="20"/>
          <w:szCs w:val="20"/>
          <w:color w:val="auto"/>
        </w:rPr>
      </w:pPr>
      <w:r>
        <w:rPr>
          <w:rFonts w:ascii="Times New Roman" w:cs="Times New Roman" w:eastAsia="Times New Roman" w:hAnsi="Times New Roman"/>
          <w:sz w:val="18"/>
          <w:szCs w:val="18"/>
          <w:color w:val="auto"/>
        </w:rPr>
        <w:t>Technology Officer at Mitchell Gold + Bob Williams, a furnishing company from September 2021 until August 2023. From May 2018 to August 2021, he served as the Senior Vice President of Technology, Chief Information Officer at California Closets, Inc. From September 2011 to May 2018, Mr. Bogan held numerous roles at Williams Sonoma, a specialty retailer for the home, and at the time he left, he was Vice President of International Systems and Business Intelligence (BI) Reporting.</w:t>
      </w:r>
    </w:p>
    <w:p>
      <w:pPr>
        <w:spacing w:after="0" w:line="72"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7"/>
          <w:szCs w:val="17"/>
          <w:i w:val="1"/>
          <w:iCs w:val="1"/>
          <w:color w:val="auto"/>
        </w:rPr>
        <w:t>John F. Cooney</w:t>
      </w:r>
      <w:r>
        <w:rPr>
          <w:rFonts w:ascii="Times New Roman" w:cs="Times New Roman" w:eastAsia="Times New Roman" w:hAnsi="Times New Roman"/>
          <w:sz w:val="17"/>
          <w:szCs w:val="17"/>
          <w:color w:val="auto"/>
        </w:rPr>
        <w:t>, 41, has been our Senior Vice President, Corporate Controller and Chief Accounting Officer since March 2022. Prior to that, Mr. Cooney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the Vice President of Finance and Managing Director, Corporate Controller and Chief Accounting Officer from May 2018 until March 2022 and was our Vice President of Finance, Corporate Controller and Chief Accounting Officer from May 2015 until May 2018 and our Vice President of Finance and Corporate Controller from June 2014 until May 2015. From November 2010 until June 2014, Mr. Cooney was our Director of Financial Accounting and Reporting. Prior to joining the Company, Mr. Cooney was an audit manager with PricewaterhouseCoopers LLP, which he joined in August 2004.</w:t>
      </w:r>
    </w:p>
    <w:p>
      <w:pPr>
        <w:spacing w:after="0" w:line="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Anthony J. Gaeta, </w:t>
      </w:r>
      <w:r>
        <w:rPr>
          <w:rFonts w:ascii="Times New Roman" w:cs="Times New Roman" w:eastAsia="Times New Roman" w:hAnsi="Times New Roman"/>
          <w:sz w:val="18"/>
          <w:szCs w:val="18"/>
          <w:color w:val="auto"/>
        </w:rPr>
        <w:t>54, has been our Chief Stores and Real Estate Officer since April 2023. Prior that that, Mr. Gaeta was the Chief Stores Officer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2022 until April 2023. From November 2017 until March 2022, Mr. Gaeta was the Senior Vice President of Store Sales and Operations. Prior to that, Mr. Gaeta was the Vice President of Store Operations and Training from November 2013 until November 2017 and a Zone Vice President from April 2010 until November 2013. Prior to joining the Company, Mr. Gaeta was a regional manager for Men’s Wearhouse from September 2007 until April 2010 and, prior to that, a regional vice president for After Hours Formalwear from March 2006 until September 2007.</w:t>
      </w:r>
    </w:p>
    <w:p>
      <w:pPr>
        <w:spacing w:after="0" w:line="7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Stacey A. Jones, </w:t>
      </w:r>
      <w:r>
        <w:rPr>
          <w:rFonts w:ascii="Times New Roman" w:cs="Times New Roman" w:eastAsia="Times New Roman" w:hAnsi="Times New Roman"/>
          <w:sz w:val="18"/>
          <w:szCs w:val="18"/>
          <w:color w:val="auto"/>
        </w:rPr>
        <w:t>53, has been our Chief Human Resources Officer since February 2021. From May 2018 until February 2021, she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Human Resources. Prior to that, from April 2013 to April 2018, Ms. Jones was Vice President, Human Resources Operations. Ms. Jones joined the Company in October 2001 and has held a variety of positions in both Retail Operations and Human Resources. Prior to joining the Company, she held leadership positions with Converse, Inc., Jet Apparel and T.A.C. Group, Inc.</w:t>
      </w:r>
    </w:p>
    <w:p>
      <w:pPr>
        <w:spacing w:after="0" w:line="6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Robert S. Molloy, </w:t>
      </w:r>
      <w:r>
        <w:rPr>
          <w:rFonts w:ascii="Times New Roman" w:cs="Times New Roman" w:eastAsia="Times New Roman" w:hAnsi="Times New Roman"/>
          <w:sz w:val="18"/>
          <w:szCs w:val="18"/>
          <w:color w:val="auto"/>
        </w:rPr>
        <w:t>64, has been our General Counsel since February 2008 and Secretary of the Company since May 2014. From May 2018 until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Mr. Molloy also served as Chief Administrative Officer. Prior to joining the Company, Mr. Molloy served as the vice president, assistant general counsel at Staples, Inc. from May 1999 to February 2008. Prior to May 1999, Mr. Molloy was a trial attorney.</w:t>
      </w:r>
    </w:p>
    <w:p>
      <w:pPr>
        <w:spacing w:after="0" w:line="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James Reath</w:t>
      </w:r>
      <w:r>
        <w:rPr>
          <w:rFonts w:ascii="Times New Roman" w:cs="Times New Roman" w:eastAsia="Times New Roman" w:hAnsi="Times New Roman"/>
          <w:sz w:val="18"/>
          <w:szCs w:val="18"/>
          <w:color w:val="auto"/>
        </w:rPr>
        <w:t>, 52, joined the Company in September 2022 as our Chief Marketing Officer. Mr. Reath has over 20 years of marketing leadership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particular focus on omni-retail, digital marketing, brand building and consumer insights. Prior to joining the Company, he was the senior vice president of marketing at Bed Bath &amp; Beyond Inc. from January 2021 until July 2022. Prior to that, Mr. Reath served as the senior vice president, marketing at Macy’s, Inc. from April 2017 to December 2020. From November 2013 through April 2017, he was at BBDO New York where he served as executive vice president, head of retail from January 2016. Mr. Reath was with McKinney from June 2010 until November 2013, where he served as vice president and group account director until January 2012 when he was promoted to executive vice president – director of retail and shopper marketing and became a partner of the firm and member of the board of directors. He was also the chief marketing officer at Young &amp; Rubicam from April 2008 until June 2010. He serves on the New Jersey Regional Council of the American Red Cross.</w:t>
      </w:r>
    </w:p>
    <w:p>
      <w:pPr>
        <w:spacing w:after="0" w:line="14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i w:val="1"/>
          <w:iCs w:val="1"/>
          <w:color w:val="auto"/>
        </w:rPr>
        <w:t>Allison Surette</w:t>
      </w:r>
      <w:r>
        <w:rPr>
          <w:rFonts w:ascii="Times New Roman" w:cs="Times New Roman" w:eastAsia="Times New Roman" w:hAnsi="Times New Roman"/>
          <w:sz w:val="18"/>
          <w:szCs w:val="18"/>
          <w:color w:val="auto"/>
        </w:rPr>
        <w:t>, 43, has been our Chief Merchandising Officer since March 2022. Prior to that, Ms. Surette was the Senior Vice President,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Manager from May 2018 to March 2022 and Vice President, Merchandise Manager of Private Label, Active, Young Men’s and Outerwear from September 2016 to May 2018.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2023, we believe that the Reporting Persons complied with all applicable Section 16(a) reporting requirements and that all required reports were filed in a timely manner, other than, on October 16, 2023, we reported the late filing for Mr. Molloy of stock options exercised and sold on October 11, 2023.</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 Charters &amp; Policies” on the Investor Relations page of our corporate web 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qualify as an audit committee financial expert under the rules of the Securities Exchange Commission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from those that were described in our Definitive Proxy Statement for our 2023 Annual Meeting of Stockholders that was filed with the SEC on June 30, 2023.</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2023 (collectively, our “Named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2023 were:</w:t>
      </w:r>
    </w:p>
    <w:p>
      <w:pPr>
        <w:spacing w:after="0" w:line="225" w:lineRule="exact"/>
        <w:rPr>
          <w:sz w:val="20"/>
          <w:szCs w:val="20"/>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Harvey S. Kanter, President, CEO and Director</w:t>
      </w:r>
    </w:p>
    <w:p>
      <w:pPr>
        <w:spacing w:after="0" w:line="28"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Peter H. Stratton, Jr., Executive Vice President, CFO and Treasurer</w:t>
      </w:r>
    </w:p>
    <w:p>
      <w:pPr>
        <w:spacing w:after="0" w:line="8"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Anthony J. Gaeta, Chief Stores and Real Estate Officer</w:t>
      </w:r>
    </w:p>
    <w:p>
      <w:pPr>
        <w:spacing w:after="0" w:line="8"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Robert S. Molloy, General Counsel and Secretary</w:t>
      </w:r>
    </w:p>
    <w:p>
      <w:pPr>
        <w:spacing w:after="0" w:line="8"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Allison Surette, Chief Merchandising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2023 Financial and Executive Compensation Highlights</w:t>
      </w:r>
    </w:p>
    <w:p>
      <w:pPr>
        <w:spacing w:after="0" w:line="119"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auto"/>
        </w:rPr>
        <w:t>Fiscal 2023 proved to be a challenging year as uncertainty about the economy grew during the year, directly impacting the apparel retail market. The resulting decrease in consumer discretionary spending negatively impacted customer traffic and, as a result, our sales performance fell short of our expectations.</w:t>
      </w:r>
    </w:p>
    <w:p>
      <w:pPr>
        <w:spacing w:after="0" w:line="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When we approved the plan for fiscal 2023, we had just completed two record years of sales and earnings and, while we expected our sales growth to slow slightly, we did not expect the slowdown in customer traffic that we began to see in the second quarter of fiscal 2023. Despite these headwinds, fiscal 2023 was the second highest year of sales in the history of our Company, only behind fiscal 2022. Furthermore, our operational discipline allowed us to maintain a solid gross margin, manage our operating expenses, resulting in $27.9 million of net income and an adjusted EBITDA margin (a non-GAAP measure) of 10.7%.</w:t>
      </w:r>
    </w:p>
    <w:p>
      <w:pPr>
        <w:spacing w:after="0" w:line="7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 significant accomplishment in fiscal 2023 was the development and finalization of our long-range plan. In connection with our long-range plan, we renegotiated Mr. Kanter's employment agreement, extending the initial term of the agreement until August 11, 2026. We believe that this was an important step to ensure Mr. Kanter will oversee the execution of our long-range plan.</w:t>
      </w:r>
    </w:p>
    <w:p>
      <w:pPr>
        <w:spacing w:after="0" w:line="6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believe that the compensation earned by our Named Executive Officers in fiscal 2023 was aligned with our operating performance. The following table shows total compensation earned and total realized pay for each of the Named Executive Officers (NEOs) in fiscal 2023 as compared to fiscal 2022:</w:t>
      </w:r>
    </w:p>
    <w:tbl>
      <w:tblPr>
        <w:tblLayout w:type="fixed"/>
        <w:tblInd w:w="0" w:type="dxa"/>
        <w:tblCellMar>
          <w:top w:w="0" w:type="dxa"/>
          <w:left w:w="0" w:type="dxa"/>
          <w:bottom w:w="0" w:type="dxa"/>
          <w:right w:w="0" w:type="dxa"/>
        </w:tblCellMar>
      </w:tblPr>
      <w:tr>
        <w:trPr>
          <w:trHeight w:val="256"/>
        </w:trPr>
        <w:tc>
          <w:tcPr>
            <w:tcW w:w="2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Compensation</w:t>
            </w:r>
            <w:r>
              <w:rPr>
                <w:rFonts w:ascii="Times New Roman" w:cs="Times New Roman" w:eastAsia="Times New Roman" w:hAnsi="Times New Roman"/>
                <w:sz w:val="24"/>
                <w:szCs w:val="24"/>
                <w:b w:val="1"/>
                <w:bCs w:val="1"/>
                <w:color w:val="auto"/>
                <w:vertAlign w:val="superscript"/>
              </w:rPr>
              <w:t>(1)</w:t>
            </w:r>
          </w:p>
        </w:tc>
        <w:tc>
          <w:tcPr>
            <w:tcW w:w="12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ind w:left="920"/>
              <w:spacing w:after="0" w:line="256" w:lineRule="exact"/>
              <w:rPr>
                <w:sz w:val="20"/>
                <w:szCs w:val="20"/>
                <w:color w:val="auto"/>
              </w:rPr>
            </w:pPr>
            <w:r>
              <w:rPr>
                <w:rFonts w:ascii="Times New Roman" w:cs="Times New Roman" w:eastAsia="Times New Roman" w:hAnsi="Times New Roman"/>
                <w:sz w:val="18"/>
                <w:szCs w:val="18"/>
                <w:b w:val="1"/>
                <w:bCs w:val="1"/>
                <w:color w:val="auto"/>
                <w:w w:val="96"/>
              </w:rPr>
              <w:t xml:space="preserve">Total Realized Pay </w:t>
            </w:r>
            <w:r>
              <w:rPr>
                <w:rFonts w:ascii="Times New Roman" w:cs="Times New Roman" w:eastAsia="Times New Roman" w:hAnsi="Times New Roman"/>
                <w:sz w:val="24"/>
                <w:szCs w:val="24"/>
                <w:b w:val="1"/>
                <w:bCs w:val="1"/>
                <w:color w:val="auto"/>
                <w:w w:val="96"/>
                <w:vertAlign w:val="superscript"/>
              </w:rPr>
              <w:t>(2)</w:t>
            </w:r>
          </w:p>
        </w:tc>
        <w:tc>
          <w:tcPr>
            <w:tcW w:w="10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r>
      <w:tr>
        <w:trPr>
          <w:trHeight w:val="234"/>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40" w:type="dxa"/>
            <w:vAlign w:val="bottom"/>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24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4,269,385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6,881,634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38"/>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1,048,280</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1,153,866</w:t>
            </w:r>
          </w:p>
        </w:tc>
        <w:tc>
          <w:tcPr>
            <w:tcW w:w="240" w:type="dxa"/>
            <w:vAlign w:val="bottom"/>
          </w:tcPr>
          <w:p>
            <w:pPr>
              <w:spacing w:after="0"/>
              <w:rPr>
                <w:sz w:val="20"/>
                <w:szCs w:val="20"/>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1,124,903</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1,287,281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872,760</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831,020</w:t>
            </w:r>
          </w:p>
        </w:tc>
        <w:tc>
          <w:tcPr>
            <w:tcW w:w="24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993,374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899,072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948,334</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1,014,167</w:t>
            </w:r>
          </w:p>
        </w:tc>
        <w:tc>
          <w:tcPr>
            <w:tcW w:w="24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1,320,125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1,088,916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21.2 %</w:t>
            </w: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847,626</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818,948</w:t>
            </w:r>
          </w:p>
        </w:tc>
        <w:tc>
          <w:tcPr>
            <w:tcW w:w="24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904,688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850,290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5" w:lineRule="exact"/>
        <w:rPr>
          <w:sz w:val="20"/>
          <w:szCs w:val="20"/>
          <w:color w:val="auto"/>
        </w:rPr>
      </w:pPr>
    </w:p>
    <w:p>
      <w:pPr>
        <w:ind w:left="760" w:right="140" w:hanging="378"/>
        <w:spacing w:after="0" w:line="271"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primary driver of the increase in total compensation in fiscal 2023 as compared to fiscal 2022 for Mr. Kanter was due to 573,000 performance stock units, with a grant date fair value of $2.4 million, that were granted to Mr. Kanter in connection with the extension of his employment agreement. See “</w:t>
      </w:r>
      <w:r>
        <w:rPr>
          <w:rFonts w:ascii="Times New Roman" w:cs="Times New Roman" w:eastAsia="Times New Roman" w:hAnsi="Times New Roman"/>
          <w:sz w:val="16"/>
          <w:szCs w:val="16"/>
          <w:i w:val="1"/>
          <w:iCs w:val="1"/>
          <w:color w:val="auto"/>
        </w:rPr>
        <w:t>Compensation Components and Fiscal 2023 Compensation Decisions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Employment Agreement - Harvey S. Kanter, Chief Executive Officer and Director</w:t>
      </w:r>
      <w:r>
        <w:rPr>
          <w:rFonts w:ascii="Times New Roman" w:cs="Times New Roman" w:eastAsia="Times New Roman" w:hAnsi="Times New Roman"/>
          <w:sz w:val="16"/>
          <w:szCs w:val="16"/>
          <w:color w:val="auto"/>
        </w:rPr>
        <w:t>” below for additional information regarding the performance award granted in 2023. Total compensation for all of our Named Executive Officers for fiscal 2023 reflect a decrease in the performance payout of the annual incentive plan, with Mr. Gaeta and Ms. Surette's total compensation increasing due to increases in their base salaries received in fiscal 2023.</w:t>
      </w:r>
    </w:p>
    <w:p>
      <w:pPr>
        <w:spacing w:after="0" w:line="74" w:lineRule="exact"/>
        <w:rPr>
          <w:rFonts w:ascii="Times New Roman" w:cs="Times New Roman" w:eastAsia="Times New Roman" w:hAnsi="Times New Roman"/>
          <w:sz w:val="16"/>
          <w:szCs w:val="16"/>
          <w:color w:val="auto"/>
        </w:rPr>
      </w:pPr>
    </w:p>
    <w:p>
      <w:pPr>
        <w:ind w:left="760" w:right="120" w:hanging="378"/>
        <w:spacing w:after="0" w:line="282"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aligned with the interests of the Company’s stockholders.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6" w:lineRule="exact"/>
        <w:rPr>
          <w:rFonts w:ascii="Times New Roman" w:cs="Times New Roman" w:eastAsia="Times New Roman" w:hAnsi="Times New Roman"/>
          <w:sz w:val="18"/>
          <w:szCs w:val="18"/>
          <w:color w:val="auto"/>
        </w:rPr>
      </w:pPr>
    </w:p>
    <w:p>
      <w:pPr>
        <w:ind w:left="780" w:right="460" w:hanging="263"/>
        <w:spacing w:after="0" w:line="281"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5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which consists of total cash compensation (base salary and annual performance-based cash incentive awards) plus long-term incentive awards. Every year, the Compensation Committee assesses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ind w:left="2360"/>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5660" w:type="dxa"/>
            <w:vAlign w:val="bottom"/>
            <w:gridSpan w:val="3"/>
          </w:tcPr>
          <w:p>
            <w:pPr>
              <w:ind w:left="218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34"/>
        </w:trPr>
        <w:tc>
          <w:tcPr>
            <w:tcW w:w="23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351"/>
        </w:trPr>
        <w:tc>
          <w:tcPr>
            <w:tcW w:w="558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Focus on performance-based pay</w:t>
            </w:r>
          </w:p>
        </w:tc>
        <w:tc>
          <w:tcPr>
            <w:tcW w:w="5660" w:type="dxa"/>
            <w:vAlign w:val="bottom"/>
            <w:gridSpan w:val="3"/>
            <w:shd w:val="clear" w:color="auto" w:fill="CFF0FC"/>
          </w:tcPr>
          <w:p>
            <w:pPr>
              <w:ind w:left="3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re-pricing of underwater options</w:t>
            </w:r>
          </w:p>
        </w:tc>
      </w:tr>
      <w:tr>
        <w:trPr>
          <w:trHeight w:val="344"/>
        </w:trPr>
        <w:tc>
          <w:tcPr>
            <w:tcW w:w="558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Balance short-term and long-term incentives</w:t>
            </w:r>
          </w:p>
        </w:tc>
        <w:tc>
          <w:tcPr>
            <w:tcW w:w="5660" w:type="dxa"/>
            <w:vAlign w:val="bottom"/>
            <w:gridSpan w:val="3"/>
          </w:tcPr>
          <w:p>
            <w:pPr>
              <w:ind w:left="3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hedging or pledging of Company stock</w:t>
            </w:r>
          </w:p>
        </w:tc>
      </w:tr>
      <w:tr>
        <w:trPr>
          <w:trHeight w:val="357"/>
        </w:trPr>
        <w:tc>
          <w:tcPr>
            <w:tcW w:w="558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Use multiple targets for performance awards</w:t>
            </w:r>
          </w:p>
        </w:tc>
        <w:tc>
          <w:tcPr>
            <w:tcW w:w="5660" w:type="dxa"/>
            <w:vAlign w:val="bottom"/>
            <w:gridSpan w:val="3"/>
            <w:shd w:val="clear" w:color="auto" w:fill="CFF0FC"/>
          </w:tcPr>
          <w:p>
            <w:pPr>
              <w:ind w:left="3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tax gross-up on severance payments</w:t>
            </w:r>
          </w:p>
        </w:tc>
      </w:tr>
      <w:tr>
        <w:trPr>
          <w:trHeight w:val="344"/>
        </w:trPr>
        <w:tc>
          <w:tcPr>
            <w:tcW w:w="558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Provide executives with very limited perquisites</w:t>
            </w:r>
          </w:p>
        </w:tc>
        <w:tc>
          <w:tcPr>
            <w:tcW w:w="5660" w:type="dxa"/>
            <w:vAlign w:val="bottom"/>
            <w:gridSpan w:val="3"/>
          </w:tcPr>
          <w:p>
            <w:pPr>
              <w:ind w:left="3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supplemental executive retirement plan</w:t>
            </w:r>
          </w:p>
        </w:tc>
      </w:tr>
      <w:tr>
        <w:trPr>
          <w:trHeight w:val="357"/>
        </w:trPr>
        <w:tc>
          <w:tcPr>
            <w:tcW w:w="558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Require “double-trigger” change-in-control provisions</w:t>
            </w:r>
          </w:p>
        </w:tc>
        <w:tc>
          <w:tcPr>
            <w:tcW w:w="21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19"/>
        </w:trPr>
        <w:tc>
          <w:tcPr>
            <w:tcW w:w="558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Maintain a “clawback” policy covering incentive cash and equity</w:t>
            </w:r>
          </w:p>
        </w:tc>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1"/>
        </w:trPr>
        <w:tc>
          <w:tcPr>
            <w:tcW w:w="55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programs</w:t>
            </w:r>
          </w:p>
        </w:tc>
        <w:tc>
          <w:tcPr>
            <w:tcW w:w="2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57"/>
        </w:trPr>
        <w:tc>
          <w:tcPr>
            <w:tcW w:w="558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Seek to mitigate undue risk in compensation plans</w:t>
            </w:r>
          </w:p>
        </w:tc>
        <w:tc>
          <w:tcPr>
            <w:tcW w:w="21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44"/>
        </w:trPr>
        <w:tc>
          <w:tcPr>
            <w:tcW w:w="558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Utilize an independent compensation consultant</w:t>
            </w:r>
          </w:p>
        </w:tc>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7"/>
        </w:trPr>
        <w:tc>
          <w:tcPr>
            <w:tcW w:w="23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2300" w:type="dxa"/>
            <w:vAlign w:val="bottom"/>
            <w:shd w:val="clear" w:color="auto" w:fill="CFF0FC"/>
          </w:tcPr>
          <w:p>
            <w:pPr>
              <w:spacing w:after="0"/>
              <w:rPr>
                <w:sz w:val="24"/>
                <w:szCs w:val="24"/>
                <w:color w:val="auto"/>
              </w:rPr>
            </w:pPr>
          </w:p>
        </w:tc>
        <w:tc>
          <w:tcPr>
            <w:tcW w:w="21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Compensation Committee has the authority to retain any compensation consultant, legal counsel and/or other adviser to assist in carrying out its duties, including the review of compensation of our Named Executive Officers. The Compensation Committee may accept, reject or modify any recommendations by compensation consultants or other outside advisors.</w:t>
      </w:r>
    </w:p>
    <w:p>
      <w:pPr>
        <w:spacing w:after="0" w:line="6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2023, the Compensation Committee and Mr. Kanter agreed to extend the "initial term" of his employment agreement from April 1, 2025 to August 11, 2026. In connection with this extension, the Compensation Committee engaged Segal to review Mr. Kanter's base salary and total direct compensation as well as provide guidance on the terms, conditions and value of a performance award that served both as a retention award to extend his employment to August 2026 and satisfy the commitment in the employment agreement to grant Mr. Kanter a new performance award if the third tranche of his initial new-hire performance award did not vest. See “</w:t>
      </w:r>
      <w:r>
        <w:rPr>
          <w:rFonts w:ascii="Times New Roman" w:cs="Times New Roman" w:eastAsia="Times New Roman" w:hAnsi="Times New Roman"/>
          <w:sz w:val="18"/>
          <w:szCs w:val="18"/>
          <w:i w:val="1"/>
          <w:iCs w:val="1"/>
          <w:color w:val="auto"/>
        </w:rPr>
        <w:t>Compensation Components and Fiscal 2023 Compensation Decisions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Harvey S. Kanter, Chief Executive Officer and Director</w:t>
      </w:r>
      <w:r>
        <w:rPr>
          <w:rFonts w:ascii="Times New Roman" w:cs="Times New Roman" w:eastAsia="Times New Roman" w:hAnsi="Times New Roman"/>
          <w:sz w:val="18"/>
          <w:szCs w:val="18"/>
          <w:color w:val="auto"/>
        </w:rPr>
        <w:t>” below for additional information regarding the performance award granted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market insights from Segal, including information derived from published surveys on CEO compensation in retail companies with annual revenues of $500 million to $1.0 billion and trends in CEO compensation, there were no other changes to Mr. Kanter's compensation.</w:t>
      </w:r>
    </w:p>
    <w:p>
      <w:pPr>
        <w:spacing w:after="0" w:line="189"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18"/>
          <w:szCs w:val="18"/>
          <w:color w:val="auto"/>
        </w:rPr>
        <w:t>In March of 2023, the Compensation Committee also engaged Korn Ferry to review its peer group for purposes of reviewing and determining compensation decisions for fiscal 2023. The Compensation Committee has assessed Korn Ferry’s independence and has concluded that no conflict of interest exists with respect to the services that it performs.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Target Compensation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With respect to setting 2023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working with Segal, the Compensation Committee compared each element of the CEO’s Direct Compensation to published survey data and data from the Company’s peer group. The Compensation Committee’s objective was that total target compensation should approximate the median target compensation of the Company’s peer group. In addition, as discussed below, in August 2023, the Company extended its employment agreement with Mr. Kanter, which included a grant of a performance stock units.</w:t>
      </w:r>
    </w:p>
    <w:p>
      <w:pPr>
        <w:spacing w:after="0" w:line="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makes recommendations regarding the compensation paid to our other Named Executive Officers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for its review and approval. Our Named Executive Officers other than the CEO are provided with a competitive base salary and an opportunity to earn performance awards each year, which are driven by our overall financial targets, and to participate in our equity incentive plans.</w:t>
      </w:r>
    </w:p>
    <w:p>
      <w:pPr>
        <w:spacing w:after="0" w:line="6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2022, Korn Ferry completed a study that evaluated all positions at our corporate office, from entry level to the CEO, and using their job leveling methodology, created a career framework of job levels based on scope, complexity, and responsibilities of each role. The CEO, together with the Chief Human Resources Officer, uses this framework and the respective job levels when evaluating the annual compensation paid to the other Named Executive Officers.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 Group</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2023 peer group were:</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Big 5 Sporting Goods</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J.Jill, Inc.</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Vera Bradley</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Build-A-Bear Workshop, Inc.</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Kirkland’s, Inc.</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Vince Holding Corp.</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Cato Group</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Movado Group</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Zumiez, Inc.</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 Trends</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Shoe Carnival</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Apparel, Inc.</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Tile Shop Holdings</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Duluth Holding, Inc.</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Tilly’s Inc.</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3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considered domestic, publicly traded companies with a range of revenues and market capitalizations that may differ from those included by independent analysts such as Institutional Shareholder Services (ISS).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 As compared to our fiscal 2023 peers, we fell just below the median for revenues and slightly below the 85% percentile for market capitalization. Because our stock is so thinly traded, more weight was given to revenue than to market capitalization.</w:t>
      </w:r>
    </w:p>
    <w:p>
      <w:pPr>
        <w:spacing w:after="0" w:line="18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In fiscal 2024, the Compensation Committee engaged Korn Ferry again to review its peer group for fiscal 2024. As a result of that review and based on the recommendations of Korn Ferry, the Company has added Rocky Brands to its fiscal 2024 peer group and removed Tile Shop Holdings because it is not in the apparel business and therefore may not be affected by the same trends that affect specialty retail apparel.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At our 2023 Annual Meeting, stockholders voted on a non-binding advisory proposal as to the frequency with which we should conduct an advisory vote on executive compensation (a "say-on-pay proposal"). At that meeting, and in accordance with the recommendation of our Board, 97.2% of votes cast voted for the “one-year” frequency for advisory votes on executive compensation. Therefore, we intend to hold an advisory “say-on-pay” vote every year until the next “say-on-pay” frequency vote by our stockholders which will be at our 2029 Annual Meeting.</w:t>
      </w:r>
    </w:p>
    <w:p>
      <w:pPr>
        <w:spacing w:after="0" w:line="74"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At our 2023 Annual Meeting, stockholders voted on a non-binding advisory vote on executive compensation as disclosed in the 2023 Proxy Statement. Of the votes cast at the 2023 Annual Meeting on the “say-on-pay” proposal, 98.9% voted in favor of the proposal. The Compensation Committee considered the results of the 2023 advisory vote and believes that it affirms support of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9" w:name="page10"/>
    <w:bookmarkEnd w:id="9"/>
    <w:p>
      <w:pPr>
        <w:ind w:right="120"/>
        <w:spacing w:after="0" w:line="281" w:lineRule="auto"/>
        <w:rPr>
          <w:sz w:val="20"/>
          <w:szCs w:val="20"/>
          <w:color w:val="auto"/>
        </w:rPr>
      </w:pPr>
      <w:r>
        <w:rPr>
          <w:rFonts w:ascii="Times New Roman" w:cs="Times New Roman" w:eastAsia="Times New Roman" w:hAnsi="Times New Roman"/>
          <w:sz w:val="18"/>
          <w:szCs w:val="18"/>
          <w:color w:val="auto"/>
        </w:rPr>
        <w:t>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risk-taking by our employees. Our emphasis on performance-based annual and long-term incentive awards is designed to align executives with preserving and enhancing stockholder value. In addition, we use multiple objectives for our annual incentive plan (“AIP”), which limits the potential benefit from any single event of excessive risk-taking, and a cap on total payouts, as well as management processes in place for establishing key performance targets and monitoring our metrics. In addition, we have clawback policies in place relating to recoupment of compensation in the event of accounting restatements and misconduct of our executives, as described below under “Clawback Policies.” Based on these considerations, among others, we do not believe that our compensation policies and practices create risks that are likely to have a material adverse effect on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2023 Compensation Decisions</w:t>
      </w:r>
    </w:p>
    <w:p>
      <w:pPr>
        <w:spacing w:after="0" w:line="12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 2023 included base salary (“fixed compensation”), annual performance-based cash incentives under our AIP and long-term cash and/or equity incentives under our Long-Term Incentive Plan (“LTIP") (“at-risk compensation”). The annual weight of each component leads to the following allocation of potential compensation that each executive can earn. The CEO Target Compensation excludes the grant of performance stock units granted to Mr. Kanter in connection with the extension in August 2023 of his employment agreement, which served as a retention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195580</wp:posOffset>
            </wp:positionV>
            <wp:extent cx="4846320" cy="1327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46320"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5" w:lineRule="exact"/>
        <w:rPr>
          <w:sz w:val="20"/>
          <w:szCs w:val="20"/>
          <w:color w:val="auto"/>
        </w:rPr>
      </w:pPr>
    </w:p>
    <w:p>
      <w:pPr>
        <w:ind w:left="780" w:hanging="26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8" w:lineRule="exact"/>
        <w:rPr>
          <w:rFonts w:ascii="Times New Roman" w:cs="Times New Roman" w:eastAsia="Times New Roman" w:hAnsi="Times New Roman"/>
          <w:sz w:val="18"/>
          <w:szCs w:val="18"/>
          <w:color w:val="auto"/>
        </w:rPr>
      </w:pPr>
    </w:p>
    <w:p>
      <w:pPr>
        <w:ind w:left="760"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4" w:lineRule="exact"/>
        <w:rPr>
          <w:rFonts w:ascii="Times New Roman" w:cs="Times New Roman" w:eastAsia="Times New Roman" w:hAnsi="Times New Roman"/>
          <w:sz w:val="18"/>
          <w:szCs w:val="18"/>
          <w:color w:val="auto"/>
        </w:rPr>
      </w:pPr>
    </w:p>
    <w:p>
      <w:pPr>
        <w:ind w:left="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be considered with respect to an individual’s promotion that may occur during the fiscal year, and any modifications in the individual's level of responsibility.</w:t>
      </w:r>
    </w:p>
    <w:p>
      <w:pPr>
        <w:spacing w:after="0" w:line="73" w:lineRule="exact"/>
        <w:rPr>
          <w:rFonts w:ascii="Times New Roman" w:cs="Times New Roman" w:eastAsia="Times New Roman" w:hAnsi="Times New Roman"/>
          <w:sz w:val="18"/>
          <w:szCs w:val="18"/>
          <w:color w:val="auto"/>
        </w:rPr>
      </w:pPr>
    </w:p>
    <w:p>
      <w:pPr>
        <w:ind w:left="760"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approximate 25%-33% of his target Direct Compensation. The base salary of our other Named Executive Officers is recommended by our CEO to the Compensation Committee for its review and approval, and targets the median of the peer group and published industry compensation surveys.</w:t>
      </w:r>
    </w:p>
    <w:p>
      <w:pPr>
        <w:spacing w:after="0" w:line="69" w:lineRule="exact"/>
        <w:rPr>
          <w:rFonts w:ascii="Times New Roman" w:cs="Times New Roman" w:eastAsia="Times New Roman" w:hAnsi="Times New Roman"/>
          <w:sz w:val="18"/>
          <w:szCs w:val="18"/>
          <w:color w:val="auto"/>
        </w:rPr>
      </w:pPr>
    </w:p>
    <w:p>
      <w:pPr>
        <w:ind w:left="760" w:right="3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Mr. Gaeta was named Chief Stores and Real Estate Officer, and his salary was increased from $325,000 to $400,000, and Ms. Surette's salary was adjusted from $350,000 to $375,000.</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Subsequent to fiscal 2023, Messrs. Stratton, Gaeta and Molloy and Ms. Surette each received a 3% merit increase.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0" w:name="page11"/>
    <w:bookmarkEnd w:id="10"/>
    <w:p>
      <w:pPr>
        <w:ind w:left="263" w:hanging="263"/>
        <w:spacing w:after="0"/>
        <w:tabs>
          <w:tab w:leader="none" w:pos="2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 (AIP)</w:t>
      </w:r>
    </w:p>
    <w:p>
      <w:pPr>
        <w:spacing w:after="0" w:line="226" w:lineRule="exact"/>
        <w:rPr>
          <w:rFonts w:ascii="Times New Roman" w:cs="Times New Roman" w:eastAsia="Times New Roman" w:hAnsi="Times New Roman"/>
          <w:sz w:val="18"/>
          <w:szCs w:val="18"/>
          <w:color w:val="auto"/>
        </w:rPr>
      </w:pPr>
    </w:p>
    <w:p>
      <w:pPr>
        <w:ind w:left="243"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The Company’s AIP is an annual performance-based incentive plan that provides a cash award to participants based on achievement of specified corporate, departmental and individual targets.</w:t>
      </w:r>
    </w:p>
    <w:p>
      <w:pPr>
        <w:spacing w:after="0" w:line="177" w:lineRule="exact"/>
        <w:rPr>
          <w:rFonts w:ascii="Times New Roman" w:cs="Times New Roman" w:eastAsia="Times New Roman" w:hAnsi="Times New Roman"/>
          <w:sz w:val="18"/>
          <w:szCs w:val="18"/>
          <w:color w:val="auto"/>
        </w:rPr>
      </w:pPr>
    </w:p>
    <w:p>
      <w:pPr>
        <w:ind w:left="2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2023 AIP Awards</w:t>
      </w:r>
    </w:p>
    <w:p>
      <w:pPr>
        <w:spacing w:after="0" w:line="116" w:lineRule="exact"/>
        <w:rPr>
          <w:rFonts w:ascii="Times New Roman" w:cs="Times New Roman" w:eastAsia="Times New Roman" w:hAnsi="Times New Roman"/>
          <w:sz w:val="18"/>
          <w:szCs w:val="18"/>
          <w:color w:val="auto"/>
        </w:rPr>
      </w:pPr>
    </w:p>
    <w:p>
      <w:pPr>
        <w:ind w:left="243"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2023, the Compensation Committee established the financial, operating and performance metrics for the 2023 AIP. Traditionally, the metrics for the AIP have been focused on the financial and operating performance of the Company in relation to our board-approved budget. However, given the significant uncertainty surrounding the U.S. economy, and the retail industry in particular, in order to keep employees engaged and motivated to achieve our strategic objectives should the macroeconomic situation deteriorate in 2023, the Compensation Committee added a second tier to the 2023 AIP program that was a relative measure, comparing the Company's financial performance in fiscal 2023 against the financial performance of its 2023 peer group, as listed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243"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two-tier structure, the payout related to corporate or departmental targets accounted for 80% of the potential award and was determined based on the higher achievement of either TIER I (based on the Company’s approved financial plan) or TIER II (based on the relative financial performance of the Company to its 2023 peers).</w:t>
      </w:r>
    </w:p>
    <w:p>
      <w:pPr>
        <w:spacing w:after="0" w:line="69" w:lineRule="exact"/>
        <w:rPr>
          <w:rFonts w:ascii="Times New Roman" w:cs="Times New Roman" w:eastAsia="Times New Roman" w:hAnsi="Times New Roman"/>
          <w:sz w:val="18"/>
          <w:szCs w:val="18"/>
          <w:color w:val="auto"/>
        </w:rPr>
      </w:pPr>
    </w:p>
    <w:p>
      <w:pPr>
        <w:ind w:left="243"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 Company performance metrics consisted of corporate targets for Sales and Adjusted EBITDA and departmental targets, if applicable, for Store Operations, Marketing &amp; Digital, and Merchandise/Planning and Allocation. Under TIER I, the Company’s financial performance metrics accounted for 80% of the potential award for Messrs. Kanter, Stratton and Molloy and 40% of the potential award for Mr. Gaeta and Ms. Surette. Mr. Gaeta’s performance metrics included specific store operation targets, and Ms. Surette's performance metrics included specific merchandising, planning and allocation targets, and accounted for 40% of their respective potential award. The performance metrics were derived from the Company’s annual operating plan for fiscal 2023. The Compensation Committee believed that sales and adjusted EBITDA continued to be the two most significant financial metrics for the 2023 AIP.</w:t>
      </w:r>
    </w:p>
    <w:p>
      <w:pPr>
        <w:spacing w:after="0" w:line="78" w:lineRule="exact"/>
        <w:rPr>
          <w:rFonts w:ascii="Times New Roman" w:cs="Times New Roman" w:eastAsia="Times New Roman" w:hAnsi="Times New Roman"/>
          <w:sz w:val="18"/>
          <w:szCs w:val="18"/>
          <w:color w:val="auto"/>
        </w:rPr>
      </w:pPr>
    </w:p>
    <w:p>
      <w:pPr>
        <w:ind w:left="243"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Company performance metrics consisted of corporate targets for Comparable Sales and Adjusted EBITDA Margin, each accounting for 40% of the potential award for each participant. Our Comparable Sales and Adjusted EBITDA Margin results for fiscal 2023 were compared to our 2023 peer group on a quartile ranking. For each metric, if the Company ranked in (i) the top quartile, the payout would be 100%; (ii) the second quartile, the payout would be 75%; and (iii) the third quartile, the payout would be 50%. No payout would be earned if the Company finished in the fourth quartile.</w:t>
      </w:r>
    </w:p>
    <w:p>
      <w:pPr>
        <w:spacing w:after="0" w:line="74" w:lineRule="exact"/>
        <w:rPr>
          <w:rFonts w:ascii="Times New Roman" w:cs="Times New Roman" w:eastAsia="Times New Roman" w:hAnsi="Times New Roman"/>
          <w:sz w:val="18"/>
          <w:szCs w:val="18"/>
          <w:color w:val="auto"/>
        </w:rPr>
      </w:pPr>
    </w:p>
    <w:p>
      <w:pPr>
        <w:ind w:left="243"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metrics consisted of discretionary personal goals that accounted for the remaining 20% of the potential award for each of the Named Executive Officers under either TIER I or TIER II. See footnote 6 to the below table for a discussion of these individual targets.</w:t>
      </w:r>
    </w:p>
    <w:p>
      <w:pPr>
        <w:spacing w:after="0" w:line="54" w:lineRule="exact"/>
        <w:rPr>
          <w:rFonts w:ascii="Times New Roman" w:cs="Times New Roman" w:eastAsia="Times New Roman" w:hAnsi="Times New Roman"/>
          <w:sz w:val="18"/>
          <w:szCs w:val="18"/>
          <w:color w:val="auto"/>
        </w:rPr>
      </w:pPr>
    </w:p>
    <w:p>
      <w:pPr>
        <w:ind w:left="243"/>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Mr. Kanter’s target participation in the AIP was at 100% of his earned salary with the potential to earn up to 200% of the TIER I corporate targets and 100% of the TIER II corporate targets; Mr. Stratton's target participation was 60% of his earned salary with the potential to earn up to 150% of the TIER I corporate targets and 100% of the TIER II corporate targets, and the target participation for Messrs. Molloy and Gaeta and Ms. Surette was 50% of their respective earned salaries with the potential to earn up to 150% of the TIER I corporate and departmental targets and 100% of the TIER II corporate targets. Mr. Kanter had the potential to earn up to 200% of his individual target and Messrs. Stratton, Molloy and Gaeta and Ms. Surette had the potential to earn up to 150% of their individual targets.</w:t>
      </w:r>
    </w:p>
    <w:p>
      <w:pPr>
        <w:spacing w:after="0" w:line="77" w:lineRule="exact"/>
        <w:rPr>
          <w:rFonts w:ascii="Times New Roman" w:cs="Times New Roman" w:eastAsia="Times New Roman" w:hAnsi="Times New Roman"/>
          <w:sz w:val="18"/>
          <w:szCs w:val="18"/>
          <w:color w:val="auto"/>
        </w:rPr>
      </w:pPr>
    </w:p>
    <w:p>
      <w:pPr>
        <w:ind w:left="243"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AIP metrics were intended to be achievable, with an approximate 50% probability of achievement. The 2023 AIP performance metrics and actual results against these metrics were as follows:</w:t>
      </w:r>
    </w:p>
    <w:p>
      <w:pPr>
        <w:spacing w:after="0" w:line="200" w:lineRule="exact"/>
        <w:rPr>
          <w:sz w:val="20"/>
          <w:szCs w:val="20"/>
          <w:color w:val="auto"/>
        </w:rPr>
      </w:pPr>
    </w:p>
    <w:p>
      <w:pPr>
        <w:spacing w:after="0" w:line="39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9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Weight for</w:t>
            </w:r>
          </w:p>
        </w:tc>
        <w:tc>
          <w:tcPr>
            <w:tcW w:w="78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Award</w:t>
            </w:r>
          </w:p>
        </w:tc>
        <w:tc>
          <w:tcPr>
            <w:tcW w:w="6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Metric,</w:t>
            </w:r>
          </w:p>
        </w:tc>
        <w:tc>
          <w:tcPr>
            <w:tcW w:w="7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78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 Weight</w:t>
            </w:r>
          </w:p>
        </w:tc>
        <w:tc>
          <w:tcPr>
            <w:tcW w:w="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Mr. Gaeta</w:t>
            </w:r>
          </w:p>
        </w:tc>
        <w:tc>
          <w:tcPr>
            <w:tcW w:w="1460" w:type="dxa"/>
            <w:vAlign w:val="bottom"/>
            <w:gridSpan w:val="6"/>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 Metric for Metric</w:t>
            </w:r>
          </w:p>
        </w:tc>
        <w:tc>
          <w:tcPr>
            <w:tcW w:w="2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8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24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Ms.</w:t>
            </w:r>
          </w:p>
        </w:tc>
        <w:tc>
          <w:tcPr>
            <w:tcW w:w="78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for Ms.</w:t>
            </w:r>
          </w:p>
        </w:tc>
        <w:tc>
          <w:tcPr>
            <w:tcW w:w="222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6"/>
              </w:rPr>
              <w:t>Surette</w:t>
            </w:r>
          </w:p>
        </w:tc>
        <w:tc>
          <w:tcPr>
            <w:tcW w:w="200" w:type="dxa"/>
            <w:vAlign w:val="bottom"/>
          </w:tcPr>
          <w:p>
            <w:pPr>
              <w:spacing w:after="0"/>
              <w:rPr>
                <w:sz w:val="13"/>
                <w:szCs w:val="13"/>
                <w:color w:val="auto"/>
              </w:rPr>
            </w:pPr>
          </w:p>
        </w:tc>
        <w:tc>
          <w:tcPr>
            <w:tcW w:w="780" w:type="dxa"/>
            <w:vAlign w:val="bottom"/>
            <w:gridSpan w:val="3"/>
          </w:tcPr>
          <w:p>
            <w:pPr>
              <w:jc w:val="center"/>
              <w:ind w:left="8"/>
              <w:spacing w:after="0" w:line="159" w:lineRule="exact"/>
              <w:rPr>
                <w:sz w:val="20"/>
                <w:szCs w:val="20"/>
                <w:color w:val="auto"/>
              </w:rPr>
            </w:pPr>
            <w:r>
              <w:rPr>
                <w:rFonts w:ascii="Times New Roman" w:cs="Times New Roman" w:eastAsia="Times New Roman" w:hAnsi="Times New Roman"/>
                <w:sz w:val="14"/>
                <w:szCs w:val="14"/>
                <w:b w:val="1"/>
                <w:bCs w:val="1"/>
                <w:color w:val="auto"/>
                <w:w w:val="99"/>
              </w:rPr>
              <w:t>Mr. Gaeta</w:t>
            </w:r>
          </w:p>
        </w:tc>
        <w:tc>
          <w:tcPr>
            <w:tcW w:w="12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Surette</w:t>
            </w:r>
          </w:p>
        </w:tc>
        <w:tc>
          <w:tcPr>
            <w:tcW w:w="540" w:type="dxa"/>
            <w:vAlign w:val="bottom"/>
          </w:tcPr>
          <w:p>
            <w:pPr>
              <w:spacing w:after="0"/>
              <w:rPr>
                <w:sz w:val="13"/>
                <w:szCs w:val="13"/>
                <w:color w:val="auto"/>
              </w:rPr>
            </w:pPr>
          </w:p>
        </w:tc>
        <w:tc>
          <w:tcPr>
            <w:tcW w:w="1680" w:type="dxa"/>
            <w:vAlign w:val="bottom"/>
            <w:gridSpan w:val="2"/>
          </w:tcPr>
          <w:p>
            <w:pPr>
              <w:jc w:val="center"/>
              <w:ind w:right="660"/>
              <w:spacing w:after="0" w:line="15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880" w:type="dxa"/>
            <w:vAlign w:val="bottom"/>
            <w:gridSpan w:val="3"/>
          </w:tcPr>
          <w:p>
            <w:pPr>
              <w:ind w:left="260"/>
              <w:spacing w:after="0" w:line="159" w:lineRule="exact"/>
              <w:rPr>
                <w:sz w:val="20"/>
                <w:szCs w:val="20"/>
                <w:color w:val="auto"/>
              </w:rPr>
            </w:pPr>
            <w:r>
              <w:rPr>
                <w:rFonts w:ascii="Times New Roman" w:cs="Times New Roman" w:eastAsia="Times New Roman" w:hAnsi="Times New Roman"/>
                <w:sz w:val="14"/>
                <w:szCs w:val="14"/>
                <w:b w:val="1"/>
                <w:bCs w:val="1"/>
                <w:color w:val="auto"/>
              </w:rPr>
              <w:t>Target</w:t>
            </w:r>
          </w:p>
        </w:tc>
        <w:tc>
          <w:tcPr>
            <w:tcW w:w="20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gridSpan w:val="3"/>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gridSpan w:val="9"/>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 (1)</w:t>
            </w: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4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180" w:type="dxa"/>
            <w:vAlign w:val="bottom"/>
            <w:gridSpan w:val="2"/>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80" w:type="dxa"/>
            <w:vAlign w:val="bottom"/>
            <w:gridSpan w:val="3"/>
            <w:shd w:val="clear" w:color="auto" w:fill="CFF0FC"/>
          </w:tcPr>
          <w:p>
            <w:pPr>
              <w:ind w:left="540"/>
              <w:spacing w:after="0" w:line="137" w:lineRule="exact"/>
              <w:rPr>
                <w:sz w:val="20"/>
                <w:szCs w:val="20"/>
                <w:color w:val="auto"/>
              </w:rPr>
            </w:pPr>
            <w:r>
              <w:rPr>
                <w:rFonts w:ascii="Times New Roman" w:cs="Times New Roman" w:eastAsia="Times New Roman" w:hAnsi="Times New Roman"/>
                <w:sz w:val="14"/>
                <w:szCs w:val="14"/>
                <w:color w:val="auto"/>
              </w:rPr>
              <w:t>Sales</w:t>
            </w:r>
          </w:p>
        </w:tc>
        <w:tc>
          <w:tcPr>
            <w:tcW w:w="800" w:type="dxa"/>
            <w:vAlign w:val="bottom"/>
            <w:gridSpan w:val="3"/>
            <w:shd w:val="clear" w:color="auto" w:fill="CFF0FC"/>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center"/>
              <w:ind w:left="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8"/>
              <w:spacing w:after="0" w:line="137"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FF0FC"/>
          </w:tcPr>
          <w:p>
            <w:pPr>
              <w:spacing w:after="0"/>
              <w:rPr>
                <w:sz w:val="11"/>
                <w:szCs w:val="11"/>
                <w:color w:val="auto"/>
              </w:rPr>
            </w:pPr>
          </w:p>
        </w:tc>
        <w:tc>
          <w:tcPr>
            <w:tcW w:w="2220" w:type="dxa"/>
            <w:vAlign w:val="bottom"/>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80" w:type="dxa"/>
            <w:vAlign w:val="bottom"/>
            <w:gridSpan w:val="2"/>
            <w:shd w:val="clear" w:color="auto" w:fill="CFF0FC"/>
          </w:tcPr>
          <w:p>
            <w:pPr>
              <w:ind w:left="280"/>
              <w:spacing w:after="0" w:line="137" w:lineRule="exact"/>
              <w:rPr>
                <w:sz w:val="20"/>
                <w:szCs w:val="20"/>
                <w:color w:val="auto"/>
              </w:rPr>
            </w:pPr>
            <w:r>
              <w:rPr>
                <w:rFonts w:ascii="Times New Roman" w:cs="Times New Roman" w:eastAsia="Times New Roman" w:hAnsi="Times New Roman"/>
                <w:sz w:val="14"/>
                <w:szCs w:val="14"/>
                <w:color w:val="auto"/>
                <w:w w:val="98"/>
              </w:rPr>
              <w:t>$576.9</w:t>
            </w:r>
          </w:p>
        </w:tc>
        <w:tc>
          <w:tcPr>
            <w:tcW w:w="2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ind w:left="200"/>
              <w:spacing w:after="0" w:line="137" w:lineRule="exact"/>
              <w:rPr>
                <w:sz w:val="20"/>
                <w:szCs w:val="20"/>
                <w:color w:val="auto"/>
              </w:rPr>
            </w:pPr>
            <w:r>
              <w:rPr>
                <w:rFonts w:ascii="Times New Roman" w:cs="Times New Roman" w:eastAsia="Times New Roman" w:hAnsi="Times New Roman"/>
                <w:sz w:val="14"/>
                <w:szCs w:val="14"/>
                <w:color w:val="auto"/>
                <w:w w:val="98"/>
              </w:rPr>
              <w:t>$521.8</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ind w:left="88"/>
              <w:spacing w:after="0" w:line="137" w:lineRule="exact"/>
              <w:rPr>
                <w:sz w:val="20"/>
                <w:szCs w:val="20"/>
                <w:color w:val="auto"/>
              </w:rPr>
            </w:pPr>
            <w:r>
              <w:rPr>
                <w:rFonts w:ascii="Times New Roman" w:cs="Times New Roman" w:eastAsia="Times New Roman" w:hAnsi="Times New Roman"/>
                <w:sz w:val="14"/>
                <w:szCs w:val="14"/>
                <w:color w:val="auto"/>
              </w:rPr>
              <w:t>0.0%</w:t>
            </w: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gridSpan w:val="2"/>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8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20" w:type="dxa"/>
            <w:vAlign w:val="bottom"/>
            <w:gridSpan w:val="3"/>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rPr>
              <w:t>payout at 95.3% of target and</w:t>
            </w:r>
          </w:p>
        </w:tc>
        <w:tc>
          <w:tcPr>
            <w:tcW w:w="880" w:type="dxa"/>
            <w:vAlign w:val="bottom"/>
            <w:gridSpan w:val="3"/>
            <w:shd w:val="clear" w:color="auto" w:fill="CFF0FC"/>
          </w:tcPr>
          <w:p>
            <w:pPr>
              <w:ind w:left="26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20" w:type="dxa"/>
            <w:vAlign w:val="bottom"/>
            <w:gridSpan w:val="3"/>
            <w:shd w:val="clear" w:color="auto" w:fill="CFF0FC"/>
          </w:tcPr>
          <w:p>
            <w:pPr>
              <w:ind w:left="20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150%  payout  at  100.5%  of</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Kanter  who  is  eligible  for  a</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2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maximum  payout  of  200%  at</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100.5% of target.</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80" w:type="dxa"/>
            <w:vAlign w:val="bottom"/>
            <w:gridSpan w:val="3"/>
          </w:tcPr>
          <w:p>
            <w:pPr>
              <w:ind w:left="540"/>
              <w:spacing w:after="0" w:line="137" w:lineRule="exact"/>
              <w:rPr>
                <w:sz w:val="20"/>
                <w:szCs w:val="20"/>
                <w:color w:val="auto"/>
              </w:rPr>
            </w:pPr>
            <w:r>
              <w:rPr>
                <w:rFonts w:ascii="Times New Roman" w:cs="Times New Roman" w:eastAsia="Times New Roman" w:hAnsi="Times New Roman"/>
                <w:sz w:val="14"/>
                <w:szCs w:val="14"/>
                <w:color w:val="auto"/>
              </w:rPr>
              <w:t>Adjusted</w:t>
            </w:r>
          </w:p>
        </w:tc>
        <w:tc>
          <w:tcPr>
            <w:tcW w:w="800" w:type="dxa"/>
            <w:vAlign w:val="bottom"/>
            <w:gridSpan w:val="3"/>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1"/>
                <w:szCs w:val="11"/>
                <w:color w:val="auto"/>
              </w:rPr>
            </w:pPr>
          </w:p>
        </w:tc>
        <w:tc>
          <w:tcPr>
            <w:tcW w:w="740" w:type="dxa"/>
            <w:vAlign w:val="bottom"/>
            <w:gridSpan w:val="2"/>
          </w:tcPr>
          <w:p>
            <w:pPr>
              <w:jc w:val="center"/>
              <w:ind w:left="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40" w:type="dxa"/>
            <w:vAlign w:val="bottom"/>
          </w:tcPr>
          <w:p>
            <w:pPr>
              <w:spacing w:after="0"/>
              <w:rPr>
                <w:sz w:val="11"/>
                <w:szCs w:val="11"/>
                <w:color w:val="auto"/>
              </w:rPr>
            </w:pPr>
          </w:p>
        </w:tc>
        <w:tc>
          <w:tcPr>
            <w:tcW w:w="580" w:type="dxa"/>
            <w:vAlign w:val="bottom"/>
            <w:gridSpan w:val="2"/>
          </w:tcPr>
          <w:p>
            <w:pPr>
              <w:jc w:val="center"/>
              <w:ind w:left="48"/>
              <w:spacing w:after="0" w:line="137"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1"/>
                <w:szCs w:val="11"/>
                <w:color w:val="auto"/>
              </w:rPr>
            </w:pPr>
          </w:p>
        </w:tc>
        <w:tc>
          <w:tcPr>
            <w:tcW w:w="222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8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tcPr>
          <w:p>
            <w:pPr>
              <w:spacing w:after="0"/>
              <w:rPr>
                <w:sz w:val="11"/>
                <w:szCs w:val="11"/>
                <w:color w:val="auto"/>
              </w:rPr>
            </w:pPr>
          </w:p>
        </w:tc>
        <w:tc>
          <w:tcPr>
            <w:tcW w:w="600" w:type="dxa"/>
            <w:vAlign w:val="bottom"/>
            <w:gridSpan w:val="2"/>
          </w:tcPr>
          <w:p>
            <w:pPr>
              <w:ind w:left="240"/>
              <w:spacing w:after="0" w:line="137"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1"/>
                <w:szCs w:val="11"/>
                <w:color w:val="auto"/>
              </w:rPr>
            </w:pPr>
          </w:p>
        </w:tc>
        <w:tc>
          <w:tcPr>
            <w:tcW w:w="660" w:type="dxa"/>
            <w:vAlign w:val="bottom"/>
            <w:gridSpan w:val="2"/>
          </w:tcPr>
          <w:p>
            <w:pPr>
              <w:jc w:val="center"/>
              <w:ind w:left="88"/>
              <w:spacing w:after="0" w:line="137" w:lineRule="exact"/>
              <w:rPr>
                <w:sz w:val="20"/>
                <w:szCs w:val="20"/>
                <w:color w:val="auto"/>
              </w:rPr>
            </w:pPr>
            <w:r>
              <w:rPr>
                <w:rFonts w:ascii="Times New Roman" w:cs="Times New Roman" w:eastAsia="Times New Roman" w:hAnsi="Times New Roman"/>
                <w:sz w:val="14"/>
                <w:szCs w:val="14"/>
                <w:color w:val="auto"/>
              </w:rPr>
              <w:t>0.0%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480" w:type="dxa"/>
            <w:vAlign w:val="bottom"/>
            <w:gridSpan w:val="3"/>
          </w:tcPr>
          <w:p>
            <w:pPr>
              <w:ind w:left="540"/>
              <w:spacing w:after="0" w:line="151" w:lineRule="exact"/>
              <w:rPr>
                <w:sz w:val="20"/>
                <w:szCs w:val="20"/>
                <w:color w:val="auto"/>
              </w:rPr>
            </w:pPr>
            <w:r>
              <w:rPr>
                <w:rFonts w:ascii="Times New Roman" w:cs="Times New Roman" w:eastAsia="Times New Roman" w:hAnsi="Times New Roman"/>
                <w:sz w:val="14"/>
                <w:szCs w:val="14"/>
                <w:color w:val="auto"/>
              </w:rPr>
              <w:t>EBITDA (2)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color w:val="auto"/>
              </w:rPr>
              <w:t>payout at 91.6% of target and</w:t>
            </w:r>
          </w:p>
        </w:tc>
        <w:tc>
          <w:tcPr>
            <w:tcW w:w="880" w:type="dxa"/>
            <w:vAlign w:val="bottom"/>
            <w:gridSpan w:val="3"/>
          </w:tcPr>
          <w:p>
            <w:pPr>
              <w:ind w:left="26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20" w:type="dxa"/>
            <w:vAlign w:val="bottom"/>
            <w:gridSpan w:val="3"/>
          </w:tcPr>
          <w:p>
            <w:pPr>
              <w:ind w:left="20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150% payout at 102.3% of target,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with the exception of Mr. Kanter</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who is eligible for a maximum</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payout of 200% at 102.3% of</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ectPr>
          <w:pgSz w:w="11900" w:h="16838" w:orient="portrait"/>
          <w:cols w:equalWidth="0" w:num="1">
            <w:col w:w="10360"/>
          </w:cols>
          <w:pgMar w:left="1060" w:top="979" w:right="479" w:bottom="1440" w:gutter="0" w:footer="0" w:header="0"/>
        </w:sectPr>
      </w:pPr>
    </w:p>
    <w:p>
      <w:pPr>
        <w:spacing w:after="0" w:line="11" w:lineRule="exact"/>
        <w:rPr>
          <w:sz w:val="20"/>
          <w:szCs w:val="20"/>
          <w:color w:val="auto"/>
        </w:rPr>
      </w:pPr>
    </w:p>
    <w:p>
      <w:pPr>
        <w:ind w:left="20"/>
        <w:spacing w:after="0"/>
        <w:tabs>
          <w:tab w:leader="none" w:pos="1700" w:val="left"/>
          <w:tab w:leader="none" w:pos="3180" w:val="left"/>
          <w:tab w:leader="none" w:pos="3900" w:val="left"/>
          <w:tab w:leader="none" w:pos="4740" w:val="left"/>
        </w:tabs>
        <w:rPr>
          <w:sz w:val="20"/>
          <w:szCs w:val="20"/>
          <w:color w:val="auto"/>
        </w:rPr>
      </w:pPr>
      <w:r>
        <w:rPr>
          <w:rFonts w:ascii="Times New Roman" w:cs="Times New Roman" w:eastAsia="Times New Roman" w:hAnsi="Times New Roman"/>
          <w:sz w:val="14"/>
          <w:szCs w:val="14"/>
          <w:b w:val="1"/>
          <w:bCs w:val="1"/>
          <w:color w:val="auto"/>
        </w:rPr>
        <w:t>Departmental Goals, if</w:t>
      </w:r>
      <w:r>
        <w:rPr>
          <w:sz w:val="20"/>
          <w:szCs w:val="20"/>
          <w:color w:val="auto"/>
        </w:rPr>
        <w:tab/>
      </w:r>
      <w:r>
        <w:rPr>
          <w:rFonts w:ascii="Times New Roman" w:cs="Times New Roman" w:eastAsia="Times New Roman" w:hAnsi="Times New Roman"/>
          <w:sz w:val="14"/>
          <w:szCs w:val="14"/>
          <w:color w:val="auto"/>
        </w:rPr>
        <w:t>Store Operations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40.0%</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6198870" cy="393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8870" cy="393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auto"/>
        </w:rPr>
        <w:t>applicable</w:t>
      </w:r>
    </w:p>
    <w:p>
      <w:pPr>
        <w:spacing w:after="0" w:line="295" w:lineRule="exact"/>
        <w:rPr>
          <w:sz w:val="20"/>
          <w:szCs w:val="20"/>
          <w:color w:val="auto"/>
        </w:rPr>
      </w:pPr>
    </w:p>
    <w:p>
      <w:pPr>
        <w:jc w:val="both"/>
        <w:ind w:left="1720"/>
        <w:spacing w:after="0"/>
        <w:tabs>
          <w:tab w:leader="none" w:pos="3180" w:val="left"/>
          <w:tab w:leader="none" w:pos="4060" w:val="left"/>
          <w:tab w:leader="none" w:pos="4580" w:val="left"/>
        </w:tabs>
        <w:rPr>
          <w:sz w:val="20"/>
          <w:szCs w:val="20"/>
          <w:color w:val="auto"/>
        </w:rPr>
      </w:pPr>
      <w:r>
        <w:rPr>
          <w:rFonts w:ascii="Times New Roman" w:cs="Times New Roman" w:eastAsia="Times New Roman" w:hAnsi="Times New Roman"/>
          <w:sz w:val="14"/>
          <w:szCs w:val="14"/>
          <w:color w:val="auto"/>
        </w:rPr>
        <w:t>Merchandise,</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40.0%</w:t>
      </w:r>
    </w:p>
    <w:p>
      <w:pPr>
        <w:ind w:left="1720"/>
        <w:spacing w:after="0" w:line="226" w:lineRule="auto"/>
        <w:rPr>
          <w:sz w:val="20"/>
          <w:szCs w:val="20"/>
          <w:color w:val="auto"/>
        </w:rPr>
      </w:pPr>
      <w:r>
        <w:rPr>
          <w:rFonts w:ascii="Times New Roman" w:cs="Times New Roman" w:eastAsia="Times New Roman" w:hAnsi="Times New Roman"/>
          <w:sz w:val="14"/>
          <w:szCs w:val="14"/>
          <w:color w:val="auto"/>
        </w:rPr>
        <w:t>Planning and</w:t>
      </w:r>
    </w:p>
    <w:p>
      <w:pPr>
        <w:ind w:left="1720"/>
        <w:spacing w:after="0"/>
        <w:rPr>
          <w:sz w:val="20"/>
          <w:szCs w:val="20"/>
          <w:color w:val="auto"/>
        </w:rPr>
      </w:pPr>
      <w:r>
        <w:rPr>
          <w:rFonts w:ascii="Times New Roman" w:cs="Times New Roman" w:eastAsia="Times New Roman" w:hAnsi="Times New Roman"/>
          <w:sz w:val="14"/>
          <w:szCs w:val="14"/>
          <w:color w:val="auto"/>
        </w:rPr>
        <w:t>Allocation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Includes payroll as a percentage of</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target, store net promoter</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score target and store conversion</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target.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Includes targets for sales by</w:t>
            </w:r>
          </w:p>
        </w:tc>
        <w:tc>
          <w:tcPr>
            <w:tcW w:w="7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category, gross margin rates by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category, inventory turnover and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store conversion target.</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r>
    </w:tbl>
    <w:p>
      <w:pPr>
        <w:spacing w:after="0" w:line="163" w:lineRule="exact"/>
        <w:rPr>
          <w:sz w:val="20"/>
          <w:szCs w:val="20"/>
          <w:color w:val="auto"/>
        </w:rPr>
      </w:pPr>
    </w:p>
    <w:p>
      <w:pPr>
        <w:sectPr>
          <w:pgSz w:w="11900" w:h="16838" w:orient="portrait"/>
          <w:cols w:equalWidth="0" w:num="2">
            <w:col w:w="4980" w:space="160"/>
            <w:col w:w="5220"/>
          </w:cols>
          <w:pgMar w:left="1060" w:top="979" w:right="4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TIER II - Company’s Financial Performance Measured Against the Company's 2023 Peers (1)</w:t>
      </w:r>
    </w:p>
    <w:p>
      <w:pPr>
        <w:sectPr>
          <w:pgSz w:w="11900" w:h="16838" w:orient="portrait"/>
          <w:cols w:equalWidth="0" w:num="1">
            <w:col w:w="10360"/>
          </w:cols>
          <w:pgMar w:left="1060" w:top="979" w:right="479" w:bottom="1440" w:gutter="0" w:footer="0" w:header="0"/>
          <w:type w:val="continuous"/>
        </w:sectPr>
      </w:pP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1</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6"/>
        </w:trPr>
        <w:tc>
          <w:tcPr>
            <w:tcW w:w="1480" w:type="dxa"/>
            <w:vAlign w:val="bottom"/>
          </w:tcPr>
          <w:p>
            <w:pPr>
              <w:spacing w:after="0"/>
              <w:rPr>
                <w:sz w:val="16"/>
                <w:szCs w:val="16"/>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(4)</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86"/>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2</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48"/>
        </w:trPr>
        <w:tc>
          <w:tcPr>
            <w:tcW w:w="1480" w:type="dxa"/>
            <w:vAlign w:val="bottom"/>
          </w:tcPr>
          <w:p>
            <w:pPr>
              <w:spacing w:after="0"/>
              <w:rPr>
                <w:sz w:val="12"/>
                <w:szCs w:val="12"/>
                <w:color w:val="auto"/>
              </w:rPr>
            </w:pPr>
          </w:p>
        </w:tc>
        <w:tc>
          <w:tcPr>
            <w:tcW w:w="1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EBITDA Margin</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6"/>
        </w:trPr>
        <w:tc>
          <w:tcPr>
            <w:tcW w:w="1480" w:type="dxa"/>
            <w:vAlign w:val="bottom"/>
          </w:tcPr>
          <w:p>
            <w:pPr>
              <w:spacing w:after="0"/>
              <w:rPr>
                <w:sz w:val="16"/>
                <w:szCs w:val="16"/>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-599440</wp:posOffset>
            </wp:positionV>
            <wp:extent cx="6198870" cy="299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8870" cy="299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Top Quartile 100%; 2nd Quartile</w:t>
            </w:r>
          </w:p>
        </w:tc>
        <w:tc>
          <w:tcPr>
            <w:tcW w:w="9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7"/>
              </w:rPr>
              <w:t>Top</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2nd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r>
      <w:tr>
        <w:trPr>
          <w:trHeight w:val="175"/>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Quartile no payout.</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Top Quartile 100%; 2nd Quartile</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Top</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Top</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r>
      <w:tr>
        <w:trPr>
          <w:trHeight w:val="186"/>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Quartile no payout.</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147" w:lineRule="exact"/>
        <w:rPr>
          <w:sz w:val="20"/>
          <w:szCs w:val="20"/>
          <w:color w:val="auto"/>
        </w:rPr>
      </w:pPr>
    </w:p>
    <w:p>
      <w:pPr>
        <w:sectPr>
          <w:pgSz w:w="11900" w:h="16838" w:orient="portrait"/>
          <w:cols w:equalWidth="0" w:num="2">
            <w:col w:w="4980" w:space="160"/>
            <w:col w:w="5220"/>
          </w:cols>
          <w:pgMar w:left="1060" w:top="979" w:right="47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55"/>
        </w:trPr>
        <w:tc>
          <w:tcPr>
            <w:tcW w:w="28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INDIVIDUAL PERFORMANCE (6)</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5"/>
        </w:trPr>
        <w:tc>
          <w:tcPr>
            <w:tcW w:w="20" w:type="dxa"/>
            <w:vAlign w:val="bottom"/>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39"/>
        </w:trPr>
        <w:tc>
          <w:tcPr>
            <w:tcW w:w="14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Individual Targets</w:t>
            </w:r>
          </w:p>
        </w:tc>
        <w:tc>
          <w:tcPr>
            <w:tcW w:w="1380" w:type="dxa"/>
            <w:vAlign w:val="bottom"/>
            <w:gridSpan w:val="2"/>
          </w:tcPr>
          <w:p>
            <w:pPr>
              <w:ind w:left="280"/>
              <w:spacing w:after="0" w:line="139" w:lineRule="exact"/>
              <w:rPr>
                <w:sz w:val="20"/>
                <w:szCs w:val="20"/>
                <w:color w:val="auto"/>
              </w:rPr>
            </w:pPr>
            <w:r>
              <w:rPr>
                <w:rFonts w:ascii="Times New Roman" w:cs="Times New Roman" w:eastAsia="Times New Roman" w:hAnsi="Times New Roman"/>
                <w:sz w:val="14"/>
                <w:szCs w:val="14"/>
                <w:color w:val="auto"/>
              </w:rPr>
              <w:t>Discretionary-</w:t>
            </w:r>
          </w:p>
        </w:tc>
        <w:tc>
          <w:tcPr>
            <w:tcW w:w="840" w:type="dxa"/>
            <w:vAlign w:val="bottom"/>
          </w:tcPr>
          <w:p>
            <w:pPr>
              <w:jc w:val="right"/>
              <w:ind w:right="168"/>
              <w:spacing w:after="0" w:line="139" w:lineRule="exact"/>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right"/>
              <w:ind w:right="88"/>
              <w:spacing w:after="0" w:line="139" w:lineRule="exact"/>
              <w:rPr>
                <w:sz w:val="20"/>
                <w:szCs w:val="20"/>
                <w:color w:val="auto"/>
              </w:rPr>
            </w:pPr>
            <w:r>
              <w:rPr>
                <w:rFonts w:ascii="Times New Roman" w:cs="Times New Roman" w:eastAsia="Times New Roman" w:hAnsi="Times New Roman"/>
                <w:sz w:val="14"/>
                <w:szCs w:val="14"/>
                <w:color w:val="auto"/>
              </w:rPr>
              <w:t>20.0%</w:t>
            </w:r>
          </w:p>
        </w:tc>
        <w:tc>
          <w:tcPr>
            <w:tcW w:w="298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20.0%  Discretionary, at target, based upon</w:t>
            </w:r>
          </w:p>
        </w:tc>
        <w:tc>
          <w:tcPr>
            <w:tcW w:w="700" w:type="dxa"/>
            <w:vAlign w:val="bottom"/>
          </w:tcPr>
          <w:p>
            <w:pPr>
              <w:jc w:val="right"/>
              <w:ind w:right="128"/>
              <w:spacing w:after="0" w:line="139" w:lineRule="exact"/>
              <w:rPr>
                <w:sz w:val="20"/>
                <w:szCs w:val="20"/>
                <w:color w:val="auto"/>
              </w:rPr>
            </w:pPr>
            <w:r>
              <w:rPr>
                <w:rFonts w:ascii="Times New Roman" w:cs="Times New Roman" w:eastAsia="Times New Roman" w:hAnsi="Times New Roman"/>
                <w:sz w:val="14"/>
                <w:szCs w:val="14"/>
                <w:color w:val="auto"/>
              </w:rPr>
              <w:t>20%</w:t>
            </w:r>
          </w:p>
        </w:tc>
        <w:tc>
          <w:tcPr>
            <w:tcW w:w="800" w:type="dxa"/>
            <w:vAlign w:val="bottom"/>
          </w:tcPr>
          <w:p>
            <w:pPr>
              <w:jc w:val="center"/>
              <w:ind w:left="108"/>
              <w:spacing w:after="0" w:line="139" w:lineRule="exact"/>
              <w:rPr>
                <w:sz w:val="20"/>
                <w:szCs w:val="20"/>
                <w:color w:val="auto"/>
              </w:rPr>
            </w:pPr>
            <w:r>
              <w:rPr>
                <w:rFonts w:ascii="Times New Roman" w:cs="Times New Roman" w:eastAsia="Times New Roman" w:hAnsi="Times New Roman"/>
                <w:sz w:val="14"/>
                <w:szCs w:val="14"/>
                <w:color w:val="auto"/>
                <w:w w:val="97"/>
              </w:rPr>
              <w:t>Varied by</w:t>
            </w: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20-25%</w:t>
            </w:r>
          </w:p>
        </w:tc>
      </w:tr>
      <w:tr>
        <w:trPr>
          <w:trHeight w:val="148"/>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individual performance, was</w:t>
            </w:r>
          </w:p>
        </w:tc>
        <w:tc>
          <w:tcPr>
            <w:tcW w:w="700" w:type="dxa"/>
            <w:vAlign w:val="bottom"/>
          </w:tcPr>
          <w:p>
            <w:pPr>
              <w:spacing w:after="0"/>
              <w:rPr>
                <w:sz w:val="12"/>
                <w:szCs w:val="12"/>
                <w:color w:val="auto"/>
              </w:rPr>
            </w:pPr>
          </w:p>
        </w:tc>
        <w:tc>
          <w:tcPr>
            <w:tcW w:w="80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NEO</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(30% for Mr.</w:t>
            </w:r>
          </w:p>
        </w:tc>
      </w:tr>
      <w:tr>
        <w:trPr>
          <w:trHeight w:val="164"/>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evaluated by the CEO (except with</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Kanter)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-397510</wp:posOffset>
            </wp:positionV>
            <wp:extent cx="6198870" cy="1369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8870" cy="1369695"/>
                    </a:xfrm>
                    <a:prstGeom prst="rect">
                      <a:avLst/>
                    </a:prstGeom>
                    <a:noFill/>
                  </pic:spPr>
                </pic:pic>
              </a:graphicData>
            </a:graphic>
          </wp:anchor>
        </w:drawing>
      </w:r>
    </w:p>
    <w:p>
      <w:pPr>
        <w:ind w:left="5140"/>
        <w:spacing w:after="0" w:line="221" w:lineRule="auto"/>
        <w:rPr>
          <w:sz w:val="20"/>
          <w:szCs w:val="20"/>
          <w:color w:val="auto"/>
        </w:rPr>
      </w:pPr>
      <w:r>
        <w:rPr>
          <w:rFonts w:ascii="Times New Roman" w:cs="Times New Roman" w:eastAsia="Times New Roman" w:hAnsi="Times New Roman"/>
          <w:sz w:val="14"/>
          <w:szCs w:val="14"/>
          <w:color w:val="auto"/>
        </w:rPr>
        <w:t>respect to the CEO whose</w:t>
      </w:r>
    </w:p>
    <w:p>
      <w:pPr>
        <w:ind w:left="5140"/>
        <w:spacing w:after="0" w:line="221" w:lineRule="auto"/>
        <w:rPr>
          <w:sz w:val="20"/>
          <w:szCs w:val="20"/>
          <w:color w:val="auto"/>
        </w:rPr>
      </w:pPr>
      <w:r>
        <w:rPr>
          <w:rFonts w:ascii="Times New Roman" w:cs="Times New Roman" w:eastAsia="Times New Roman" w:hAnsi="Times New Roman"/>
          <w:sz w:val="14"/>
          <w:szCs w:val="14"/>
          <w:color w:val="auto"/>
        </w:rPr>
        <w:t>individual performance was</w:t>
      </w:r>
    </w:p>
    <w:p>
      <w:pPr>
        <w:ind w:left="5140"/>
        <w:spacing w:after="0" w:line="221" w:lineRule="auto"/>
        <w:rPr>
          <w:sz w:val="20"/>
          <w:szCs w:val="20"/>
          <w:color w:val="auto"/>
        </w:rPr>
      </w:pPr>
      <w:r>
        <w:rPr>
          <w:rFonts w:ascii="Times New Roman" w:cs="Times New Roman" w:eastAsia="Times New Roman" w:hAnsi="Times New Roman"/>
          <w:sz w:val="14"/>
          <w:szCs w:val="14"/>
          <w:color w:val="auto"/>
        </w:rPr>
        <w:t>evaluated by the Compensation</w:t>
      </w:r>
    </w:p>
    <w:p>
      <w:pPr>
        <w:ind w:left="5140"/>
        <w:spacing w:after="0" w:line="221" w:lineRule="auto"/>
        <w:rPr>
          <w:sz w:val="20"/>
          <w:szCs w:val="20"/>
          <w:color w:val="auto"/>
        </w:rPr>
      </w:pPr>
      <w:r>
        <w:rPr>
          <w:rFonts w:ascii="Times New Roman" w:cs="Times New Roman" w:eastAsia="Times New Roman" w:hAnsi="Times New Roman"/>
          <w:sz w:val="14"/>
          <w:szCs w:val="14"/>
          <w:color w:val="auto"/>
        </w:rPr>
        <w:t>Committee). Participants were</w:t>
      </w:r>
    </w:p>
    <w:p>
      <w:pPr>
        <w:ind w:left="514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140"/>
        <w:spacing w:after="0" w:line="221" w:lineRule="auto"/>
        <w:rPr>
          <w:sz w:val="20"/>
          <w:szCs w:val="20"/>
          <w:color w:val="auto"/>
        </w:rPr>
      </w:pPr>
      <w:r>
        <w:rPr>
          <w:rFonts w:ascii="Times New Roman" w:cs="Times New Roman" w:eastAsia="Times New Roman" w:hAnsi="Times New Roman"/>
          <w:sz w:val="14"/>
          <w:szCs w:val="14"/>
          <w:color w:val="auto"/>
        </w:rPr>
        <w:t>award up to 30%, with the</w:t>
      </w:r>
    </w:p>
    <w:p>
      <w:pPr>
        <w:ind w:left="5140"/>
        <w:spacing w:after="0" w:line="221" w:lineRule="auto"/>
        <w:rPr>
          <w:sz w:val="20"/>
          <w:szCs w:val="20"/>
          <w:color w:val="auto"/>
        </w:rPr>
      </w:pPr>
      <w:r>
        <w:rPr>
          <w:rFonts w:ascii="Times New Roman" w:cs="Times New Roman" w:eastAsia="Times New Roman" w:hAnsi="Times New Roman"/>
          <w:sz w:val="14"/>
          <w:szCs w:val="14"/>
          <w:color w:val="auto"/>
        </w:rPr>
        <w:t>exception of Mr. Kanter who was</w:t>
      </w:r>
    </w:p>
    <w:p>
      <w:pPr>
        <w:ind w:left="5140"/>
        <w:spacing w:after="0" w:line="222"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140"/>
        <w:spacing w:after="0"/>
        <w:rPr>
          <w:sz w:val="20"/>
          <w:szCs w:val="20"/>
          <w:color w:val="auto"/>
        </w:rPr>
      </w:pPr>
      <w:r>
        <w:rPr>
          <w:rFonts w:ascii="Times New Roman" w:cs="Times New Roman" w:eastAsia="Times New Roman" w:hAnsi="Times New Roman"/>
          <w:sz w:val="14"/>
          <w:szCs w:val="14"/>
          <w:color w:val="auto"/>
        </w:rPr>
        <w:t>award up to 40%.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40" w:hanging="368"/>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achieve the Corporate Metrics under TIER I but did achieve the Corporate Metrics under TIER II.</w:t>
      </w:r>
    </w:p>
    <w:p>
      <w:pPr>
        <w:spacing w:after="0" w:line="203" w:lineRule="exact"/>
        <w:rPr>
          <w:rFonts w:ascii="Times New Roman" w:cs="Times New Roman" w:eastAsia="Times New Roman" w:hAnsi="Times New Roman"/>
          <w:sz w:val="14"/>
          <w:szCs w:val="14"/>
          <w:color w:val="auto"/>
        </w:rPr>
      </w:pPr>
    </w:p>
    <w:p>
      <w:pPr>
        <w:ind w:left="1040" w:hanging="368"/>
        <w:spacing w:after="0" w:line="239"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calculated as earnings before interest, taxes and depreciation and amortization, adjusted for the loss from the termination of retirement plans and asset impairment (gain), if any.</w:t>
      </w:r>
    </w:p>
    <w:p>
      <w:pPr>
        <w:ind w:left="48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471170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060" w:top="979" w:right="479" w:bottom="1440" w:gutter="0" w:footer="0" w:header="0"/>
          <w:type w:val="continuous"/>
        </w:sectPr>
      </w:pPr>
    </w:p>
    <w:bookmarkStart w:id="12" w:name="page13"/>
    <w:bookmarkEnd w:id="12"/>
    <w:p>
      <w:pPr>
        <w:ind w:left="1800" w:right="40" w:hanging="384"/>
        <w:spacing w:after="0" w:line="230"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for store net promoter score for fiscal 2023 was 75 and the actual net promoter score achieved was 78 for fiscal 2023. The Company does not publicly disclose its store conversion rates, sales by category, inventory turn, payroll as a percentage of sales, or gross margin by category. Any discussion of conversion rates, store payroll as a percentage of sales, and inventory turnover is limited to the percentage and/or dollar increase or decrease over a comparable period. The actual performance for these metrics was as follows: store conversion: 150% of target; store payroll as a percentage of sales: 82.8% of target; sales by category: below threshold (0%); inventory turn as a percentage of sales: 150% of target; and gross margin by category: 95.9% of target. If there had not been an award under TIER II, Mr. Gaeta and Ms. Surette would have been entitled to an award payout under TIER I for these metrics.</w:t>
      </w:r>
    </w:p>
    <w:p>
      <w:pPr>
        <w:spacing w:after="0" w:line="180" w:lineRule="exact"/>
        <w:rPr>
          <w:rFonts w:ascii="Times New Roman" w:cs="Times New Roman" w:eastAsia="Times New Roman" w:hAnsi="Times New Roman"/>
          <w:sz w:val="14"/>
          <w:szCs w:val="14"/>
          <w:color w:val="auto"/>
        </w:rPr>
      </w:pPr>
    </w:p>
    <w:p>
      <w:pPr>
        <w:ind w:left="1780" w:right="180" w:hanging="368"/>
        <w:spacing w:after="0" w:line="239"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peer has its own calculation for comparable sales as it relates to treatment of new stores, remodeled stores or closed stores. For purposes of this metric, however, the Company relied on each peer's reported comparable sales results. For a few peers that do not report comparable sales, the Company used total sales and considered store openings/closings.</w:t>
      </w:r>
    </w:p>
    <w:p>
      <w:pPr>
        <w:spacing w:after="0" w:line="179" w:lineRule="exact"/>
        <w:rPr>
          <w:rFonts w:ascii="Times New Roman" w:cs="Times New Roman" w:eastAsia="Times New Roman" w:hAnsi="Times New Roman"/>
          <w:sz w:val="14"/>
          <w:szCs w:val="14"/>
          <w:color w:val="auto"/>
        </w:rPr>
      </w:pPr>
    </w:p>
    <w:p>
      <w:pPr>
        <w:ind w:left="1780" w:right="60" w:hanging="368"/>
        <w:spacing w:after="0" w:line="235"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for all peers on a basis consistent with how the Company defines adjusted EBITDA margin, which is earnings before interest, taxes, depreciation and amortization and adjusted for any impairment (gain) of assets, restructuring and severance charges and other non-recurring items, such as the Company's loss from the termination of its frozen pension plans. Adjusted EBITDA margin was then calculated by dividing Adjusted EBITDA by total sales as reported.</w:t>
      </w:r>
    </w:p>
    <w:p>
      <w:pPr>
        <w:spacing w:after="0" w:line="178" w:lineRule="exact"/>
        <w:rPr>
          <w:rFonts w:ascii="Times New Roman" w:cs="Times New Roman" w:eastAsia="Times New Roman" w:hAnsi="Times New Roman"/>
          <w:sz w:val="14"/>
          <w:szCs w:val="14"/>
          <w:color w:val="auto"/>
        </w:rPr>
      </w:pPr>
    </w:p>
    <w:p>
      <w:pPr>
        <w:ind w:left="1780" w:right="20" w:hanging="368"/>
        <w:spacing w:after="0" w:line="228"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Molloy and Gaeta and Ms. Surette, which are approved by the CEO, consisted of a combination of quantifiable goals specific to their respective corporate function. Mr. Molloy’s personal goals were tied to ensuring strong corporate governance, legal and ethical compliance, and legal support and guidance throughout the organization. Mr. Gaeta’s personal goals were directly tied to the Company's stores achieving their metrics as well as team development. Ms. Surette's personal goals were strategic and tied to inventory management to maximize sales and gross margin growth, new business initiatives, brand awareness and team development. The personal goals for our CFO were quantifiable and were tied directly to the Company's performance, as well as team development and professional development of staff. Our CEO’s personal goals were tied to the Company's current performance and rollout of a long-term strategic plan.</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a result of achieving the performance targets under TIER II for fiscal 2023 pursuant to the 2023 AIP, as shown above, in April 2024 the</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Compensation Committee approved cash bonus payouts to our NEOs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320" w:type="dxa"/>
            <w:vAlign w:val="bottom"/>
          </w:tcPr>
          <w:p>
            <w:pPr>
              <w:spacing w:after="0"/>
              <w:rPr>
                <w:sz w:val="18"/>
                <w:szCs w:val="18"/>
                <w:color w:val="auto"/>
              </w:rPr>
            </w:pPr>
          </w:p>
        </w:tc>
        <w:tc>
          <w:tcPr>
            <w:tcW w:w="2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320" w:type="dxa"/>
            <w:vAlign w:val="bottom"/>
          </w:tcPr>
          <w:p>
            <w:pPr>
              <w:spacing w:after="0"/>
              <w:rPr>
                <w:sz w:val="11"/>
                <w:szCs w:val="11"/>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26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210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866,346</w:t>
            </w:r>
          </w:p>
        </w:tc>
        <w:tc>
          <w:tcPr>
            <w:tcW w:w="28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248,896</w:t>
            </w:r>
          </w:p>
        </w:tc>
        <w:tc>
          <w:tcPr>
            <w:tcW w:w="2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90 %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195,914</w:t>
            </w:r>
          </w:p>
        </w:tc>
        <w:tc>
          <w:tcPr>
            <w:tcW w:w="28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95 %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196,712</w:t>
            </w:r>
          </w:p>
        </w:tc>
        <w:tc>
          <w:tcPr>
            <w:tcW w:w="2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95 %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188,289</w:t>
            </w:r>
          </w:p>
        </w:tc>
        <w:tc>
          <w:tcPr>
            <w:tcW w:w="28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90 %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5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2024 AIP</w:t>
            </w: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760" w:right="40"/>
        <w:spacing w:after="0" w:line="256" w:lineRule="auto"/>
        <w:rPr>
          <w:sz w:val="20"/>
          <w:szCs w:val="20"/>
          <w:color w:val="auto"/>
        </w:rPr>
      </w:pPr>
      <w:r>
        <w:rPr>
          <w:rFonts w:ascii="Times New Roman" w:cs="Times New Roman" w:eastAsia="Times New Roman" w:hAnsi="Times New Roman"/>
          <w:sz w:val="18"/>
          <w:szCs w:val="18"/>
          <w:color w:val="auto"/>
        </w:rPr>
        <w:t>On April 1, 2024, the Compensation Committee established the financial, operating and performance metrics for the 2024 AIP. Given the continued uncertainty surrounding the U.S. economy and reduced consumer discretionary spending, the Compensation Committee believed that the two-tier approach used in fiscal 2023 provided the appropriate balance to keep employees engaged and motivated to achieve our strategic objectives. Similar to the 2023 AIP, the Compensation Committee added a second tier to the 2024 AIP program that would be a relative measure, comparing the Company's financial performance in fiscal 2024 against the financial performance of its 2024 peer group, as discussed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760" w:right="40"/>
        <w:spacing w:after="0" w:line="260" w:lineRule="auto"/>
        <w:rPr>
          <w:sz w:val="20"/>
          <w:szCs w:val="20"/>
          <w:color w:val="auto"/>
        </w:rPr>
      </w:pPr>
      <w:r>
        <w:rPr>
          <w:rFonts w:ascii="Times New Roman" w:cs="Times New Roman" w:eastAsia="Times New Roman" w:hAnsi="Times New Roman"/>
          <w:sz w:val="18"/>
          <w:szCs w:val="18"/>
          <w:color w:val="auto"/>
        </w:rPr>
        <w:t>Under this two-tier structure, the payout related to corporate or departmental targets, if any, will be determined based on the higher achievement of either TIER I (based on the Company’s approved financial plan) or TIER II (based on the relative financial performance of the Company to its 2024 peers). The maximum payout under TIER I remains 150% (200% for Mr. Kanter); however, the maximum payout under TIER II is capped at 100%.</w:t>
      </w:r>
    </w:p>
    <w:p>
      <w:pPr>
        <w:spacing w:after="0" w:line="74" w:lineRule="exact"/>
        <w:rPr>
          <w:sz w:val="20"/>
          <w:szCs w:val="20"/>
          <w:color w:val="auto"/>
        </w:rPr>
      </w:pPr>
    </w:p>
    <w:p>
      <w:pPr>
        <w:ind w:left="760" w:right="80"/>
        <w:spacing w:after="0" w:line="276" w:lineRule="auto"/>
        <w:rPr>
          <w:sz w:val="20"/>
          <w:szCs w:val="20"/>
          <w:color w:val="auto"/>
        </w:rPr>
      </w:pPr>
      <w:r>
        <w:rPr>
          <w:rFonts w:ascii="Times New Roman" w:cs="Times New Roman" w:eastAsia="Times New Roman" w:hAnsi="Times New Roman"/>
          <w:sz w:val="17"/>
          <w:szCs w:val="17"/>
          <w:color w:val="auto"/>
        </w:rPr>
        <w:t>TIER I Company performance metrics are structured in the same manner as our historical AIPs and consist of corporate targets for Sales and Adjusted EBITDA with departmental targets for Store Operations, Marketing &amp; Digital, and Merchandise/Planning and Allocation. Under TIER I, the Company’s financial performance metrics account for 80% of the potential award for Messrs. Kanter, Stratton and Molloy and 40% of the potential award for Mr. Gaeta and Ms. Surette. Mr. Gaeta’s performance metrics include specific store operation targets, and Ms. Surette's performance metrics include specific merchandising, planning and allocation targets, and account for 40% of their respective TIER I targets.</w:t>
      </w:r>
    </w:p>
    <w:p>
      <w:pPr>
        <w:spacing w:after="0" w:line="63" w:lineRule="exact"/>
        <w:rPr>
          <w:sz w:val="20"/>
          <w:szCs w:val="20"/>
          <w:color w:val="auto"/>
        </w:rPr>
      </w:pPr>
    </w:p>
    <w:p>
      <w:pPr>
        <w:ind w:left="760" w:right="160"/>
        <w:spacing w:after="0" w:line="254" w:lineRule="auto"/>
        <w:rPr>
          <w:sz w:val="20"/>
          <w:szCs w:val="20"/>
          <w:color w:val="auto"/>
        </w:rPr>
      </w:pPr>
      <w:r>
        <w:rPr>
          <w:rFonts w:ascii="Times New Roman" w:cs="Times New Roman" w:eastAsia="Times New Roman" w:hAnsi="Times New Roman"/>
          <w:sz w:val="18"/>
          <w:szCs w:val="18"/>
          <w:color w:val="auto"/>
        </w:rPr>
        <w:t>TIER II Company performance metrics consist of corporate targets for Comparable Sales and Adjusted EBITDA Margin, each accounting for 40% of the potential award for each participant. Our Comparable Sales and Adjusted EBITDA Margin results for fiscal 2024 will be compared to our 2024 peer group on a quartile ranking. For each metric, if the Company ranks in (i) the top quartile, the payout would be 100%; (ii) the second quartile, the payout would be 75%; and (iii) the third quartile, the payout would be 50%. No payout will be earned if the Company finishes in the fourth quartile.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3" w:name="page14"/>
    <w:bookmarkEnd w:id="13"/>
    <w:p>
      <w:pPr>
        <w:jc w:val="both"/>
        <w:ind w:left="240" w:right="200"/>
        <w:spacing w:after="0" w:line="265" w:lineRule="auto"/>
        <w:rPr>
          <w:sz w:val="20"/>
          <w:szCs w:val="20"/>
          <w:color w:val="auto"/>
        </w:rPr>
      </w:pPr>
      <w:r>
        <w:rPr>
          <w:rFonts w:ascii="Times New Roman" w:cs="Times New Roman" w:eastAsia="Times New Roman" w:hAnsi="Times New Roman"/>
          <w:sz w:val="18"/>
          <w:szCs w:val="18"/>
          <w:color w:val="auto"/>
        </w:rPr>
        <w:t>Individual performance targets consisting of discretionary personal goals account for the remaining 20% of the potential award for each of the Named Executive Officers under either TIER I or TIER II. Mr. Kanter has the potential to earn up to 200% of his individual target and Messrs. Stratton, Molloy and Gaeta and Ms. Surette have the potential to earn up to 150% of their individual targets.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AIP performance metrics approved by the Compensation Committee are as follows:</w:t>
      </w:r>
    </w:p>
    <w:p>
      <w:pPr>
        <w:spacing w:after="0" w:line="219" w:lineRule="exact"/>
        <w:rPr>
          <w:sz w:val="20"/>
          <w:szCs w:val="20"/>
          <w:color w:val="auto"/>
        </w:rPr>
      </w:pPr>
    </w:p>
    <w:tbl>
      <w:tblPr>
        <w:tblLayout w:type="fixed"/>
        <w:tblInd w:w="23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1000" w:type="dxa"/>
            <w:vAlign w:val="bottom"/>
            <w:gridSpan w:val="5"/>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Mr. Gaeta</w:t>
            </w:r>
          </w:p>
        </w:tc>
        <w:tc>
          <w:tcPr>
            <w:tcW w:w="1000" w:type="dxa"/>
            <w:vAlign w:val="bottom"/>
            <w:gridSpan w:val="5"/>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2980" w:type="dxa"/>
            <w:vAlign w:val="bottom"/>
            <w:gridSpan w:val="4"/>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and Ms.</w:t>
            </w:r>
          </w:p>
        </w:tc>
        <w:tc>
          <w:tcPr>
            <w:tcW w:w="100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Metric for Mr.</w:t>
            </w:r>
          </w:p>
        </w:tc>
        <w:tc>
          <w:tcPr>
            <w:tcW w:w="9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Metric for</w:t>
            </w:r>
          </w:p>
        </w:tc>
        <w:tc>
          <w:tcPr>
            <w:tcW w:w="2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Metric</w:t>
            </w:r>
          </w:p>
        </w:tc>
        <w:tc>
          <w:tcPr>
            <w:tcW w:w="340" w:type="dxa"/>
            <w:vAlign w:val="bottom"/>
          </w:tcPr>
          <w:p>
            <w:pPr>
              <w:spacing w:after="0"/>
              <w:rPr>
                <w:sz w:val="11"/>
                <w:szCs w:val="11"/>
                <w:color w:val="auto"/>
              </w:rPr>
            </w:pPr>
          </w:p>
        </w:tc>
        <w:tc>
          <w:tcPr>
            <w:tcW w:w="7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Surette</w:t>
            </w:r>
          </w:p>
        </w:tc>
        <w:tc>
          <w:tcPr>
            <w:tcW w:w="340" w:type="dxa"/>
            <w:vAlign w:val="bottom"/>
          </w:tcPr>
          <w:p>
            <w:pPr>
              <w:spacing w:after="0"/>
              <w:rPr>
                <w:sz w:val="11"/>
                <w:szCs w:val="11"/>
                <w:color w:val="auto"/>
              </w:rPr>
            </w:pPr>
          </w:p>
        </w:tc>
        <w:tc>
          <w:tcPr>
            <w:tcW w:w="40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Gaeta</w:t>
            </w:r>
          </w:p>
        </w:tc>
        <w:tc>
          <w:tcPr>
            <w:tcW w:w="260" w:type="dxa"/>
            <w:vAlign w:val="bottom"/>
            <w:tcBorders>
              <w:top w:val="single" w:sz="8" w:color="auto"/>
            </w:tcBorders>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Ms. Surette</w:t>
            </w:r>
          </w:p>
        </w:tc>
        <w:tc>
          <w:tcPr>
            <w:tcW w:w="2980" w:type="dxa"/>
            <w:vAlign w:val="bottom"/>
            <w:gridSpan w:val="4"/>
          </w:tcPr>
          <w:p>
            <w:pPr>
              <w:ind w:left="940"/>
              <w:spacing w:after="0" w:line="12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55"/>
        </w:trPr>
        <w:tc>
          <w:tcPr>
            <w:tcW w:w="2760" w:type="dxa"/>
            <w:vAlign w:val="bottom"/>
            <w:tcBorders>
              <w:left w:val="single" w:sz="8" w:color="CFF0FC"/>
            </w:tcBorders>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w:t>
            </w:r>
          </w:p>
        </w:tc>
        <w:tc>
          <w:tcPr>
            <w:tcW w:w="32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46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760" w:type="dxa"/>
            <w:vAlign w:val="bottom"/>
            <w:tcBorders>
              <w:left w:val="single" w:sz="8" w:color="CFF0FC"/>
            </w:tcBorders>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40" w:type="dxa"/>
            <w:vAlign w:val="bottom"/>
            <w:gridSpan w:val="3"/>
            <w:shd w:val="clear" w:color="auto" w:fill="CFF0FC"/>
          </w:tcPr>
          <w:p>
            <w:pPr>
              <w:ind w:left="40"/>
              <w:spacing w:after="0" w:line="137" w:lineRule="exact"/>
              <w:rPr>
                <w:sz w:val="20"/>
                <w:szCs w:val="20"/>
                <w:color w:val="auto"/>
              </w:rPr>
            </w:pPr>
            <w:r>
              <w:rPr>
                <w:rFonts w:ascii="Times New Roman" w:cs="Times New Roman" w:eastAsia="Times New Roman" w:hAnsi="Times New Roman"/>
                <w:sz w:val="14"/>
                <w:szCs w:val="14"/>
                <w:color w:val="auto"/>
              </w:rPr>
              <w:t>Sales (52-week</w:t>
            </w:r>
          </w:p>
        </w:tc>
        <w:tc>
          <w:tcPr>
            <w:tcW w:w="800" w:type="dxa"/>
            <w:vAlign w:val="bottom"/>
            <w:gridSpan w:val="2"/>
            <w:shd w:val="clear" w:color="auto" w:fill="CFF0FC"/>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shd w:val="clear" w:color="auto" w:fill="CFF0FC"/>
          </w:tcPr>
          <w:p>
            <w:pPr>
              <w:spacing w:after="0"/>
              <w:rPr>
                <w:sz w:val="11"/>
                <w:szCs w:val="11"/>
                <w:color w:val="auto"/>
              </w:rPr>
            </w:pPr>
          </w:p>
        </w:tc>
        <w:tc>
          <w:tcPr>
            <w:tcW w:w="740" w:type="dxa"/>
            <w:vAlign w:val="bottom"/>
            <w:gridSpan w:val="4"/>
            <w:shd w:val="clear" w:color="auto" w:fill="CFF0FC"/>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2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7" w:lineRule="exact"/>
              <w:rPr>
                <w:sz w:val="20"/>
                <w:szCs w:val="20"/>
                <w:color w:val="auto"/>
              </w:rPr>
            </w:pPr>
            <w:r>
              <w:rPr>
                <w:rFonts w:ascii="Times New Roman" w:cs="Times New Roman" w:eastAsia="Times New Roman" w:hAnsi="Times New Roman"/>
                <w:sz w:val="14"/>
                <w:szCs w:val="14"/>
                <w:color w:val="auto"/>
              </w:rPr>
              <w:t>20.0%</w:t>
            </w:r>
          </w:p>
        </w:tc>
        <w:tc>
          <w:tcPr>
            <w:tcW w:w="6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60"/>
              <w:spacing w:after="0" w:line="137"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0"/>
        </w:trPr>
        <w:tc>
          <w:tcPr>
            <w:tcW w:w="2760" w:type="dxa"/>
            <w:vAlign w:val="bottom"/>
            <w:tcBorders>
              <w:left w:val="single" w:sz="8" w:color="CFF0FC"/>
            </w:tcBorders>
            <w:gridSpan w:val="3"/>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1040" w:type="dxa"/>
            <w:vAlign w:val="bottom"/>
            <w:gridSpan w:val="3"/>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year)</w:t>
            </w:r>
          </w:p>
        </w:tc>
        <w:tc>
          <w:tcPr>
            <w:tcW w:w="3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980" w:type="dxa"/>
            <w:vAlign w:val="bottom"/>
            <w:gridSpan w:val="4"/>
            <w:shd w:val="clear" w:color="auto" w:fill="CFF0FC"/>
          </w:tcPr>
          <w:p>
            <w:pPr>
              <w:ind w:left="60"/>
              <w:spacing w:after="0" w:line="151" w:lineRule="exact"/>
              <w:rPr>
                <w:sz w:val="20"/>
                <w:szCs w:val="20"/>
                <w:color w:val="auto"/>
              </w:rPr>
            </w:pPr>
            <w:r>
              <w:rPr>
                <w:rFonts w:ascii="Times New Roman" w:cs="Times New Roman" w:eastAsia="Times New Roman" w:hAnsi="Times New Roman"/>
                <w:sz w:val="14"/>
                <w:szCs w:val="14"/>
                <w:color w:val="auto"/>
              </w:rPr>
              <w:t>97.2% of target and 150% payout at 101.8%</w:t>
            </w:r>
          </w:p>
        </w:tc>
        <w:tc>
          <w:tcPr>
            <w:tcW w:w="0" w:type="dxa"/>
            <w:vAlign w:val="bottom"/>
          </w:tcPr>
          <w:p>
            <w:pPr>
              <w:spacing w:after="0"/>
              <w:rPr>
                <w:sz w:val="1"/>
                <w:szCs w:val="1"/>
                <w:color w:val="auto"/>
              </w:rPr>
            </w:pPr>
          </w:p>
        </w:tc>
      </w:tr>
      <w:tr>
        <w:trPr>
          <w:trHeight w:val="148"/>
        </w:trPr>
        <w:tc>
          <w:tcPr>
            <w:tcW w:w="208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of target, with the exception of Mr. Kanter</w:t>
            </w:r>
          </w:p>
        </w:tc>
        <w:tc>
          <w:tcPr>
            <w:tcW w:w="0" w:type="dxa"/>
            <w:vAlign w:val="bottom"/>
          </w:tcPr>
          <w:p>
            <w:pPr>
              <w:spacing w:after="0"/>
              <w:rPr>
                <w:sz w:val="1"/>
                <w:szCs w:val="1"/>
                <w:color w:val="auto"/>
              </w:rPr>
            </w:pPr>
          </w:p>
        </w:tc>
      </w:tr>
      <w:tr>
        <w:trPr>
          <w:trHeight w:val="148"/>
        </w:trPr>
        <w:tc>
          <w:tcPr>
            <w:tcW w:w="208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who is eligible for a maximum payout of</w:t>
            </w:r>
          </w:p>
        </w:tc>
        <w:tc>
          <w:tcPr>
            <w:tcW w:w="0" w:type="dxa"/>
            <w:vAlign w:val="bottom"/>
          </w:tcPr>
          <w:p>
            <w:pPr>
              <w:spacing w:after="0"/>
              <w:rPr>
                <w:sz w:val="1"/>
                <w:szCs w:val="1"/>
                <w:color w:val="auto"/>
              </w:rPr>
            </w:pPr>
          </w:p>
        </w:tc>
      </w:tr>
      <w:tr>
        <w:trPr>
          <w:trHeight w:val="186"/>
        </w:trPr>
        <w:tc>
          <w:tcPr>
            <w:tcW w:w="2080" w:type="dxa"/>
            <w:vAlign w:val="bottom"/>
            <w:tcBorders>
              <w:left w:val="single" w:sz="8" w:color="CFF0FC"/>
            </w:tcBorders>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98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200% at 101.8% of target.</w:t>
            </w:r>
          </w:p>
        </w:tc>
        <w:tc>
          <w:tcPr>
            <w:tcW w:w="0" w:type="dxa"/>
            <w:vAlign w:val="bottom"/>
          </w:tcPr>
          <w:p>
            <w:pPr>
              <w:spacing w:after="0"/>
              <w:rPr>
                <w:sz w:val="1"/>
                <w:szCs w:val="1"/>
                <w:color w:val="auto"/>
              </w:rPr>
            </w:pPr>
          </w:p>
        </w:tc>
      </w:tr>
      <w:tr>
        <w:trPr>
          <w:trHeight w:val="147"/>
        </w:trPr>
        <w:tc>
          <w:tcPr>
            <w:tcW w:w="208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6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4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color w:val="auto"/>
              </w:rPr>
              <w:t>Adjusted</w:t>
            </w:r>
          </w:p>
        </w:tc>
        <w:tc>
          <w:tcPr>
            <w:tcW w:w="800" w:type="dxa"/>
            <w:vAlign w:val="bottom"/>
            <w:gridSpan w:val="2"/>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tcPr>
          <w:p>
            <w:pPr>
              <w:spacing w:after="0"/>
              <w:rPr>
                <w:sz w:val="11"/>
                <w:szCs w:val="11"/>
                <w:color w:val="auto"/>
              </w:rPr>
            </w:pPr>
          </w:p>
        </w:tc>
        <w:tc>
          <w:tcPr>
            <w:tcW w:w="740" w:type="dxa"/>
            <w:vAlign w:val="bottom"/>
            <w:gridSpan w:val="4"/>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260" w:type="dxa"/>
            <w:vAlign w:val="bottom"/>
          </w:tcPr>
          <w:p>
            <w:pPr>
              <w:spacing w:after="0"/>
              <w:rPr>
                <w:sz w:val="11"/>
                <w:szCs w:val="11"/>
                <w:color w:val="auto"/>
              </w:rPr>
            </w:pPr>
          </w:p>
        </w:tc>
        <w:tc>
          <w:tcPr>
            <w:tcW w:w="840" w:type="dxa"/>
            <w:vAlign w:val="bottom"/>
            <w:gridSpan w:val="2"/>
          </w:tcPr>
          <w:p>
            <w:pPr>
              <w:jc w:val="center"/>
              <w:ind w:left="4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60" w:type="dxa"/>
            <w:vAlign w:val="bottom"/>
          </w:tcPr>
          <w:p>
            <w:pPr>
              <w:spacing w:after="0"/>
              <w:rPr>
                <w:sz w:val="11"/>
                <w:szCs w:val="11"/>
                <w:color w:val="auto"/>
              </w:rPr>
            </w:pPr>
          </w:p>
        </w:tc>
        <w:tc>
          <w:tcPr>
            <w:tcW w:w="298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0"/>
        </w:trPr>
        <w:tc>
          <w:tcPr>
            <w:tcW w:w="276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0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EBITDA</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4"/>
                <w:szCs w:val="14"/>
                <w:color w:val="auto"/>
              </w:rPr>
              <w:t>86.5% of target and 150% payout at 108.1% of</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108.1% of target.</w:t>
            </w: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6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040" w:type="dxa"/>
            <w:vAlign w:val="bottom"/>
            <w:gridSpan w:val="3"/>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Store</w:t>
            </w:r>
          </w:p>
        </w:tc>
        <w:tc>
          <w:tcPr>
            <w:tcW w:w="800" w:type="dxa"/>
            <w:vAlign w:val="bottom"/>
            <w:gridSpan w:val="2"/>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740" w:type="dxa"/>
            <w:vAlign w:val="bottom"/>
            <w:gridSpan w:val="4"/>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39" w:lineRule="exact"/>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Operations</w:t>
            </w: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80" w:type="dxa"/>
            <w:vAlign w:val="bottom"/>
            <w:tcBorders>
              <w:left w:val="single" w:sz="8" w:color="CFF0FC"/>
            </w:tcBorders>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target.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Merchandise,</w:t>
            </w:r>
          </w:p>
        </w:tc>
        <w:tc>
          <w:tcPr>
            <w:tcW w:w="800" w:type="dxa"/>
            <w:vAlign w:val="bottom"/>
            <w:gridSpan w:val="2"/>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80" w:type="dxa"/>
            <w:vAlign w:val="bottom"/>
            <w:gridSpan w:val="2"/>
          </w:tcPr>
          <w:p>
            <w:pPr>
              <w:jc w:val="center"/>
              <w:ind w:left="328"/>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60" w:type="dxa"/>
            <w:vAlign w:val="bottom"/>
          </w:tcPr>
          <w:p>
            <w:pPr>
              <w:spacing w:after="0"/>
              <w:rPr>
                <w:sz w:val="12"/>
                <w:szCs w:val="12"/>
                <w:color w:val="auto"/>
              </w:rPr>
            </w:pPr>
          </w:p>
        </w:tc>
        <w:tc>
          <w:tcPr>
            <w:tcW w:w="28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Includes targets for sales by category, gross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Planning and</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margin rates by category, inventory turnover</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Allocation</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and store conversion target.</w:t>
            </w:r>
          </w:p>
        </w:tc>
        <w:tc>
          <w:tcPr>
            <w:tcW w:w="0" w:type="dxa"/>
            <w:vAlign w:val="bottom"/>
          </w:tcPr>
          <w:p>
            <w:pPr>
              <w:spacing w:after="0"/>
              <w:rPr>
                <w:sz w:val="1"/>
                <w:szCs w:val="1"/>
                <w:color w:val="auto"/>
              </w:rPr>
            </w:pPr>
          </w:p>
        </w:tc>
      </w:tr>
      <w:tr>
        <w:trPr>
          <w:trHeight w:val="139"/>
        </w:trPr>
        <w:tc>
          <w:tcPr>
            <w:tcW w:w="208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39" w:lineRule="exact"/>
              <w:rPr>
                <w:sz w:val="20"/>
                <w:szCs w:val="20"/>
                <w:color w:val="auto"/>
              </w:rPr>
            </w:pPr>
            <w:r>
              <w:rPr>
                <w:rFonts w:ascii="Times New Roman" w:cs="Times New Roman" w:eastAsia="Times New Roman" w:hAnsi="Times New Roman"/>
                <w:sz w:val="14"/>
                <w:szCs w:val="14"/>
                <w:color w:val="auto"/>
              </w:rPr>
              <w:t>Departmental goals payouts range from 50% to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150% dependent upon achievement of the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80" w:type="dxa"/>
            <w:vAlign w:val="bottom"/>
            <w:tcBorders>
              <w:left w:val="single" w:sz="8" w:color="CFF0FC"/>
            </w:tcBorders>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various targets.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900" w:type="dxa"/>
            <w:vAlign w:val="bottom"/>
            <w:gridSpan w:val="1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TIER II - Company's Financial Performance Measured Against the Company's 2024 Peers</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6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Corporate - Target 1</w:t>
            </w:r>
          </w:p>
        </w:tc>
        <w:tc>
          <w:tcPr>
            <w:tcW w:w="1040" w:type="dxa"/>
            <w:vAlign w:val="bottom"/>
            <w:gridSpan w:val="3"/>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Comparable</w:t>
            </w:r>
          </w:p>
        </w:tc>
        <w:tc>
          <w:tcPr>
            <w:tcW w:w="800" w:type="dxa"/>
            <w:vAlign w:val="bottom"/>
            <w:gridSpan w:val="2"/>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shd w:val="clear" w:color="auto" w:fill="CFF0FC"/>
          </w:tcPr>
          <w:p>
            <w:pPr>
              <w:spacing w:after="0"/>
              <w:rPr>
                <w:sz w:val="12"/>
                <w:szCs w:val="12"/>
                <w:color w:val="auto"/>
              </w:rPr>
            </w:pPr>
          </w:p>
        </w:tc>
        <w:tc>
          <w:tcPr>
            <w:tcW w:w="740" w:type="dxa"/>
            <w:vAlign w:val="bottom"/>
            <w:gridSpan w:val="4"/>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39"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80" w:type="dxa"/>
            <w:vAlign w:val="bottom"/>
            <w:tcBorders>
              <w:left w:val="single" w:sz="8" w:color="CFF0FC"/>
            </w:tcBorders>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4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Sales</w:t>
            </w: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Quartile 50%; 4th Quartile no payout.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80" w:type="dxa"/>
            <w:vAlign w:val="bottom"/>
            <w:tcBorders>
              <w:lef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Corporate - Target 2</w:t>
            </w:r>
          </w:p>
        </w:tc>
        <w:tc>
          <w:tcPr>
            <w:tcW w:w="104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Adjusted</w:t>
            </w:r>
          </w:p>
        </w:tc>
        <w:tc>
          <w:tcPr>
            <w:tcW w:w="800" w:type="dxa"/>
            <w:vAlign w:val="bottom"/>
            <w:gridSpan w:val="2"/>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tcPr>
          <w:p>
            <w:pPr>
              <w:spacing w:after="0"/>
              <w:rPr>
                <w:sz w:val="12"/>
                <w:szCs w:val="12"/>
                <w:color w:val="auto"/>
              </w:rPr>
            </w:pPr>
          </w:p>
        </w:tc>
        <w:tc>
          <w:tcPr>
            <w:tcW w:w="740" w:type="dxa"/>
            <w:vAlign w:val="bottom"/>
            <w:gridSpan w:val="4"/>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260" w:type="dxa"/>
            <w:vAlign w:val="bottom"/>
          </w:tcPr>
          <w:p>
            <w:pPr>
              <w:spacing w:after="0"/>
              <w:rPr>
                <w:sz w:val="12"/>
                <w:szCs w:val="12"/>
                <w:color w:val="auto"/>
              </w:rPr>
            </w:pPr>
          </w:p>
        </w:tc>
        <w:tc>
          <w:tcPr>
            <w:tcW w:w="8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60" w:type="dxa"/>
            <w:vAlign w:val="bottom"/>
          </w:tcPr>
          <w:p>
            <w:pPr>
              <w:spacing w:after="0"/>
              <w:rPr>
                <w:sz w:val="12"/>
                <w:szCs w:val="12"/>
                <w:color w:val="auto"/>
              </w:rPr>
            </w:pPr>
          </w:p>
        </w:tc>
        <w:tc>
          <w:tcPr>
            <w:tcW w:w="28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Quartile 50%; 4th Quartile no payout.</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Margin</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720" w:type="dxa"/>
            <w:vAlign w:val="bottom"/>
            <w:tcBorders>
              <w:left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INDIVIDUAL PERFORMANCE</w:t>
            </w:r>
          </w:p>
        </w:tc>
        <w:tc>
          <w:tcPr>
            <w:tcW w:w="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CFF0FC"/>
            </w:tcBorders>
            <w:shd w:val="clear" w:color="auto" w:fill="000000"/>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Individual Targets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Discretionary-</w:t>
            </w:r>
          </w:p>
        </w:tc>
        <w:tc>
          <w:tcPr>
            <w:tcW w:w="80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20.0%</w:t>
            </w:r>
          </w:p>
        </w:tc>
        <w:tc>
          <w:tcPr>
            <w:tcW w:w="300" w:type="dxa"/>
            <w:vAlign w:val="bottom"/>
          </w:tcPr>
          <w:p>
            <w:pPr>
              <w:spacing w:after="0"/>
              <w:rPr>
                <w:sz w:val="24"/>
                <w:szCs w:val="24"/>
                <w:color w:val="auto"/>
              </w:rPr>
            </w:pPr>
          </w:p>
        </w:tc>
        <w:tc>
          <w:tcPr>
            <w:tcW w:w="7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color w:val="auto"/>
                <w:w w:val="99"/>
              </w:rPr>
              <w:t>20.0%</w:t>
            </w:r>
          </w:p>
        </w:tc>
        <w:tc>
          <w:tcPr>
            <w:tcW w:w="260" w:type="dxa"/>
            <w:vAlign w:val="bottom"/>
          </w:tcPr>
          <w:p>
            <w:pPr>
              <w:spacing w:after="0"/>
              <w:rPr>
                <w:sz w:val="24"/>
                <w:szCs w:val="24"/>
                <w:color w:val="auto"/>
              </w:rPr>
            </w:pP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20.0%</w:t>
            </w:r>
          </w:p>
        </w:tc>
        <w:tc>
          <w:tcPr>
            <w:tcW w:w="60" w:type="dxa"/>
            <w:vAlign w:val="bottom"/>
          </w:tcPr>
          <w:p>
            <w:pPr>
              <w:spacing w:after="0"/>
              <w:rPr>
                <w:sz w:val="24"/>
                <w:szCs w:val="24"/>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Discretionary, at target, based upon individual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CEO (except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with respect to the CEO whose individual</w:t>
            </w:r>
          </w:p>
        </w:tc>
        <w:tc>
          <w:tcPr>
            <w:tcW w:w="0" w:type="dxa"/>
            <w:vAlign w:val="bottom"/>
          </w:tcPr>
          <w:p>
            <w:pPr>
              <w:spacing w:after="0"/>
              <w:rPr>
                <w:sz w:val="1"/>
                <w:szCs w:val="1"/>
                <w:color w:val="auto"/>
              </w:rPr>
            </w:pPr>
          </w:p>
        </w:tc>
      </w:tr>
      <w:tr>
        <w:trPr>
          <w:trHeight w:val="164"/>
        </w:trPr>
        <w:tc>
          <w:tcPr>
            <w:tcW w:w="2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performance will be evaluated by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-380365</wp:posOffset>
            </wp:positionV>
            <wp:extent cx="6130925" cy="864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0925" cy="864870"/>
                    </a:xfrm>
                    <a:prstGeom prst="rect">
                      <a:avLst/>
                    </a:prstGeom>
                    <a:noFill/>
                  </pic:spPr>
                </pic:pic>
              </a:graphicData>
            </a:graphic>
          </wp:anchor>
        </w:drawing>
      </w:r>
    </w:p>
    <w:p>
      <w:pPr>
        <w:ind w:left="7080"/>
        <w:spacing w:after="0" w:line="221" w:lineRule="auto"/>
        <w:rPr>
          <w:sz w:val="20"/>
          <w:szCs w:val="20"/>
          <w:color w:val="auto"/>
        </w:rPr>
      </w:pPr>
      <w:r>
        <w:rPr>
          <w:rFonts w:ascii="Times New Roman" w:cs="Times New Roman" w:eastAsia="Times New Roman" w:hAnsi="Times New Roman"/>
          <w:sz w:val="14"/>
          <w:szCs w:val="14"/>
          <w:color w:val="auto"/>
        </w:rPr>
        <w:t>Compensation Committee). Participants are</w:t>
      </w:r>
    </w:p>
    <w:p>
      <w:pPr>
        <w:ind w:left="70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080"/>
        <w:spacing w:after="0" w:line="221" w:lineRule="auto"/>
        <w:rPr>
          <w:sz w:val="20"/>
          <w:szCs w:val="20"/>
          <w:color w:val="auto"/>
        </w:rPr>
      </w:pPr>
      <w:r>
        <w:rPr>
          <w:rFonts w:ascii="Times New Roman" w:cs="Times New Roman" w:eastAsia="Times New Roman" w:hAnsi="Times New Roman"/>
          <w:sz w:val="14"/>
          <w:szCs w:val="14"/>
          <w:color w:val="auto"/>
        </w:rPr>
        <w:t>30%, with the exception of Mr. Kanter who is</w:t>
      </w:r>
    </w:p>
    <w:p>
      <w:pPr>
        <w:ind w:left="70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080"/>
        <w:spacing w:after="0"/>
        <w:rPr>
          <w:sz w:val="20"/>
          <w:szCs w:val="20"/>
          <w:color w:val="auto"/>
        </w:rPr>
      </w:pPr>
      <w:r>
        <w:rPr>
          <w:rFonts w:ascii="Times New Roman" w:cs="Times New Roman" w:eastAsia="Times New Roman" w:hAnsi="Times New Roman"/>
          <w:sz w:val="14"/>
          <w:szCs w:val="14"/>
          <w:color w:val="auto"/>
        </w:rPr>
        <w:t>40%.</w:t>
      </w:r>
    </w:p>
    <w:p>
      <w:pPr>
        <w:spacing w:after="0" w:line="3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above targets for each metric in TIER I were derived from the Company’s annual operating plan and budget for the 2024 fiscal year, and are intended to be achievable, with an approximate 50% probability of achievement. The likelihood of achieving the 2024 targets reflects the challenges inherent in achieving the goals and objectives of an ambitious operating plan, given the continuing uncertainty with respect to the economy, higher costs, and consumer discretionary spending. The Compensation Committee's adoption of the TIER II plan is to ensure that all participants in the AIP will be motivated in fiscal 2024.</w:t>
      </w:r>
    </w:p>
    <w:p>
      <w:pPr>
        <w:spacing w:after="0" w:line="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472440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092" w:right="359" w:bottom="1440" w:gutter="0" w:footer="0" w:header="0"/>
        </w:sectPr>
      </w:pPr>
    </w:p>
    <w:bookmarkStart w:id="14" w:name="page15"/>
    <w:bookmarkEnd w:id="14"/>
    <w:p>
      <w:pPr>
        <w:ind w:left="520" w:right="540"/>
        <w:spacing w:after="0" w:line="281" w:lineRule="auto"/>
        <w:rPr>
          <w:sz w:val="20"/>
          <w:szCs w:val="20"/>
          <w:color w:val="auto"/>
        </w:rPr>
      </w:pPr>
      <w:r>
        <w:rPr>
          <w:rFonts w:ascii="Times New Roman" w:cs="Times New Roman" w:eastAsia="Times New Roman" w:hAnsi="Times New Roman"/>
          <w:sz w:val="18"/>
          <w:szCs w:val="18"/>
          <w:color w:val="auto"/>
        </w:rPr>
        <w:t>For fiscal 2024, Mr. Kanter will continue to participate at 100% of his salary, Mr. Stratton will continue to participate at 60% of his salary, and Messrs. Molloy and Gaeta and Ms. Surette will continue to participate at 50% of their respective salaries.</w:t>
      </w:r>
    </w:p>
    <w:p>
      <w:pPr>
        <w:spacing w:after="0" w:line="268" w:lineRule="exact"/>
        <w:rPr>
          <w:sz w:val="20"/>
          <w:szCs w:val="20"/>
          <w:color w:val="auto"/>
        </w:rPr>
      </w:pPr>
    </w:p>
    <w:p>
      <w:pPr>
        <w:ind w:left="780" w:hanging="26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 (LTIP)</w:t>
      </w:r>
    </w:p>
    <w:p>
      <w:pPr>
        <w:spacing w:after="0" w:line="226" w:lineRule="exact"/>
        <w:rPr>
          <w:rFonts w:ascii="Times New Roman" w:cs="Times New Roman" w:eastAsia="Times New Roman" w:hAnsi="Times New Roman"/>
          <w:sz w:val="18"/>
          <w:szCs w:val="18"/>
          <w:color w:val="auto"/>
        </w:rPr>
      </w:pPr>
    </w:p>
    <w:p>
      <w:pPr>
        <w:jc w:val="both"/>
        <w:ind w:left="76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long-term incentive plan is designed to ensure that the interests of our executives are aligned with those of our stockholders to create sustainable shareholder value and to promote executive retention. Awards under the LTIP consist of a combination of time-based and performance-based awards for which payouts may consist of cash or equity or a combination of both. The performance-based portion of the LTIP is based on financial metric(s) measured over a three-year performance cycle. All equity awards granted under the LTIP are issued from the Company’s stockholder-approved 2016 Incentive Compensation Plan, as amended (the “2016 Plan”). Participants in the LTIP are eligible to receive awards based on their “Target Cash Value,” which is defined as the participant’s annual base salary multiplied by his or her LTIP percentage. Under each LTIP, 50% of each participant’s Target Cash Value is subject to time-based vesting and 50% is subject to performance-based vesting.</w:t>
      </w:r>
    </w:p>
    <w:p>
      <w:pPr>
        <w:spacing w:after="0" w:line="189" w:lineRule="exact"/>
        <w:rPr>
          <w:rFonts w:ascii="Times New Roman" w:cs="Times New Roman" w:eastAsia="Times New Roman" w:hAnsi="Times New Roman"/>
          <w:sz w:val="18"/>
          <w:szCs w:val="18"/>
          <w:color w:val="auto"/>
        </w:rPr>
      </w:pPr>
    </w:p>
    <w:p>
      <w:pPr>
        <w:jc w:val="both"/>
        <w:ind w:left="76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beginning with the 2022-2024 LTIP, the LTIPs include a Structured Retirement provision, which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the participant must terminate employment after meeting the age and service requirements set forth in the LTIP; the Compensation Committee must confirm through proper corporate action that the participant has met all of the succession planning objectives set by the Compensation Committee for the participant; the participant must continue to work until the date required by the Compensation Committee (which may not be more than 60 days after the Compensation Committee confirms that the objectives have been met); and the participant must execute a release of claims in favor of the Company. The final determination as to whether the requirements of a Structured Retirement have been met is in the sole discretion of the Compensation Committee.</w:t>
      </w:r>
    </w:p>
    <w:p>
      <w:pPr>
        <w:spacing w:after="0" w:line="18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2021-2023 LTIP</w:t>
      </w:r>
    </w:p>
    <w:p>
      <w:pPr>
        <w:spacing w:after="0" w:line="226" w:lineRule="exact"/>
        <w:rPr>
          <w:rFonts w:ascii="Times New Roman" w:cs="Times New Roman" w:eastAsia="Times New Roman" w:hAnsi="Times New Roman"/>
          <w:sz w:val="18"/>
          <w:szCs w:val="18"/>
          <w:color w:val="auto"/>
        </w:rPr>
      </w:pPr>
    </w:p>
    <w:p>
      <w:pPr>
        <w:ind w:left="760"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Company’s 2021-2023 LTIP ended on February 3, 2024. The time-based awards under the 2021-2023 LTIP were granted in a combination of 25% stock options and 75% cash that vested over four years, with the last tranche vesting on April 1, 2025.</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performance target, established by the Compensation Committee on March 8, 2021, was a three-year relative TSR as compared to the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Company’s 2021 peer group, and the actual performance achieved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2021-2023 LTIP Performance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Metric</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Potential Payout</w:t>
            </w: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Actual</w:t>
            </w:r>
          </w:p>
        </w:tc>
        <w:tc>
          <w:tcPr>
            <w:tcW w:w="1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Payout %</w:t>
            </w:r>
          </w:p>
        </w:tc>
        <w:tc>
          <w:tcPr>
            <w:tcW w:w="0" w:type="dxa"/>
            <w:vAlign w:val="bottom"/>
          </w:tcPr>
          <w:p>
            <w:pPr>
              <w:spacing w:after="0"/>
              <w:rPr>
                <w:sz w:val="1"/>
                <w:szCs w:val="1"/>
                <w:color w:val="auto"/>
              </w:rPr>
            </w:pPr>
          </w:p>
        </w:tc>
      </w:tr>
      <w:tr>
        <w:trPr>
          <w:trHeight w:val="175"/>
        </w:trPr>
        <w:tc>
          <w:tcPr>
            <w:tcW w:w="354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3-yr. relative total shareholder return as compared to</w:t>
            </w:r>
          </w:p>
        </w:tc>
        <w:tc>
          <w:tcPr>
            <w:tcW w:w="120" w:type="dxa"/>
            <w:vAlign w:val="bottom"/>
          </w:tcPr>
          <w:p>
            <w:pPr>
              <w:spacing w:after="0"/>
              <w:rPr>
                <w:sz w:val="15"/>
                <w:szCs w:val="15"/>
                <w:color w:val="auto"/>
              </w:rPr>
            </w:pPr>
          </w:p>
        </w:tc>
        <w:tc>
          <w:tcPr>
            <w:tcW w:w="4420" w:type="dxa"/>
            <w:vAlign w:val="bottom"/>
            <w:tcBorders>
              <w:top w:val="single" w:sz="8" w:color="auto"/>
            </w:tcBorders>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100% payout at target (2nd quartile), with 50% payout (3rd</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1st</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2021 disclosed proxy peers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quartile) and 150% payout (1st quartile). No payout in the 4th</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quartile.</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2nd quartile</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quartile</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402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186" w:lineRule="exact"/>
        <w:rPr>
          <w:sz w:val="20"/>
          <w:szCs w:val="20"/>
          <w:color w:val="auto"/>
        </w:rPr>
      </w:pPr>
    </w:p>
    <w:p>
      <w:pPr>
        <w:ind w:left="760" w:right="60" w:hanging="3"/>
        <w:spacing w:after="0" w:line="258" w:lineRule="auto"/>
        <w:tabs>
          <w:tab w:leader="none" w:pos="98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2021 disclosed proxy peers, the three-year relative total shareholder return was calculated as the percentage change in the 30-day trailing volume-weighted average closing stock price at January 29, 2021 and February 2, 2024, adjusted for any dividends paid.</w:t>
      </w:r>
    </w:p>
    <w:p>
      <w:pPr>
        <w:spacing w:after="0" w:line="63" w:lineRule="exact"/>
        <w:rPr>
          <w:sz w:val="20"/>
          <w:szCs w:val="20"/>
          <w:color w:val="auto"/>
        </w:rPr>
      </w:pPr>
    </w:p>
    <w:p>
      <w:pPr>
        <w:jc w:val="both"/>
        <w:ind w:left="760" w:right="60"/>
        <w:spacing w:after="0" w:line="260" w:lineRule="auto"/>
        <w:rPr>
          <w:sz w:val="20"/>
          <w:szCs w:val="20"/>
          <w:color w:val="auto"/>
        </w:rPr>
      </w:pPr>
      <w:r>
        <w:rPr>
          <w:rFonts w:ascii="Times New Roman" w:cs="Times New Roman" w:eastAsia="Times New Roman" w:hAnsi="Times New Roman"/>
          <w:sz w:val="18"/>
          <w:szCs w:val="18"/>
          <w:color w:val="auto"/>
        </w:rPr>
        <w:t>Based on the above achievement, subsequent to the end of fiscal 2023, the Compensation Committee approved a performance award, with an effective grant date of April 1, 2024, totaling $3.0 million, to be payable in cash, subject to further vesting through August 31, 2024. In an effort to preserve share availability under the 2016 Plan, given the low stock price, the Compensation Committee believed the use of cash awards was more prudent than awarding shares.</w:t>
      </w:r>
    </w:p>
    <w:p>
      <w:pPr>
        <w:spacing w:after="0" w:line="74" w:lineRule="exact"/>
        <w:rPr>
          <w:sz w:val="20"/>
          <w:szCs w:val="20"/>
          <w:color w:val="auto"/>
        </w:rPr>
      </w:pPr>
    </w:p>
    <w:p>
      <w:pPr>
        <w:jc w:val="both"/>
        <w:ind w:left="760" w:right="60"/>
        <w:spacing w:after="0" w:line="265" w:lineRule="auto"/>
        <w:rPr>
          <w:sz w:val="20"/>
          <w:szCs w:val="20"/>
          <w:color w:val="auto"/>
        </w:rPr>
      </w:pPr>
      <w:r>
        <w:rPr>
          <w:rFonts w:ascii="Times New Roman" w:cs="Times New Roman" w:eastAsia="Times New Roman" w:hAnsi="Times New Roman"/>
          <w:sz w:val="18"/>
          <w:szCs w:val="18"/>
          <w:color w:val="auto"/>
        </w:rPr>
        <w:t>Approximately $1.6 million of the $3.0 million of the 2021-2023 LTIP cash award was earned by the Named Executive Officers. The following is a summary of the cash awards granted to our Named Executive Officers on April 1, 2024 as a result of achieving the performance metrics under the 2021-2023 LTIP: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Pr>
          <w:p>
            <w:pPr>
              <w:ind w:left="31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900" w:type="dxa"/>
            <w:vAlign w:val="bottom"/>
          </w:tcPr>
          <w:p>
            <w:pPr>
              <w:spacing w:after="0"/>
              <w:rPr>
                <w:sz w:val="15"/>
                <w:szCs w:val="15"/>
                <w:color w:val="auto"/>
              </w:rPr>
            </w:pPr>
          </w:p>
        </w:tc>
        <w:tc>
          <w:tcPr>
            <w:tcW w:w="3820" w:type="dxa"/>
            <w:vAlign w:val="bottom"/>
          </w:tcPr>
          <w:p>
            <w:pPr>
              <w:jc w:val="right"/>
              <w:ind w:right="1174"/>
              <w:spacing w:after="0"/>
              <w:rPr>
                <w:sz w:val="20"/>
                <w:szCs w:val="20"/>
                <w:color w:val="auto"/>
              </w:rPr>
            </w:pPr>
            <w:r>
              <w:rPr>
                <w:rFonts w:ascii="Times New Roman" w:cs="Times New Roman" w:eastAsia="Times New Roman" w:hAnsi="Times New Roman"/>
                <w:sz w:val="13"/>
                <w:szCs w:val="13"/>
                <w:b w:val="1"/>
                <w:bCs w:val="1"/>
                <w:color w:val="auto"/>
              </w:rPr>
              <w:t>Total Performance-Based Cash Award</w:t>
            </w: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9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8"/>
                <w:szCs w:val="18"/>
                <w:color w:val="auto"/>
              </w:rPr>
              <w:t>937,125</w:t>
            </w: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207,375</w:t>
            </w: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9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8"/>
                <w:szCs w:val="18"/>
                <w:color w:val="auto"/>
              </w:rPr>
              <w:t>154,875</w:t>
            </w: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196,875</w:t>
            </w: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29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8"/>
                <w:szCs w:val="18"/>
                <w:color w:val="auto"/>
              </w:rPr>
              <w:t>149,625</w:t>
            </w:r>
          </w:p>
        </w:tc>
      </w:tr>
      <w:tr>
        <w:trPr>
          <w:trHeight w:val="432"/>
        </w:trPr>
        <w:tc>
          <w:tcPr>
            <w:tcW w:w="4520" w:type="dxa"/>
            <w:vAlign w:val="bottom"/>
          </w:tcPr>
          <w:p>
            <w:pPr>
              <w:spacing w:after="0"/>
              <w:rPr>
                <w:sz w:val="24"/>
                <w:szCs w:val="24"/>
                <w:color w:val="auto"/>
              </w:rPr>
            </w:pPr>
          </w:p>
        </w:tc>
        <w:tc>
          <w:tcPr>
            <w:tcW w:w="29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15</w:t>
            </w:r>
          </w:p>
        </w:tc>
        <w:tc>
          <w:tcPr>
            <w:tcW w:w="3820" w:type="dxa"/>
            <w:vAlign w:val="bottom"/>
          </w:tcPr>
          <w:p>
            <w:pPr>
              <w:spacing w:after="0"/>
              <w:rPr>
                <w:sz w:val="24"/>
                <w:szCs w:val="24"/>
                <w:color w:val="auto"/>
              </w:rPr>
            </w:pPr>
          </w:p>
        </w:tc>
      </w:tr>
      <w:tr>
        <w:trPr>
          <w:trHeight w:val="762"/>
        </w:trPr>
        <w:tc>
          <w:tcPr>
            <w:tcW w:w="45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2022-2024 LTIP and 2023-2025 LTIP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2022-2024 LTIP and 2023-2025 LTIP in effect, but not completed, during fiscal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2022-2024</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2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2023-2025</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FF0FC"/>
          </w:tcPr>
          <w:p>
            <w:pPr>
              <w:spacing w:after="0"/>
              <w:rPr>
                <w:sz w:val="19"/>
                <w:szCs w:val="19"/>
                <w:color w:val="auto"/>
              </w:rPr>
            </w:pPr>
          </w:p>
        </w:tc>
        <w:tc>
          <w:tcPr>
            <w:tcW w:w="3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date</w:t>
            </w:r>
          </w:p>
        </w:tc>
        <w:tc>
          <w:tcPr>
            <w:tcW w:w="22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380" w:type="dxa"/>
            <w:vAlign w:val="bottom"/>
            <w:tcBorders>
              <w:top w:val="single" w:sz="8" w:color="auto"/>
            </w:tcBorders>
            <w:gridSpan w:val="6"/>
            <w:shd w:val="clear" w:color="auto" w:fill="CFF0FC"/>
          </w:tcPr>
          <w:p>
            <w:pPr>
              <w:jc w:val="center"/>
              <w:ind w:right="1440"/>
              <w:spacing w:after="0"/>
              <w:rPr>
                <w:sz w:val="20"/>
                <w:szCs w:val="20"/>
                <w:color w:val="auto"/>
              </w:rPr>
            </w:pPr>
            <w:r>
              <w:rPr>
                <w:rFonts w:ascii="Times New Roman" w:cs="Times New Roman" w:eastAsia="Times New Roman" w:hAnsi="Times New Roman"/>
                <w:sz w:val="16"/>
                <w:szCs w:val="16"/>
                <w:color w:val="auto"/>
              </w:rPr>
              <w:t>April 9, 2022</w:t>
            </w:r>
          </w:p>
        </w:tc>
        <w:tc>
          <w:tcPr>
            <w:tcW w:w="24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460" w:type="dxa"/>
            <w:vAlign w:val="bottom"/>
            <w:tcBorders>
              <w:top w:val="single" w:sz="8" w:color="auto"/>
            </w:tcBorders>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May 1, 2023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8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color w:val="auto"/>
              </w:rPr>
              <w:t>3yrs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6"/>
          </w:tcPr>
          <w:p>
            <w:pPr>
              <w:jc w:val="center"/>
              <w:ind w:right="1380"/>
              <w:spacing w:after="0"/>
              <w:rPr>
                <w:sz w:val="20"/>
                <w:szCs w:val="20"/>
                <w:color w:val="auto"/>
              </w:rPr>
            </w:pPr>
            <w:r>
              <w:rPr>
                <w:rFonts w:ascii="Times New Roman" w:cs="Times New Roman" w:eastAsia="Times New Roman" w:hAnsi="Times New Roman"/>
                <w:sz w:val="16"/>
                <w:szCs w:val="16"/>
                <w:color w:val="auto"/>
              </w:rPr>
              <w:t>3yrs</w:t>
            </w: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0" w:type="dxa"/>
            <w:vAlign w:val="bottom"/>
            <w:gridSpan w:val="8"/>
            <w:shd w:val="clear" w:color="auto" w:fill="CFF0FC"/>
          </w:tcPr>
          <w:p>
            <w:pPr>
              <w:jc w:val="center"/>
              <w:ind w:right="1220"/>
              <w:spacing w:after="0"/>
              <w:rPr>
                <w:sz w:val="20"/>
                <w:szCs w:val="20"/>
                <w:color w:val="auto"/>
              </w:rPr>
            </w:pPr>
            <w:r>
              <w:rPr>
                <w:rFonts w:ascii="Times New Roman" w:cs="Times New Roman" w:eastAsia="Times New Roman" w:hAnsi="Times New Roman"/>
                <w:sz w:val="16"/>
                <w:szCs w:val="16"/>
                <w:color w:val="auto"/>
              </w:rPr>
              <w:t>February 1, 2025</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20" w:type="dxa"/>
            <w:vAlign w:val="bottom"/>
            <w:gridSpan w:val="7"/>
            <w:shd w:val="clear" w:color="auto" w:fill="CFF0FC"/>
          </w:tcPr>
          <w:p>
            <w:pPr>
              <w:jc w:val="center"/>
              <w:ind w:right="1220"/>
              <w:spacing w:after="0"/>
              <w:rPr>
                <w:sz w:val="20"/>
                <w:szCs w:val="20"/>
                <w:color w:val="auto"/>
              </w:rPr>
            </w:pPr>
            <w:r>
              <w:rPr>
                <w:rFonts w:ascii="Times New Roman" w:cs="Times New Roman" w:eastAsia="Times New Roman" w:hAnsi="Times New Roman"/>
                <w:sz w:val="16"/>
                <w:szCs w:val="16"/>
                <w:color w:val="auto"/>
              </w:rPr>
              <w:t>January 31,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Target cash value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9"/>
          </w:tcPr>
          <w:p>
            <w:pPr>
              <w:jc w:val="center"/>
              <w:ind w:right="76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8"/>
          </w:tcPr>
          <w:p>
            <w:pPr>
              <w:jc w:val="center"/>
              <w:ind w:right="76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w w:val="99"/>
              </w:rPr>
              <w:t>Time-Based</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Performance-Based</w:t>
            </w:r>
          </w:p>
        </w:tc>
        <w:tc>
          <w:tcPr>
            <w:tcW w:w="240" w:type="dxa"/>
            <w:vAlign w:val="bottom"/>
          </w:tcPr>
          <w:p>
            <w:pPr>
              <w:spacing w:after="0"/>
              <w:rPr>
                <w:sz w:val="16"/>
                <w:szCs w:val="16"/>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9"/>
              </w:rPr>
              <w:t>Time-Based</w:t>
            </w:r>
          </w:p>
        </w:tc>
        <w:tc>
          <w:tcPr>
            <w:tcW w:w="18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20" w:type="dxa"/>
            <w:vAlign w:val="bottom"/>
            <w:gridSpan w:val="4"/>
            <w:shd w:val="clear" w:color="auto" w:fill="CFF0FC"/>
          </w:tcPr>
          <w:p>
            <w:pPr>
              <w:jc w:val="center"/>
              <w:ind w:left="87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center"/>
              <w:ind w:left="91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RSUs, Cash or a</w:t>
            </w:r>
          </w:p>
        </w:tc>
        <w:tc>
          <w:tcPr>
            <w:tcW w:w="240" w:type="dxa"/>
            <w:vAlign w:val="bottom"/>
          </w:tcPr>
          <w:p>
            <w:pPr>
              <w:spacing w:after="0"/>
              <w:rPr>
                <w:sz w:val="17"/>
                <w:szCs w:val="17"/>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 type</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rPr>
              <w:t>50% RSUs</w:t>
            </w:r>
          </w:p>
        </w:tc>
        <w:tc>
          <w:tcPr>
            <w:tcW w:w="480" w:type="dxa"/>
            <w:vAlign w:val="bottom"/>
          </w:tcPr>
          <w:p>
            <w:pPr>
              <w:spacing w:after="0"/>
              <w:rPr>
                <w:sz w:val="17"/>
                <w:szCs w:val="17"/>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combination thereof, when</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gridSpan w:val="4"/>
          </w:tcPr>
          <w:p>
            <w:pPr>
              <w:jc w:val="center"/>
              <w:ind w:right="539"/>
              <w:spacing w:after="0"/>
              <w:rPr>
                <w:sz w:val="20"/>
                <w:szCs w:val="20"/>
                <w:color w:val="auto"/>
              </w:rPr>
            </w:pPr>
            <w:r>
              <w:rPr>
                <w:rFonts w:ascii="Times New Roman" w:cs="Times New Roman" w:eastAsia="Times New Roman" w:hAnsi="Times New Roman"/>
                <w:sz w:val="16"/>
                <w:szCs w:val="16"/>
                <w:color w:val="auto"/>
              </w:rPr>
              <w:t>50% RSUs</w:t>
            </w: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rPr>
              <w:t>50% Cash</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earned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4"/>
          </w:tcPr>
          <w:p>
            <w:pPr>
              <w:jc w:val="center"/>
              <w:ind w:right="519"/>
              <w:spacing w:after="0"/>
              <w:rPr>
                <w:sz w:val="20"/>
                <w:szCs w:val="20"/>
                <w:color w:val="auto"/>
              </w:rPr>
            </w:pPr>
            <w:r>
              <w:rPr>
                <w:rFonts w:ascii="Times New Roman" w:cs="Times New Roman" w:eastAsia="Times New Roman" w:hAnsi="Times New Roman"/>
                <w:sz w:val="16"/>
                <w:szCs w:val="16"/>
                <w:color w:val="auto"/>
              </w:rPr>
              <w:t>50% Cash</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9, 2023</w:t>
            </w: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May 1, 2024</w:t>
            </w: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3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period</w:t>
            </w: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2024</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2025</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02"/>
        </w:trPr>
        <w:tc>
          <w:tcPr>
            <w:tcW w:w="20" w:type="dxa"/>
            <w:vAlign w:val="bottom"/>
            <w:shd w:val="clear" w:color="auto" w:fill="CFF0FC"/>
          </w:tcPr>
          <w:p>
            <w:pPr>
              <w:spacing w:after="0"/>
              <w:rPr>
                <w:sz w:val="8"/>
                <w:szCs w:val="8"/>
                <w:color w:val="auto"/>
              </w:rPr>
            </w:pPr>
          </w:p>
        </w:tc>
        <w:tc>
          <w:tcPr>
            <w:tcW w:w="312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2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480" w:type="dxa"/>
            <w:vAlign w:val="bottom"/>
            <w:shd w:val="clear" w:color="auto" w:fill="CFF0FC"/>
          </w:tcPr>
          <w:p>
            <w:pPr>
              <w:spacing w:after="0"/>
              <w:rPr>
                <w:sz w:val="8"/>
                <w:szCs w:val="8"/>
                <w:color w:val="auto"/>
              </w:rPr>
            </w:pPr>
          </w:p>
        </w:tc>
        <w:tc>
          <w:tcPr>
            <w:tcW w:w="1900" w:type="dxa"/>
            <w:vAlign w:val="bottom"/>
            <w:gridSpan w:val="5"/>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240" w:type="dxa"/>
            <w:vAlign w:val="bottom"/>
            <w:shd w:val="clear" w:color="auto" w:fill="CFF0FC"/>
          </w:tcPr>
          <w:p>
            <w:pPr>
              <w:spacing w:after="0"/>
              <w:rPr>
                <w:sz w:val="8"/>
                <w:szCs w:val="8"/>
                <w:color w:val="auto"/>
              </w:rPr>
            </w:pPr>
          </w:p>
        </w:tc>
        <w:tc>
          <w:tcPr>
            <w:tcW w:w="1980" w:type="dxa"/>
            <w:vAlign w:val="bottom"/>
            <w:gridSpan w:val="5"/>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2026</w:t>
            </w:r>
          </w:p>
        </w:tc>
        <w:tc>
          <w:tcPr>
            <w:tcW w:w="1860" w:type="dxa"/>
            <w:vAlign w:val="bottom"/>
            <w:gridSpan w:val="5"/>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100"/>
        </w:trPr>
        <w:tc>
          <w:tcPr>
            <w:tcW w:w="20" w:type="dxa"/>
            <w:vAlign w:val="bottom"/>
            <w:shd w:val="clear" w:color="auto" w:fill="CFF0FC"/>
          </w:tcPr>
          <w:p>
            <w:pPr>
              <w:spacing w:after="0"/>
              <w:rPr>
                <w:sz w:val="8"/>
                <w:szCs w:val="8"/>
                <w:color w:val="auto"/>
              </w:rPr>
            </w:pPr>
          </w:p>
        </w:tc>
        <w:tc>
          <w:tcPr>
            <w:tcW w:w="1620" w:type="dxa"/>
            <w:vAlign w:val="bottom"/>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20" w:type="dxa"/>
            <w:vAlign w:val="bottom"/>
            <w:gridSpan w:val="5"/>
            <w:vMerge w:val="continue"/>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900" w:type="dxa"/>
            <w:vAlign w:val="bottom"/>
            <w:gridSpan w:val="5"/>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980" w:type="dxa"/>
            <w:vAlign w:val="bottom"/>
            <w:gridSpan w:val="5"/>
            <w:vMerge w:val="continue"/>
            <w:shd w:val="clear" w:color="auto" w:fill="CFF0FC"/>
          </w:tcPr>
          <w:p>
            <w:pPr>
              <w:spacing w:after="0"/>
              <w:rPr>
                <w:sz w:val="8"/>
                <w:szCs w:val="8"/>
                <w:color w:val="auto"/>
              </w:rPr>
            </w:pPr>
          </w:p>
        </w:tc>
        <w:tc>
          <w:tcPr>
            <w:tcW w:w="1860" w:type="dxa"/>
            <w:vAlign w:val="bottom"/>
            <w:gridSpan w:val="5"/>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80" w:type="dxa"/>
            <w:vAlign w:val="bottom"/>
            <w:shd w:val="clear" w:color="auto" w:fill="CFF0FC"/>
          </w:tcPr>
          <w:p>
            <w:pPr>
              <w:spacing w:after="0"/>
              <w:rPr>
                <w:sz w:val="19"/>
                <w:szCs w:val="19"/>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August 31, 2025</w:t>
            </w:r>
          </w:p>
        </w:tc>
        <w:tc>
          <w:tcPr>
            <w:tcW w:w="240" w:type="dxa"/>
            <w:vAlign w:val="bottom"/>
            <w:shd w:val="clear" w:color="auto" w:fill="CFF0FC"/>
          </w:tcPr>
          <w:p>
            <w:pPr>
              <w:spacing w:after="0"/>
              <w:rPr>
                <w:sz w:val="19"/>
                <w:szCs w:val="19"/>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2027</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31, 2026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Targets (1):</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9"/>
              </w:rPr>
              <w:t>Target:</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Min/Max Payout:</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gridSpan w:val="4"/>
          </w:tcPr>
          <w:p>
            <w:pPr>
              <w:jc w:val="center"/>
              <w:ind w:right="519"/>
              <w:spacing w:after="0"/>
              <w:rPr>
                <w:sz w:val="20"/>
                <w:szCs w:val="20"/>
                <w:color w:val="auto"/>
              </w:rPr>
            </w:pPr>
            <w:r>
              <w:rPr>
                <w:rFonts w:ascii="Times New Roman" w:cs="Times New Roman" w:eastAsia="Times New Roman" w:hAnsi="Times New Roman"/>
                <w:sz w:val="16"/>
                <w:szCs w:val="16"/>
                <w:color w:val="auto"/>
                <w:w w:val="99"/>
              </w:rPr>
              <w:t>Target: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3-yr. relative total</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100% payout at target (2nd</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3-yr. relative total shareholder</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 payout at target (2nd</w:t>
            </w: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 return as</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quartile), with 50% payout</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as compared to 2023</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quartile), with 50% payout</w:t>
            </w: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2022 disclosed</w:t>
            </w: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(3rd quartile) and 150%</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disclosed proxy peers (3)</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(2)</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payout (1st quartile). No</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 weight)</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480" w:type="dxa"/>
            <w:vAlign w:val="bottom"/>
            <w:shd w:val="clear" w:color="auto" w:fill="CFF0FC"/>
          </w:tcPr>
          <w:p>
            <w:pPr>
              <w:spacing w:after="0"/>
              <w:rPr>
                <w:sz w:val="19"/>
                <w:szCs w:val="19"/>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340" w:hanging="380"/>
        <w:spacing w:after="0" w:line="258"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established just one performance metric, “Three-Year Relative Total Shareholder Return”, for both LTIPs and believed that this metric appropriately aligned management with the interests of our stockholders.</w:t>
      </w:r>
    </w:p>
    <w:p>
      <w:pPr>
        <w:spacing w:after="0" w:line="58" w:lineRule="exact"/>
        <w:rPr>
          <w:rFonts w:ascii="Times New Roman" w:cs="Times New Roman" w:eastAsia="Times New Roman" w:hAnsi="Times New Roman"/>
          <w:sz w:val="14"/>
          <w:szCs w:val="14"/>
          <w:color w:val="auto"/>
        </w:rPr>
      </w:pPr>
    </w:p>
    <w:p>
      <w:pPr>
        <w:ind w:left="1340" w:hanging="380"/>
        <w:spacing w:after="0" w:line="258"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2022 disclosed proxy peers, the three-year relative total shareholder return will be calculated as the percentage change in the 30-day trailing volume-weighted average closing stock price at January 28, 2022 and January 31, 2025, adjusted for any dividends paid.</w:t>
      </w:r>
    </w:p>
    <w:p>
      <w:pPr>
        <w:spacing w:after="0" w:line="58" w:lineRule="exact"/>
        <w:rPr>
          <w:rFonts w:ascii="Times New Roman" w:cs="Times New Roman" w:eastAsia="Times New Roman" w:hAnsi="Times New Roman"/>
          <w:sz w:val="14"/>
          <w:szCs w:val="14"/>
          <w:color w:val="auto"/>
        </w:rPr>
      </w:pPr>
    </w:p>
    <w:p>
      <w:pPr>
        <w:ind w:left="1340" w:hanging="380"/>
        <w:spacing w:after="0" w:line="258"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2023 disclosed proxy peers, the three-year relative total shareholder return will be calculated as the percentage change in the 30-day trailing volume-weighted average closing stock price at January 27, 2023 and January 30, 2026, adjusted for any dividends paid.</w:t>
      </w:r>
    </w:p>
    <w:p>
      <w:pPr>
        <w:spacing w:after="0" w:line="63" w:lineRule="exact"/>
        <w:rPr>
          <w:sz w:val="20"/>
          <w:szCs w:val="20"/>
          <w:color w:val="auto"/>
        </w:rPr>
      </w:pPr>
    </w:p>
    <w:p>
      <w:pPr>
        <w:ind w:left="940"/>
        <w:spacing w:after="0" w:line="281"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single performance metric of a Three-Year Relative Total Shareholder Return reflected the Company’s primary objective of earnings growth and driving shareholder return.</w:t>
      </w:r>
    </w:p>
    <w:p>
      <w:pPr>
        <w:spacing w:after="0" w:line="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LTIP acts as a retention tool:</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 of</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6"/>
                <w:szCs w:val="16"/>
                <w:color w:val="auto"/>
              </w:rPr>
            </w:pPr>
          </w:p>
        </w:tc>
        <w:tc>
          <w:tcPr>
            <w:tcW w:w="47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2024</w:t>
            </w: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w w:val="99"/>
              </w:rPr>
              <w:t>2026</w:t>
            </w:r>
          </w:p>
        </w:tc>
        <w:tc>
          <w:tcPr>
            <w:tcW w:w="180" w:type="dxa"/>
            <w:vAlign w:val="bottom"/>
          </w:tcPr>
          <w:p>
            <w:pPr>
              <w:spacing w:after="0"/>
              <w:rPr>
                <w:sz w:val="16"/>
                <w:szCs w:val="16"/>
                <w:color w:val="auto"/>
              </w:rPr>
            </w:pP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6"/>
                <w:szCs w:val="16"/>
                <w:color w:val="auto"/>
              </w:rPr>
            </w:pPr>
          </w:p>
        </w:tc>
      </w:tr>
      <w:tr>
        <w:trPr>
          <w:trHeight w:val="169"/>
        </w:trPr>
        <w:tc>
          <w:tcPr>
            <w:tcW w:w="1200" w:type="dxa"/>
            <w:vAlign w:val="bottom"/>
            <w:tcBorders>
              <w:top w:val="single" w:sz="8" w:color="auto"/>
            </w:tcBorders>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4/9/2022</w:t>
            </w:r>
          </w:p>
        </w:tc>
        <w:tc>
          <w:tcPr>
            <w:tcW w:w="120" w:type="dxa"/>
            <w:vAlign w:val="bottom"/>
            <w:shd w:val="clear" w:color="auto" w:fill="CFF0FC"/>
          </w:tcPr>
          <w:p>
            <w:pPr>
              <w:spacing w:after="0"/>
              <w:rPr>
                <w:sz w:val="14"/>
                <w:szCs w:val="14"/>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2022-2024 LTIP</w:t>
            </w:r>
          </w:p>
        </w:tc>
        <w:tc>
          <w:tcPr>
            <w:tcW w:w="12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8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90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120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5/1/2023</w:t>
            </w: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2023-2025 LTIP</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r>
      <w:tr>
        <w:trPr>
          <w:trHeight w:val="175"/>
        </w:trPr>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90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FF0FC"/>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r>
    </w:tbl>
    <w:p>
      <w:pPr>
        <w:spacing w:after="0" w:line="85" w:lineRule="exact"/>
        <w:rPr>
          <w:sz w:val="20"/>
          <w:szCs w:val="20"/>
          <w:color w:val="auto"/>
        </w:rPr>
      </w:pPr>
    </w:p>
    <w:p>
      <w:pPr>
        <w:ind w:left="1040" w:hanging="373"/>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 on April 1 following the end of the first year of the performance period or one year from the date of grant, whichever is later.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2024-2026 LTIP</w:t>
      </w:r>
    </w:p>
    <w:p>
      <w:pPr>
        <w:spacing w:after="0" w:line="117" w:lineRule="exact"/>
        <w:rPr>
          <w:sz w:val="20"/>
          <w:szCs w:val="20"/>
          <w:color w:val="auto"/>
        </w:rPr>
      </w:pPr>
    </w:p>
    <w:p>
      <w:pPr>
        <w:ind w:left="840" w:right="140"/>
        <w:spacing w:after="0" w:line="258" w:lineRule="auto"/>
        <w:rPr>
          <w:sz w:val="20"/>
          <w:szCs w:val="20"/>
          <w:color w:val="auto"/>
        </w:rPr>
      </w:pPr>
      <w:r>
        <w:rPr>
          <w:rFonts w:ascii="Times New Roman" w:cs="Times New Roman" w:eastAsia="Times New Roman" w:hAnsi="Times New Roman"/>
          <w:sz w:val="18"/>
          <w:szCs w:val="18"/>
          <w:color w:val="auto"/>
        </w:rPr>
        <w:t>Effective April 1, 2024, the Compensation Committee established and approved the metric for the 2024-2026 LTIP. Consistent with the past four years, the Compensation Committee established a 3-year relative total shareholder return ("TSR") as the only metric under the 2024-2026 LTIP. The Compensation Committee believes that the selection of a relative total TSR against the Company’s 2024 peers (see "</w:t>
      </w:r>
      <w:r>
        <w:rPr>
          <w:rFonts w:ascii="Times New Roman" w:cs="Times New Roman" w:eastAsia="Times New Roman" w:hAnsi="Times New Roman"/>
          <w:sz w:val="18"/>
          <w:szCs w:val="18"/>
          <w:i w:val="1"/>
          <w:iCs w:val="1"/>
          <w:color w:val="auto"/>
        </w:rPr>
        <w:t>Our Peer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aligns the interests of the LTIP participants with the interests of the Company’s stockholders. The Compensation Committee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time-based awards for the 2024-2026 LTIP in a combination of 50% restricted stock units and 50% cash.</w:t>
      </w:r>
    </w:p>
    <w:p>
      <w:pPr>
        <w:spacing w:after="0" w:line="72" w:lineRule="exact"/>
        <w:rPr>
          <w:sz w:val="20"/>
          <w:szCs w:val="20"/>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6" w:name="page17"/>
    <w:bookmarkEnd w:id="16"/>
    <w:p>
      <w:pPr>
        <w:ind w:left="323"/>
        <w:spacing w:after="0" w:line="254" w:lineRule="auto"/>
        <w:rPr>
          <w:sz w:val="20"/>
          <w:szCs w:val="20"/>
          <w:color w:val="auto"/>
        </w:rPr>
      </w:pPr>
      <w:r>
        <w:rPr>
          <w:rFonts w:ascii="Times New Roman" w:cs="Times New Roman" w:eastAsia="Times New Roman" w:hAnsi="Times New Roman"/>
          <w:sz w:val="18"/>
          <w:szCs w:val="18"/>
          <w:color w:val="auto"/>
        </w:rPr>
        <w:t>No discretionary cash or equity awards were granted to our Named Executive Officers in fiscal 2023. In August 2023, as further described below under “</w:t>
      </w:r>
      <w:r>
        <w:rPr>
          <w:rFonts w:ascii="Times New Roman" w:cs="Times New Roman" w:eastAsia="Times New Roman" w:hAnsi="Times New Roman"/>
          <w:sz w:val="18"/>
          <w:szCs w:val="18"/>
          <w:i w:val="1"/>
          <w:iCs w:val="1"/>
          <w:color w:val="auto"/>
        </w:rPr>
        <w:t>Employment Agreement - Harvey S. Kanter, Chief Executive Officer and Director,</w:t>
      </w:r>
      <w:r>
        <w:rPr>
          <w:rFonts w:ascii="Times New Roman" w:cs="Times New Roman" w:eastAsia="Times New Roman" w:hAnsi="Times New Roman"/>
          <w:sz w:val="18"/>
          <w:szCs w:val="18"/>
          <w:color w:val="auto"/>
        </w:rPr>
        <w:t>” we entered into an amendment to Mr. Kanter’s employment agreement to extend its term until August 2026. In connection with the extension, the Compensation Committee engaged Segal to review Mr. Kanter's base salary and total direct compensation as well as provide guidance on the terms, conditions and value of a performance award. The Compensation Committee approved a grant of 573,000 performance stock units ("PSUs"). Similar to Mr. Kanter's previous PSUs, the PSUs will vest, if at all, in nine installments, when the trailing 30-day volume-weighted average closing price of a share of our common stock meets or exceeds $6.50, $6.75, $7.00, $7.25, $7.50, $7.75, $8.00, $8.25 and $8.50, respectively, subject to a minimum one-year vesting from the date of grant. Any unvested PSUs will expire on August 11, 2026.</w:t>
      </w:r>
    </w:p>
    <w:p>
      <w:pPr>
        <w:spacing w:after="0" w:line="79" w:lineRule="exact"/>
        <w:rPr>
          <w:sz w:val="20"/>
          <w:szCs w:val="20"/>
          <w:color w:val="auto"/>
        </w:rPr>
      </w:pPr>
    </w:p>
    <w:p>
      <w:pPr>
        <w:ind w:left="263" w:hanging="263"/>
        <w:spacing w:after="0"/>
        <w:tabs>
          <w:tab w:leader="none" w:pos="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8" w:lineRule="exact"/>
        <w:rPr>
          <w:rFonts w:ascii="Times New Roman" w:cs="Times New Roman" w:eastAsia="Times New Roman" w:hAnsi="Times New Roman"/>
          <w:sz w:val="18"/>
          <w:szCs w:val="18"/>
          <w:color w:val="auto"/>
        </w:rPr>
      </w:pPr>
    </w:p>
    <w:p>
      <w:pPr>
        <w:ind w:left="263" w:right="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54" w:lineRule="exact"/>
        <w:rPr>
          <w:rFonts w:ascii="Times New Roman" w:cs="Times New Roman" w:eastAsia="Times New Roman" w:hAnsi="Times New Roman"/>
          <w:sz w:val="18"/>
          <w:szCs w:val="18"/>
          <w:color w:val="auto"/>
        </w:rPr>
      </w:pPr>
    </w:p>
    <w:p>
      <w:pPr>
        <w:ind w:left="263" w:right="2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spacing w:after="0" w:line="54" w:lineRule="exact"/>
        <w:rPr>
          <w:rFonts w:ascii="Times New Roman" w:cs="Times New Roman" w:eastAsia="Times New Roman" w:hAnsi="Times New Roman"/>
          <w:sz w:val="18"/>
          <w:szCs w:val="18"/>
          <w:color w:val="auto"/>
        </w:rPr>
      </w:pPr>
    </w:p>
    <w:p>
      <w:pPr>
        <w:ind w:left="263"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our 401(k) Plan, and after one year of employment are eligible for a Company match. Under the 401(k) Plan, the Company offers a qualified automatic contribution arrangement (“QACA”) with the Company matching 100% of the first 1% of deferred compensation and 50% of the next 5% (with a maximum contribution of 3.5% of eligible compensation).</w:t>
      </w:r>
    </w:p>
    <w:p>
      <w:pPr>
        <w:spacing w:after="0" w:line="73" w:lineRule="exact"/>
        <w:rPr>
          <w:rFonts w:ascii="Times New Roman" w:cs="Times New Roman" w:eastAsia="Times New Roman" w:hAnsi="Times New Roman"/>
          <w:sz w:val="18"/>
          <w:szCs w:val="18"/>
          <w:color w:val="auto"/>
        </w:rPr>
      </w:pPr>
    </w:p>
    <w:p>
      <w:pPr>
        <w:ind w:left="263"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following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Our employment agreements do not contain any tax gross-ups pursuant to Section 280(g) of the Internal Revenue Code.</w:t>
      </w:r>
    </w:p>
    <w:p>
      <w:pPr>
        <w:spacing w:after="0" w:line="398"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29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5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Willem Mesdag, Chair</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Jack Boyle</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8" w:name="page19"/>
    <w:bookmarkEnd w:id="1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Summary Compensation Table sets forth certain information regarding compensation paid or accrued by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our Named Executive Officers for fiscal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3"/>
                <w:szCs w:val="13"/>
                <w:b w:val="1"/>
                <w:bCs w:val="1"/>
                <w:color w:val="auto"/>
              </w:rPr>
              <w:t>Option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20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 (1) (2)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 (1)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5"/>
                <w:szCs w:val="15"/>
                <w:color w:val="auto"/>
              </w:rPr>
            </w:pPr>
          </w:p>
        </w:tc>
      </w:tr>
      <w:tr>
        <w:trPr>
          <w:trHeight w:val="16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Harvey S. Kanter</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866,346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2,765,938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2,167,112</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159,627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5,959,023</w:t>
            </w:r>
          </w:p>
        </w:tc>
        <w:tc>
          <w:tcPr>
            <w:tcW w:w="100" w:type="dxa"/>
            <w:vAlign w:val="bottom"/>
            <w:shd w:val="clear" w:color="auto" w:fill="CFF0FC"/>
          </w:tcPr>
          <w:p>
            <w:pPr>
              <w:spacing w:after="0"/>
              <w:rPr>
                <w:sz w:val="14"/>
                <w:szCs w:val="14"/>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President and Chief Executive</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830,539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829,813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2,402,969</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158,560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4,221,881</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Officer</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443,260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207,035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2,069,448</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88,035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3,616,278</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H. Stratton, Jr.</w:t>
            </w: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1,048,280</w:t>
            </w:r>
          </w:p>
        </w:tc>
        <w:tc>
          <w:tcPr>
            <w:tcW w:w="100" w:type="dxa"/>
            <w:vAlign w:val="bottom"/>
          </w:tcPr>
          <w:p>
            <w:pPr>
              <w:spacing w:after="0"/>
              <w:rPr>
                <w:sz w:val="14"/>
                <w:szCs w:val="14"/>
                <w:color w:val="auto"/>
              </w:rPr>
            </w:pPr>
          </w:p>
        </w:tc>
      </w:tr>
      <w:tr>
        <w:trPr>
          <w:trHeight w:val="175"/>
        </w:trPr>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Executive Vice President, Chief</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405,846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195,263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526,585</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1,153,866</w:t>
            </w:r>
          </w:p>
        </w:tc>
        <w:tc>
          <w:tcPr>
            <w:tcW w:w="100" w:type="dxa"/>
            <w:vAlign w:val="bottom"/>
          </w:tcPr>
          <w:p>
            <w:pPr>
              <w:spacing w:after="0"/>
              <w:rPr>
                <w:sz w:val="15"/>
                <w:szCs w:val="15"/>
                <w:color w:val="auto"/>
              </w:rPr>
            </w:pPr>
          </w:p>
        </w:tc>
      </w:tr>
      <w:tr>
        <w:trPr>
          <w:trHeight w:val="186"/>
        </w:trPr>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98,088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458,525</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1,068,604</w:t>
            </w:r>
          </w:p>
        </w:tc>
        <w:tc>
          <w:tcPr>
            <w:tcW w:w="100" w:type="dxa"/>
            <w:vAlign w:val="bottom"/>
          </w:tcPr>
          <w:p>
            <w:pPr>
              <w:spacing w:after="0"/>
              <w:rPr>
                <w:sz w:val="16"/>
                <w:szCs w:val="16"/>
                <w:color w:val="auto"/>
              </w:rPr>
            </w:pPr>
          </w:p>
        </w:tc>
      </w:tr>
      <w:tr>
        <w:trPr>
          <w:trHeight w:val="174"/>
        </w:trPr>
        <w:tc>
          <w:tcPr>
            <w:tcW w:w="256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Anthony J. Gaeta</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391,827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56,872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400,383</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872,760</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Stores and Real Estate</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322,115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352,030</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22,565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831,020</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Officer</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73,256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38,281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267,217</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22,040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725,294</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S. Molloy</w:t>
            </w: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948,334</w:t>
            </w:r>
          </w:p>
        </w:tc>
        <w:tc>
          <w:tcPr>
            <w:tcW w:w="100" w:type="dxa"/>
            <w:vAlign w:val="bottom"/>
          </w:tcPr>
          <w:p>
            <w:pPr>
              <w:spacing w:after="0"/>
              <w:rPr>
                <w:sz w:val="14"/>
                <w:szCs w:val="14"/>
                <w:color w:val="auto"/>
              </w:rPr>
            </w:pPr>
          </w:p>
        </w:tc>
      </w:tr>
      <w:tr>
        <w:trPr>
          <w:trHeight w:val="175"/>
        </w:trPr>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Counsel and Secretary</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165,988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434,942</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1,014,167</w:t>
            </w:r>
          </w:p>
        </w:tc>
        <w:tc>
          <w:tcPr>
            <w:tcW w:w="100" w:type="dxa"/>
            <w:vAlign w:val="bottom"/>
          </w:tcPr>
          <w:p>
            <w:pPr>
              <w:spacing w:after="0"/>
              <w:rPr>
                <w:sz w:val="15"/>
                <w:szCs w:val="15"/>
                <w:color w:val="auto"/>
              </w:rPr>
            </w:pPr>
          </w:p>
        </w:tc>
      </w:tr>
      <w:tr>
        <w:trPr>
          <w:trHeight w:val="186"/>
        </w:trPr>
        <w:tc>
          <w:tcPr>
            <w:tcW w:w="2560" w:type="dxa"/>
            <w:vAlign w:val="bottom"/>
          </w:tcPr>
          <w:p>
            <w:pPr>
              <w:spacing w:after="0"/>
              <w:rPr>
                <w:sz w:val="16"/>
                <w:szCs w:val="16"/>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397,809</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980,419</w:t>
            </w:r>
          </w:p>
        </w:tc>
        <w:tc>
          <w:tcPr>
            <w:tcW w:w="100" w:type="dxa"/>
            <w:vAlign w:val="bottom"/>
          </w:tcPr>
          <w:p>
            <w:pPr>
              <w:spacing w:after="0"/>
              <w:rPr>
                <w:sz w:val="16"/>
                <w:szCs w:val="16"/>
                <w:color w:val="auto"/>
              </w:rPr>
            </w:pPr>
          </w:p>
        </w:tc>
      </w:tr>
      <w:tr>
        <w:trPr>
          <w:trHeight w:val="174"/>
        </w:trPr>
        <w:tc>
          <w:tcPr>
            <w:tcW w:w="256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Allison Surette</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376,577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61,249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376,464</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847,626</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Merchandise Officer</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311,558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129,763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346,156</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818,948</w:t>
            </w:r>
          </w:p>
        </w:tc>
        <w:tc>
          <w:tcPr>
            <w:tcW w:w="100" w:type="dxa"/>
            <w:vAlign w:val="bottom"/>
            <w:shd w:val="clear" w:color="auto" w:fill="CFF0FC"/>
          </w:tcPr>
          <w:p>
            <w:pPr>
              <w:spacing w:after="0"/>
              <w:rPr>
                <w:sz w:val="15"/>
                <w:szCs w:val="15"/>
                <w:color w:val="auto"/>
              </w:rPr>
            </w:pPr>
          </w:p>
        </w:tc>
      </w:tr>
    </w:tbl>
    <w:p>
      <w:pPr>
        <w:spacing w:after="0" w:line="242" w:lineRule="exact"/>
        <w:rPr>
          <w:sz w:val="20"/>
          <w:szCs w:val="20"/>
          <w:color w:val="auto"/>
        </w:rPr>
      </w:pPr>
    </w:p>
    <w:p>
      <w:pPr>
        <w:ind w:left="760" w:right="60" w:hanging="378"/>
        <w:spacing w:after="0" w:line="272"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was estimated as of the date of grant using a Black-Scholes valuation model. The fair value of the performance stock units, with a market condition, was valued as of the date of grant using a Monte Carlo model. Additional information regarding the assumptions used to estimate the fair value of all awards is included in Note A and Note I to Consolidated Financial Statements contained in our Annual Report on Form 10-K for the fiscal year ended February 3, 2024.</w:t>
      </w:r>
    </w:p>
    <w:p>
      <w:pPr>
        <w:spacing w:after="0" w:line="74" w:lineRule="exact"/>
        <w:rPr>
          <w:rFonts w:ascii="Times New Roman" w:cs="Times New Roman" w:eastAsia="Times New Roman" w:hAnsi="Times New Roman"/>
          <w:sz w:val="16"/>
          <w:szCs w:val="16"/>
          <w:color w:val="auto"/>
        </w:rPr>
      </w:pPr>
    </w:p>
    <w:p>
      <w:pPr>
        <w:ind w:left="760" w:right="240" w:hanging="378"/>
        <w:spacing w:after="0" w:line="300"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table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below for a breakdown of 2023 amounts reflected in this column. The value of stock awards granted to Mr. Kanter in fiscal 2023 include the value of 573,000 performance stock units granted to Mr. Kanter in connection with the extension of his employment agreement.</w:t>
      </w:r>
    </w:p>
    <w:p>
      <w:pPr>
        <w:spacing w:after="0" w:line="54" w:lineRule="exact"/>
        <w:rPr>
          <w:rFonts w:ascii="Times New Roman" w:cs="Times New Roman" w:eastAsia="Times New Roman" w:hAnsi="Times New Roman"/>
          <w:sz w:val="16"/>
          <w:szCs w:val="16"/>
          <w:color w:val="auto"/>
        </w:rPr>
      </w:pPr>
    </w:p>
    <w:p>
      <w:pPr>
        <w:ind w:left="760" w:right="4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under the 2023-2025 LTIP was determined based on the probable outcome of the performance conditions as of the service-inception date. Because the achievement of the performance targets under the 2023-2025 LTIP was not deemed probable as of the service-inception date, no value was attributed to the performance-based portion of these awards. In addition, performance-based compensation is a liability-based award until earned, at which time it can be settled in a combination of cash and/or equity. The following reflects the fair value of the performance-based equity portion of the 2023-2025 LTIP assuming 50% of the award is settled in equity and that the payout achieved is the highest level of performance for each of the Named Executive Officers:</w:t>
      </w:r>
    </w:p>
    <w:p>
      <w:pPr>
        <w:spacing w:after="0" w:line="93" w:lineRule="exact"/>
        <w:rPr>
          <w:sz w:val="20"/>
          <w:szCs w:val="20"/>
          <w:color w:val="auto"/>
        </w:rPr>
      </w:pPr>
    </w:p>
    <w:tbl>
      <w:tblPr>
        <w:tblLayout w:type="fixed"/>
        <w:tblInd w:w="2480" w:type="dxa"/>
        <w:tblCellMar>
          <w:top w:w="0" w:type="dxa"/>
          <w:left w:w="0" w:type="dxa"/>
          <w:bottom w:w="0" w:type="dxa"/>
          <w:right w:w="0" w:type="dxa"/>
        </w:tblCellMar>
      </w:tblPr>
      <w:tr>
        <w:trPr>
          <w:trHeight w:val="24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140" w:type="dxa"/>
            <w:vAlign w:val="bottom"/>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541,875</w:t>
            </w:r>
          </w:p>
        </w:tc>
      </w:tr>
      <w:tr>
        <w:trPr>
          <w:trHeight w:val="238"/>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1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137,363</w:t>
            </w:r>
          </w:p>
        </w:tc>
      </w:tr>
      <w:tr>
        <w:trPr>
          <w:trHeight w:val="247"/>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140" w:type="dxa"/>
            <w:vAlign w:val="bottom"/>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85,313</w:t>
            </w:r>
          </w:p>
        </w:tc>
      </w:tr>
      <w:tr>
        <w:trPr>
          <w:trHeight w:val="238"/>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1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101,325</w:t>
            </w:r>
          </w:p>
        </w:tc>
      </w:tr>
      <w:tr>
        <w:trPr>
          <w:trHeight w:val="274"/>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2140" w:type="dxa"/>
            <w:vAlign w:val="bottom"/>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91,875</w:t>
            </w:r>
          </w:p>
        </w:tc>
      </w:tr>
    </w:tbl>
    <w:p>
      <w:pPr>
        <w:spacing w:after="0" w:line="94" w:lineRule="exact"/>
        <w:rPr>
          <w:sz w:val="20"/>
          <w:szCs w:val="20"/>
          <w:color w:val="auto"/>
        </w:rPr>
      </w:pPr>
    </w:p>
    <w:p>
      <w:pPr>
        <w:ind w:left="760" w:right="80" w:hanging="378"/>
        <w:spacing w:after="0" w:line="275"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2023 AIP, cash earned under the performance-based component of the 2021-2023 LTIP, the fourth tranche of time-vested cash of the 2019-2021 LTIP, the third tranche of time-vested cash under the 2020-2022 LTIP, the second tranche of time-vested cash under the 2021-2023 LTIP and the first tranche of time-vested cash under the 2022-2024 LTIP. See table “</w:t>
      </w:r>
      <w:r>
        <w:rPr>
          <w:rFonts w:ascii="Times New Roman" w:cs="Times New Roman" w:eastAsia="Times New Roman" w:hAnsi="Times New Roman"/>
          <w:sz w:val="16"/>
          <w:szCs w:val="16"/>
          <w:i w:val="1"/>
          <w:iCs w:val="1"/>
          <w:color w:val="auto"/>
        </w:rPr>
        <w:t>2023 Non-Equity (Cash) Incentive Plan Compensation</w:t>
      </w:r>
      <w:r>
        <w:rPr>
          <w:rFonts w:ascii="Times New Roman" w:cs="Times New Roman" w:eastAsia="Times New Roman" w:hAnsi="Times New Roman"/>
          <w:sz w:val="16"/>
          <w:szCs w:val="16"/>
          <w:color w:val="auto"/>
        </w:rPr>
        <w:t>” below for additional detail.</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2023 amounts reflected in this column.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9" w:name="page20"/>
    <w:bookmarkEnd w:id="19"/>
    <w:p>
      <w:pPr>
        <w:ind w:right="8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Stock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in fiscal 2023 in the "</w:t>
      </w: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column of the Summary Compensation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2023-2025 LTIP</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Stock</w:t>
            </w:r>
          </w:p>
        </w:tc>
      </w:tr>
      <w:tr>
        <w:trPr>
          <w:trHeight w:val="179"/>
        </w:trPr>
        <w:tc>
          <w:tcPr>
            <w:tcW w:w="552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Performance Based Units (1)</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5"/>
                <w:szCs w:val="15"/>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2,404,689</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361,249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2,765,938</w:t>
            </w:r>
          </w:p>
        </w:tc>
        <w:tc>
          <w:tcPr>
            <w:tcW w:w="100" w:type="dxa"/>
            <w:vAlign w:val="bottom"/>
            <w:shd w:val="clear" w:color="auto" w:fill="CFF0FC"/>
          </w:tcPr>
          <w:p>
            <w:pPr>
              <w:spacing w:after="0"/>
              <w:rPr>
                <w:sz w:val="20"/>
                <w:szCs w:val="20"/>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91,571</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100" w:type="dxa"/>
            <w:vAlign w:val="bottom"/>
            <w:shd w:val="clear" w:color="auto" w:fill="CFF0FC"/>
          </w:tcPr>
          <w:p>
            <w:pPr>
              <w:spacing w:after="0"/>
              <w:rPr>
                <w:sz w:val="21"/>
                <w:szCs w:val="2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67,549</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326" w:lineRule="exact"/>
        <w:rPr>
          <w:sz w:val="20"/>
          <w:szCs w:val="20"/>
          <w:color w:val="auto"/>
        </w:rPr>
      </w:pPr>
    </w:p>
    <w:p>
      <w:pPr>
        <w:ind w:left="760" w:right="20" w:hanging="378"/>
        <w:spacing w:after="0" w:line="268"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performance stock units ("PSUs") granted on August 11, 2023,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The PSUs are subject to a one-year minimum vesting period, and any unvested PSUs will expire on August 11, 2026. The respective fair value and derived service period assigned to each tranche of the PSUs were determined using a Monte Carlo model based on: a weighted historical volatility of 57.8%, a term of 3 years, stock price on the date of grant of $4.98 per share, a risk-free rate of 4.6% and a cost of equity of 11.0%. The $2.4 million fair value is being expensed over the respective derived service periods of each tranche which range from 12 to 13 months.</w:t>
      </w:r>
    </w:p>
    <w:p>
      <w:pPr>
        <w:spacing w:after="0" w:line="190" w:lineRule="exact"/>
        <w:rPr>
          <w:rFonts w:ascii="Times New Roman" w:cs="Times New Roman" w:eastAsia="Times New Roman" w:hAnsi="Times New Roman"/>
          <w:sz w:val="16"/>
          <w:szCs w:val="16"/>
          <w:color w:val="auto"/>
        </w:rPr>
      </w:pPr>
    </w:p>
    <w:p>
      <w:pPr>
        <w:ind w:left="760" w:right="40" w:hanging="378"/>
        <w:spacing w:after="0" w:line="298"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time-based RSUs issued under the 2023-2025 LTIP, which vest in four tranches with the first 25% vesting on May 1, 2024 and the remaining tranches vesting on April 1, 2025, April 1, 2026, and April 1, 2027.</w:t>
      </w:r>
    </w:p>
    <w:p>
      <w:pPr>
        <w:spacing w:after="0" w:line="15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2023 Non-Equity (Cash) Incentive Plan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2023 in the “</w:t>
      </w:r>
      <w:r>
        <w:rPr>
          <w:rFonts w:ascii="Times New Roman" w:cs="Times New Roman" w:eastAsia="Times New Roman" w:hAnsi="Times New Roman"/>
          <w:sz w:val="18"/>
          <w:szCs w:val="18"/>
          <w:i w:val="1"/>
          <w:iCs w:val="1"/>
          <w:color w:val="auto"/>
        </w:rPr>
        <w:t xml:space="preserve">2023 Non-Equity (Cash) Incentive Plan Compensation” </w:t>
      </w:r>
      <w:r>
        <w:rPr>
          <w:rFonts w:ascii="Times New Roman" w:cs="Times New Roman" w:eastAsia="Times New Roman" w:hAnsi="Times New Roman"/>
          <w:sz w:val="18"/>
          <w:szCs w:val="18"/>
          <w:color w:val="auto"/>
        </w:rPr>
        <w:t>column of the Summary Compensation Table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2021-2023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left="73"/>
              <w:spacing w:after="0" w:line="149" w:lineRule="exact"/>
              <w:rPr>
                <w:sz w:val="20"/>
                <w:szCs w:val="20"/>
                <w:color w:val="auto"/>
              </w:rPr>
            </w:pPr>
            <w:r>
              <w:rPr>
                <w:rFonts w:ascii="Times New Roman" w:cs="Times New Roman" w:eastAsia="Times New Roman" w:hAnsi="Times New Roman"/>
                <w:sz w:val="13"/>
                <w:szCs w:val="13"/>
                <w:b w:val="1"/>
                <w:bCs w:val="1"/>
                <w:color w:val="auto"/>
              </w:rPr>
              <w:t>2021-2023 LTIP</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b w:val="1"/>
                <w:bCs w:val="1"/>
                <w:color w:val="auto"/>
              </w:rPr>
              <w:t>2019-2021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3"/>
                <w:szCs w:val="13"/>
                <w:b w:val="1"/>
                <w:bCs w:val="1"/>
                <w:color w:val="auto"/>
                <w:w w:val="98"/>
              </w:rPr>
              <w:t>LTIP</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Total Non-</w:t>
            </w:r>
          </w:p>
        </w:tc>
      </w:tr>
      <w:tr>
        <w:trPr>
          <w:trHeight w:val="148"/>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3"/>
                <w:szCs w:val="13"/>
                <w:b w:val="1"/>
                <w:bCs w:val="1"/>
                <w:color w:val="auto"/>
              </w:rPr>
              <w:t>Annual Incentive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3"/>
                <w:szCs w:val="13"/>
                <w:b w:val="1"/>
                <w:bCs w:val="1"/>
                <w:color w:val="auto"/>
              </w:rPr>
              <w:t>LTIP</w:t>
            </w:r>
          </w:p>
        </w:tc>
        <w:tc>
          <w:tcPr>
            <w:tcW w:w="2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2020-2022 LTIP</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Time-Based</w:t>
            </w:r>
          </w:p>
        </w:tc>
        <w:tc>
          <w:tcPr>
            <w:tcW w:w="2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b w:val="1"/>
                <w:bCs w:val="1"/>
                <w:color w:val="auto"/>
              </w:rPr>
              <w:t>2022-2024 LTIP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78"/>
        </w:trPr>
        <w:tc>
          <w:tcPr>
            <w:tcW w:w="25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Based(2)</w:t>
            </w:r>
          </w:p>
        </w:tc>
        <w:tc>
          <w:tcPr>
            <w:tcW w:w="24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Time-Based(3)</w:t>
            </w: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(Cash)</w:t>
            </w:r>
          </w:p>
        </w:tc>
        <w:tc>
          <w:tcPr>
            <w:tcW w:w="100" w:type="dxa"/>
            <w:vAlign w:val="bottom"/>
          </w:tcPr>
          <w:p>
            <w:pPr>
              <w:spacing w:after="0"/>
              <w:rPr>
                <w:sz w:val="15"/>
                <w:szCs w:val="15"/>
                <w:color w:val="auto"/>
              </w:rPr>
            </w:pPr>
          </w:p>
        </w:tc>
      </w:tr>
      <w:tr>
        <w:trPr>
          <w:trHeight w:val="205"/>
        </w:trPr>
        <w:tc>
          <w:tcPr>
            <w:tcW w:w="3020" w:type="dxa"/>
            <w:vAlign w:val="bottom"/>
            <w:gridSpan w:val="3"/>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Harvey S. Kanter</w:t>
            </w: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FF0FC"/>
          </w:tcPr>
          <w:p>
            <w:pPr>
              <w:spacing w:after="0"/>
              <w:rPr>
                <w:sz w:val="17"/>
                <w:szCs w:val="17"/>
                <w:color w:val="auto"/>
              </w:rPr>
            </w:pPr>
          </w:p>
        </w:tc>
      </w:tr>
      <w:tr>
        <w:trPr>
          <w:trHeight w:val="248"/>
        </w:trPr>
        <w:tc>
          <w:tcPr>
            <w:tcW w:w="3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866,346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937,125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117,140</w:t>
            </w:r>
          </w:p>
        </w:tc>
        <w:tc>
          <w:tcPr>
            <w:tcW w:w="5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1"/>
                <w:szCs w:val="21"/>
                <w:color w:val="auto"/>
              </w:rPr>
            </w:pPr>
          </w:p>
        </w:tc>
      </w:tr>
      <w:tr>
        <w:trPr>
          <w:trHeight w:val="211"/>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00" w:type="dxa"/>
            <w:vAlign w:val="bottom"/>
          </w:tcPr>
          <w:p>
            <w:pPr>
              <w:spacing w:after="0"/>
              <w:rPr>
                <w:sz w:val="18"/>
                <w:szCs w:val="18"/>
                <w:color w:val="auto"/>
              </w:rPr>
            </w:pPr>
          </w:p>
        </w:tc>
      </w:tr>
      <w:tr>
        <w:trPr>
          <w:trHeight w:val="241"/>
        </w:trPr>
        <w:tc>
          <w:tcPr>
            <w:tcW w:w="3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5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18"/>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100" w:type="dxa"/>
            <w:vAlign w:val="bottom"/>
            <w:shd w:val="clear" w:color="auto" w:fill="CFF0FC"/>
          </w:tcPr>
          <w:p>
            <w:pPr>
              <w:spacing w:after="0"/>
              <w:rPr>
                <w:sz w:val="18"/>
                <w:szCs w:val="18"/>
                <w:color w:val="auto"/>
              </w:rPr>
            </w:pPr>
          </w:p>
        </w:tc>
      </w:tr>
      <w:tr>
        <w:trPr>
          <w:trHeight w:val="248"/>
        </w:trPr>
        <w:tc>
          <w:tcPr>
            <w:tcW w:w="3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154,875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5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11"/>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100" w:type="dxa"/>
            <w:vAlign w:val="bottom"/>
          </w:tcPr>
          <w:p>
            <w:pPr>
              <w:spacing w:after="0"/>
              <w:rPr>
                <w:sz w:val="18"/>
                <w:szCs w:val="18"/>
                <w:color w:val="auto"/>
              </w:rPr>
            </w:pPr>
          </w:p>
        </w:tc>
      </w:tr>
      <w:tr>
        <w:trPr>
          <w:trHeight w:val="241"/>
        </w:trPr>
        <w:tc>
          <w:tcPr>
            <w:tcW w:w="3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5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18"/>
        </w:trPr>
        <w:tc>
          <w:tcPr>
            <w:tcW w:w="3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w:t>
            </w:r>
          </w:p>
        </w:tc>
        <w:tc>
          <w:tcPr>
            <w:tcW w:w="100" w:type="dxa"/>
            <w:vAlign w:val="bottom"/>
            <w:shd w:val="clear" w:color="auto" w:fill="CFF0FC"/>
          </w:tcPr>
          <w:p>
            <w:pPr>
              <w:spacing w:after="0"/>
              <w:rPr>
                <w:sz w:val="18"/>
                <w:szCs w:val="18"/>
                <w:color w:val="auto"/>
              </w:rPr>
            </w:pPr>
          </w:p>
        </w:tc>
      </w:tr>
      <w:tr>
        <w:trPr>
          <w:trHeight w:val="248"/>
        </w:trPr>
        <w:tc>
          <w:tcPr>
            <w:tcW w:w="3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149,625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5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bl>
    <w:p>
      <w:pPr>
        <w:spacing w:after="0" w:line="213" w:lineRule="exact"/>
        <w:rPr>
          <w:sz w:val="20"/>
          <w:szCs w:val="20"/>
          <w:color w:val="auto"/>
        </w:rPr>
      </w:pPr>
    </w:p>
    <w:p>
      <w:pPr>
        <w:ind w:left="760" w:right="20" w:hanging="378"/>
        <w:spacing w:after="0" w:line="26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2023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2023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03" w:lineRule="exact"/>
        <w:rPr>
          <w:rFonts w:ascii="Times New Roman" w:cs="Times New Roman" w:eastAsia="Times New Roman" w:hAnsi="Times New Roman"/>
          <w:sz w:val="18"/>
          <w:szCs w:val="18"/>
          <w:color w:val="auto"/>
        </w:rPr>
      </w:pPr>
    </w:p>
    <w:p>
      <w:pPr>
        <w:ind w:left="760" w:right="60" w:hanging="378"/>
        <w:spacing w:after="0" w:line="264"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cash award earned under the performance-based component of the 2021-2023 LTIP that was granted on April 1, 2024, with additional vesting through August 31, 2024. At the discretion of the Compensation Committee, the settlement of this liability-based award can be settled in cash, equity, or a combination thereof. For the 2021-2023 LTIP, in an effort to preserve shares under the 2016 Plan, the Compensation Committee voted to settle the performance-based award in 100% cash.</w:t>
      </w:r>
    </w:p>
    <w:p>
      <w:pPr>
        <w:spacing w:after="0" w:line="203" w:lineRule="exact"/>
        <w:rPr>
          <w:rFonts w:ascii="Times New Roman" w:cs="Times New Roman" w:eastAsia="Times New Roman" w:hAnsi="Times New Roman"/>
          <w:sz w:val="18"/>
          <w:szCs w:val="18"/>
          <w:color w:val="auto"/>
        </w:rPr>
      </w:pPr>
    </w:p>
    <w:p>
      <w:pPr>
        <w:jc w:val="both"/>
        <w:ind w:left="760" w:right="120" w:hanging="378"/>
        <w:spacing w:after="0" w:line="264"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fourth tranche of the time-based cash award granted in August 2019 under the 2019-2021 LTIP, the third tranche of the time-based cash award granted in June 2020 under the 2020-2022 LTIP, the second tranche of the time-based cash award granted in March 2021 under the 2021-2023 LTIP and the first tranche of the 2022-2024 LTIP granted in April 2022. See “</w:t>
      </w:r>
      <w:r>
        <w:rPr>
          <w:rFonts w:ascii="Times New Roman" w:cs="Times New Roman" w:eastAsia="Times New Roman" w:hAnsi="Times New Roman"/>
          <w:sz w:val="16"/>
          <w:szCs w:val="16"/>
          <w:i w:val="1"/>
          <w:iCs w:val="1"/>
          <w:color w:val="auto"/>
        </w:rPr>
        <w:t>Compensation,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0" w:name="page21"/>
    <w:bookmarkEnd w:id="20"/>
    <w:p>
      <w:pPr>
        <w:ind w:left="760" w:right="520"/>
        <w:spacing w:after="0" w:line="300" w:lineRule="auto"/>
        <w:rPr>
          <w:sz w:val="20"/>
          <w:szCs w:val="20"/>
          <w:color w:val="auto"/>
        </w:rPr>
      </w:pPr>
      <w:r>
        <w:rPr>
          <w:rFonts w:ascii="Times New Roman" w:cs="Times New Roman" w:eastAsia="Times New Roman" w:hAnsi="Times New Roman"/>
          <w:sz w:val="16"/>
          <w:szCs w:val="16"/>
          <w:i w:val="1"/>
          <w:iCs w:val="1"/>
          <w:color w:val="auto"/>
        </w:rPr>
        <w:t>Discussion and Analysis-Compensation Components and Fiscal 2023 Compensation Decisions, Performance-based annual incentive plan and Long-term incentive plans</w:t>
      </w:r>
      <w:r>
        <w:rPr>
          <w:rFonts w:ascii="Times New Roman" w:cs="Times New Roman" w:eastAsia="Times New Roman" w:hAnsi="Times New Roman"/>
          <w:sz w:val="16"/>
          <w:szCs w:val="16"/>
          <w:color w:val="auto"/>
        </w:rPr>
        <w:t>” for more information.</w:t>
      </w:r>
    </w:p>
    <w:p>
      <w:pPr>
        <w:spacing w:after="0" w:line="15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All Other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2023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Table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9"/>
              </w:rPr>
              <w:t>Long-Term</w:t>
            </w:r>
          </w:p>
        </w:tc>
        <w:tc>
          <w:tcPr>
            <w:tcW w:w="2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Supplemental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3"/>
                <w:szCs w:val="13"/>
                <w:b w:val="1"/>
                <w:bCs w:val="1"/>
                <w:color w:val="auto"/>
              </w:rPr>
              <w:t>Auto</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3"/>
                <w:szCs w:val="13"/>
                <w:b w:val="1"/>
                <w:bCs w:val="1"/>
                <w:color w:val="auto"/>
              </w:rPr>
              <w:t>Travel</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Compensatio</w:t>
            </w:r>
          </w:p>
        </w:tc>
      </w:tr>
      <w:tr>
        <w:trPr>
          <w:trHeight w:val="178"/>
        </w:trPr>
        <w:tc>
          <w:tcPr>
            <w:tcW w:w="39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401(k)</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4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n</w:t>
            </w:r>
          </w:p>
        </w:tc>
        <w:tc>
          <w:tcPr>
            <w:tcW w:w="100" w:type="dxa"/>
            <w:vAlign w:val="bottom"/>
          </w:tcPr>
          <w:p>
            <w:pPr>
              <w:spacing w:after="0"/>
              <w:rPr>
                <w:sz w:val="15"/>
                <w:szCs w:val="15"/>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120,000</w:t>
            </w:r>
          </w:p>
        </w:tc>
        <w:tc>
          <w:tcPr>
            <w:tcW w:w="8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159,627</w:t>
            </w:r>
          </w:p>
        </w:tc>
        <w:tc>
          <w:tcPr>
            <w:tcW w:w="100" w:type="dxa"/>
            <w:vAlign w:val="bottom"/>
            <w:shd w:val="clear" w:color="auto" w:fill="CFF0FC"/>
          </w:tcPr>
          <w:p>
            <w:pPr>
              <w:spacing w:after="0"/>
              <w:rPr>
                <w:sz w:val="20"/>
                <w:szCs w:val="20"/>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27,122</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00" w:type="dxa"/>
            <w:vAlign w:val="bottom"/>
            <w:shd w:val="clear" w:color="auto" w:fill="CFF0FC"/>
          </w:tcPr>
          <w:p>
            <w:pPr>
              <w:spacing w:after="0"/>
              <w:rPr>
                <w:sz w:val="21"/>
                <w:szCs w:val="2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29,302</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100" w:type="dxa"/>
            <w:vAlign w:val="bottom"/>
            <w:shd w:val="clear" w:color="auto" w:fill="CFF0FC"/>
          </w:tcPr>
          <w:p>
            <w:pPr>
              <w:spacing w:after="0"/>
              <w:rPr>
                <w:sz w:val="21"/>
                <w:szCs w:val="2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total annual compensation for our CEO, Mr. Kanter, for fiscal 2023, as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was $5,959,023. The total annual compensation for our new median employee, who is a full-time 40-hour employee, was $50,049, calculated using the same methodology as used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Based on this information, for fiscal 2023 the ratio of the annual total compensation of Mr. Kanter, our CEO, to the median of the annual total compensation of all employees was 119 to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methodology used to identify the median employee in 2023 was to evaluate all employees, other than our CEO, employed by the Company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performed the following:</w:t>
      </w:r>
    </w:p>
    <w:p>
      <w:pPr>
        <w:spacing w:after="0" w:line="206" w:lineRule="exact"/>
        <w:rPr>
          <w:sz w:val="20"/>
          <w:szCs w:val="20"/>
          <w:color w:val="auto"/>
        </w:rPr>
      </w:pPr>
    </w:p>
    <w:p>
      <w:pPr>
        <w:ind w:left="760" w:right="120" w:hanging="378"/>
        <w:spacing w:after="0" w:line="26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2023, our employee population consisted of approximately 1,308 individuals, with 1,305 of these individuals located in the U.S. and 3 of these individuals located outside the U.S. This population includes our full-time, part-time, and seasonal employees. Approximately 79% of our total employee population at December 31, 2023 was considered full-time employees.</w:t>
      </w:r>
    </w:p>
    <w:p>
      <w:pPr>
        <w:spacing w:after="0" w:line="177"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2023.</w:t>
      </w:r>
    </w:p>
    <w:p>
      <w:pPr>
        <w:spacing w:after="0" w:line="162"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annualize any compensation for any permanent full-time or part-time employees, who started employment at the Company during calendar 2023. We did not annualize compensation for any seasonal or temporary employees.</w:t>
      </w:r>
    </w:p>
    <w:p>
      <w:pPr>
        <w:spacing w:after="0" w:line="162" w:lineRule="exact"/>
        <w:rPr>
          <w:rFonts w:ascii="Times New Roman" w:cs="Times New Roman" w:eastAsia="Times New Roman" w:hAnsi="Times New Roman"/>
          <w:sz w:val="18"/>
          <w:szCs w:val="18"/>
          <w:color w:val="auto"/>
        </w:rPr>
      </w:pPr>
    </w:p>
    <w:p>
      <w:pPr>
        <w:ind w:left="760" w:right="80" w:hanging="378"/>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excluded employees located outside of the U.S. under the de minimis exception to the pay ratio rule, which permits exclusion if a company’s non-U.S. employees account for 5% or less of total employees. Accordingly, we have excluded three associates located in Hong Kong.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121"/>
        </w:rPr>
        <w:t>PAY VERSUS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Pay Versus Performance Table</w:t>
      </w:r>
    </w:p>
    <w:p>
      <w:pPr>
        <w:spacing w:after="0" w:line="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12121"/>
        </w:rPr>
        <w:t xml:space="preserve">In accordance with rules adopted by the SEC pursuant to the Dodd-Frank Act, below is disclosure regarding executive compensation for Harvey S. Kanter, our principal executive officer (“PEO”), our non-PEO NEOs, and our Company financial performance for the fiscal years listed below. The Compensation Committee did not consider the </w:t>
      </w:r>
      <w:r>
        <w:rPr>
          <w:rFonts w:ascii="Times New Roman" w:cs="Times New Roman" w:eastAsia="Times New Roman" w:hAnsi="Times New Roman"/>
          <w:sz w:val="18"/>
          <w:szCs w:val="18"/>
          <w:color w:val="252525"/>
        </w:rPr>
        <w:t>pay versus performance</w:t>
      </w:r>
      <w:r>
        <w:rPr>
          <w:rFonts w:ascii="Times New Roman" w:cs="Times New Roman" w:eastAsia="Times New Roman" w:hAnsi="Times New Roman"/>
          <w:sz w:val="18"/>
          <w:szCs w:val="18"/>
          <w:color w:val="212121"/>
        </w:rPr>
        <w:t xml:space="preserve"> disclosure below in making its pay decisions for any of the years shown. The amounts shown for “Compensation Actually Paid” have been calculated in accordance with Item 402(v) of Regulation and do not reflect compensation actually earned, realized, or received by our NEO's. These amounts reflect total compensation per the "</w:t>
      </w:r>
      <w:r>
        <w:rPr>
          <w:rFonts w:ascii="Times New Roman" w:cs="Times New Roman" w:eastAsia="Times New Roman" w:hAnsi="Times New Roman"/>
          <w:sz w:val="18"/>
          <w:szCs w:val="18"/>
          <w:i w:val="1"/>
          <w:iCs w:val="1"/>
          <w:color w:val="212121"/>
        </w:rPr>
        <w:t>Summary Compensation Table"</w:t>
      </w:r>
      <w:r>
        <w:rPr>
          <w:rFonts w:ascii="Times New Roman" w:cs="Times New Roman" w:eastAsia="Times New Roman" w:hAnsi="Times New Roman"/>
          <w:sz w:val="18"/>
          <w:szCs w:val="18"/>
          <w:color w:val="212121"/>
        </w:rPr>
        <w:t xml:space="preserve"> with certain adjustments as described in the following table and footnotes.</w:t>
      </w:r>
    </w:p>
    <w:p>
      <w:pPr>
        <w:spacing w:after="0" w:line="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12121"/>
        </w:rPr>
        <w:t>For more information concerning our philosophy of how we align compensation for our NEOs to certain performance metrics, refer to the “</w:t>
      </w:r>
      <w:r>
        <w:rPr>
          <w:rFonts w:ascii="Times New Roman" w:cs="Times New Roman" w:eastAsia="Times New Roman" w:hAnsi="Times New Roman"/>
          <w:sz w:val="18"/>
          <w:szCs w:val="18"/>
          <w:i w:val="1"/>
          <w:iCs w:val="1"/>
          <w:color w:val="212121"/>
        </w:rPr>
        <w:t>Compensation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Discussion and Analysis</w:t>
      </w:r>
      <w:r>
        <w:rPr>
          <w:rFonts w:ascii="Times New Roman" w:cs="Times New Roman" w:eastAsia="Times New Roman" w:hAnsi="Times New Roman"/>
          <w:sz w:val="18"/>
          <w:szCs w:val="18"/>
          <w:color w:val="212121"/>
        </w:rPr>
        <w:t>” above.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w w:val="95"/>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Summary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Average Summary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w w:val="99"/>
              </w:rPr>
              <w:t>Compensation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ind w:right="113"/>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Peer Group Total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Adjusted</w:t>
            </w:r>
          </w:p>
        </w:tc>
      </w:t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w w:val="99"/>
              </w:rPr>
              <w:t>Compensation Table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Actually Paid</w:t>
            </w:r>
          </w:p>
        </w:tc>
        <w:tc>
          <w:tcPr>
            <w:tcW w:w="12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Actually Paid to</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Shareholder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Shareholder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EBITDA</w:t>
            </w:r>
          </w:p>
        </w:tc>
      </w:t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Total for PEO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auto"/>
                <w:w w:val="98"/>
              </w:rPr>
              <w:t>to PEO</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Total for Non-PEO</w:t>
            </w: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Non-PEO NEOs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Return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Return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(Non-GAAP)</w:t>
            </w:r>
          </w:p>
        </w:tc>
      </w:tr>
      <w:tr>
        <w:trPr>
          <w:trHeight w:val="223"/>
        </w:trPr>
        <w:tc>
          <w:tcPr>
            <w:tcW w:w="7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6"/>
                <w:szCs w:val="16"/>
                <w:color w:val="auto"/>
                <w:w w:val="96"/>
              </w:rPr>
              <w:t>Year</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color w:val="auto"/>
                <w:w w:val="99"/>
              </w:rPr>
              <w:t>NEOs ($)(2)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color w:val="auto"/>
                <w:w w:val="96"/>
              </w:rPr>
              <w:t>($)(4)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w w:val="97"/>
              </w:rPr>
              <w:t>)(000's)(5)</w:t>
            </w:r>
          </w:p>
        </w:tc>
        <w:tc>
          <w:tcPr>
            <w:tcW w:w="100" w:type="dxa"/>
            <w:vAlign w:val="bottom"/>
          </w:tcPr>
          <w:p>
            <w:pPr>
              <w:spacing w:after="0"/>
              <w:rPr>
                <w:sz w:val="19"/>
                <w:szCs w:val="19"/>
                <w:color w:val="auto"/>
              </w:rPr>
            </w:pPr>
          </w:p>
        </w:tc>
      </w:tr>
      <w:tr>
        <w:trPr>
          <w:trHeight w:val="243"/>
        </w:trPr>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8"/>
                <w:szCs w:val="18"/>
                <w:color w:val="auto"/>
                <w:w w:val="95"/>
              </w:rPr>
              <w:t>(b)</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center"/>
              <w:ind w:right="112"/>
              <w:spacing w:after="0"/>
              <w:rPr>
                <w:sz w:val="20"/>
                <w:szCs w:val="20"/>
                <w:color w:val="auto"/>
              </w:rPr>
            </w:pPr>
            <w:r>
              <w:rPr>
                <w:rFonts w:ascii="Times New Roman" w:cs="Times New Roman" w:eastAsia="Times New Roman" w:hAnsi="Times New Roman"/>
                <w:sz w:val="18"/>
                <w:szCs w:val="18"/>
                <w:color w:val="auto"/>
                <w:w w:val="95"/>
              </w:rPr>
              <w:t>(d)</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center"/>
              <w:ind w:right="33"/>
              <w:spacing w:after="0"/>
              <w:rPr>
                <w:sz w:val="20"/>
                <w:szCs w:val="20"/>
                <w:color w:val="auto"/>
              </w:rPr>
            </w:pPr>
            <w:r>
              <w:rPr>
                <w:rFonts w:ascii="Times New Roman" w:cs="Times New Roman" w:eastAsia="Times New Roman" w:hAnsi="Times New Roman"/>
                <w:sz w:val="18"/>
                <w:szCs w:val="18"/>
                <w:color w:val="auto"/>
                <w:w w:val="99"/>
              </w:rPr>
              <w:t>(e)</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(f)</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5"/>
              </w:rPr>
              <w:t>(g)</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right="13"/>
              <w:spacing w:after="0"/>
              <w:rPr>
                <w:sz w:val="20"/>
                <w:szCs w:val="20"/>
                <w:color w:val="auto"/>
              </w:rPr>
            </w:pPr>
            <w:r>
              <w:rPr>
                <w:rFonts w:ascii="Times New Roman" w:cs="Times New Roman" w:eastAsia="Times New Roman" w:hAnsi="Times New Roman"/>
                <w:sz w:val="18"/>
                <w:szCs w:val="18"/>
                <w:color w:val="auto"/>
                <w:w w:val="95"/>
              </w:rPr>
              <w:t>(h)</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rPr>
              <w:t>(i)</w:t>
            </w:r>
          </w:p>
        </w:tc>
      </w:tr>
      <w:tr>
        <w:trPr>
          <w:trHeight w:val="238"/>
        </w:trPr>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tcPr>
          <w:p>
            <w:pPr>
              <w:spacing w:after="0"/>
              <w:rPr>
                <w:sz w:val="20"/>
                <w:szCs w:val="20"/>
                <w:color w:val="auto"/>
              </w:rPr>
            </w:pPr>
          </w:p>
        </w:tc>
      </w:tr>
      <w:tr>
        <w:trPr>
          <w:trHeight w:val="247"/>
        </w:trPr>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1,482,526</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663.06</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100" w:type="dxa"/>
            <w:vAlign w:val="bottom"/>
            <w:shd w:val="clear" w:color="auto" w:fill="CFF0FC"/>
          </w:tcPr>
          <w:p>
            <w:pPr>
              <w:spacing w:after="0"/>
              <w:rPr>
                <w:sz w:val="21"/>
                <w:szCs w:val="21"/>
                <w:color w:val="auto"/>
              </w:rPr>
            </w:pPr>
          </w:p>
        </w:tc>
      </w:tr>
      <w:tr>
        <w:trPr>
          <w:trHeight w:val="238"/>
        </w:trPr>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1,878,241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00" w:type="dxa"/>
            <w:vAlign w:val="bottom"/>
          </w:tcPr>
          <w:p>
            <w:pPr>
              <w:spacing w:after="0"/>
              <w:rPr>
                <w:sz w:val="20"/>
                <w:szCs w:val="20"/>
                <w:color w:val="auto"/>
              </w:rPr>
            </w:pPr>
          </w:p>
        </w:tc>
      </w:tr>
      <w:tr>
        <w:trPr>
          <w:trHeight w:val="247"/>
        </w:trPr>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2,270,835</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(64,538 )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(24,197 )</w:t>
            </w:r>
          </w:p>
        </w:tc>
      </w:tr>
    </w:tbl>
    <w:p>
      <w:pPr>
        <w:spacing w:after="0" w:line="90" w:lineRule="exact"/>
        <w:rPr>
          <w:sz w:val="20"/>
          <w:szCs w:val="20"/>
          <w:color w:val="auto"/>
        </w:rPr>
      </w:pPr>
    </w:p>
    <w:p>
      <w:pPr>
        <w:ind w:left="1020" w:right="52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compensation for our PEO per the Summary Compensation Table (column (b)) and Compensation Actually Paid (column (c)):</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2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60" w:type="dxa"/>
            <w:vAlign w:val="bottom"/>
            <w:tcBorders>
              <w:top w:val="single" w:sz="8" w:color="auto"/>
            </w:tcBorders>
            <w:shd w:val="clear" w:color="auto" w:fill="CFF0FC"/>
          </w:tcPr>
          <w:p>
            <w:pPr>
              <w:spacing w:after="0"/>
              <w:rPr>
                <w:sz w:val="2"/>
                <w:szCs w:val="2"/>
                <w:color w:val="auto"/>
              </w:rPr>
            </w:pPr>
          </w:p>
        </w:tc>
        <w:tc>
          <w:tcPr>
            <w:tcW w:w="43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Compensation Table ("SCT") Total for PEO (column (b))</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10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(443,260 )</w:t>
            </w:r>
          </w:p>
        </w:tc>
        <w:tc>
          <w:tcPr>
            <w:tcW w:w="26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(829,813 )</w:t>
            </w:r>
          </w:p>
        </w:tc>
        <w:tc>
          <w:tcPr>
            <w:tcW w:w="24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(2,765,938 )</w:t>
            </w:r>
          </w:p>
        </w:tc>
        <w:tc>
          <w:tcPr>
            <w:tcW w:w="0" w:type="dxa"/>
            <w:vAlign w:val="bottom"/>
          </w:tcPr>
          <w:p>
            <w:pPr>
              <w:spacing w:after="0"/>
              <w:rPr>
                <w:sz w:val="1"/>
                <w:szCs w:val="1"/>
                <w:color w:val="auto"/>
              </w:rPr>
            </w:pPr>
          </w:p>
        </w:tc>
      </w:t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220" w:type="dxa"/>
            <w:vAlign w:val="bottom"/>
          </w:tcPr>
          <w:p>
            <w:pPr>
              <w:spacing w:after="0"/>
              <w:rPr>
                <w:sz w:val="20"/>
                <w:szCs w:val="20"/>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(436,880 )</w:t>
            </w:r>
          </w:p>
        </w:tc>
        <w:tc>
          <w:tcPr>
            <w:tcW w:w="18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(207,035 )</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 awards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prior year that vested in current year</w:t>
            </w:r>
          </w:p>
        </w:tc>
        <w:tc>
          <w:tcPr>
            <w:tcW w:w="2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(81,267 )</w:t>
            </w:r>
          </w:p>
        </w:tc>
        <w:tc>
          <w:tcPr>
            <w:tcW w:w="18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4,203,022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(1,201,866 )</w:t>
            </w:r>
          </w:p>
        </w:tc>
        <w:tc>
          <w:tcPr>
            <w:tcW w:w="0" w:type="dxa"/>
            <w:vAlign w:val="bottom"/>
          </w:tcPr>
          <w:p>
            <w:pPr>
              <w:spacing w:after="0"/>
              <w:rPr>
                <w:sz w:val="1"/>
                <w:szCs w:val="1"/>
                <w:color w:val="auto"/>
              </w:rPr>
            </w:pPr>
          </w:p>
        </w:tc>
      </w:tr>
      <w:tr>
        <w:trPr>
          <w:trHeight w:val="21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 awards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in prior year that are outstanding and unvested as of the current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year-end</w:t>
            </w:r>
          </w:p>
        </w:tc>
        <w:tc>
          <w:tcPr>
            <w:tcW w:w="220" w:type="dxa"/>
            <w:vAlign w:val="bottom"/>
          </w:tcPr>
          <w:p>
            <w:pPr>
              <w:spacing w:after="0"/>
              <w:rPr>
                <w:sz w:val="20"/>
                <w:szCs w:val="20"/>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(59,872 )</w:t>
            </w:r>
          </w:p>
        </w:tc>
        <w:tc>
          <w:tcPr>
            <w:tcW w:w="1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4,412,134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2,474,982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(1,524,935 )</w:t>
            </w:r>
          </w:p>
        </w:tc>
        <w:tc>
          <w:tcPr>
            <w:tcW w:w="0" w:type="dxa"/>
            <w:vAlign w:val="bottom"/>
          </w:tcPr>
          <w:p>
            <w:pPr>
              <w:spacing w:after="0"/>
              <w:rPr>
                <w:sz w:val="1"/>
                <w:szCs w:val="1"/>
                <w:color w:val="auto"/>
              </w:rPr>
            </w:pPr>
          </w:p>
        </w:tc>
      </w:tr>
      <w:tr>
        <w:trPr>
          <w:trHeight w:val="218"/>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 year-end fair value of equity awards granted in the current year</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that are outstanding and unvested as of the current year-end</w:t>
            </w:r>
          </w:p>
        </w:tc>
        <w:tc>
          <w:tcPr>
            <w:tcW w:w="2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737,926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2,148,295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or Deduct - vesting date fair value of equity awards granted and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in current year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fair value as of prior year end of equity awards granted in prior</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4"/>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(16,800 )</w:t>
            </w: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that failed to vest in the current year</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4"/>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Compensation Actually Paid to PEO (column (c))</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2,270,835</w:t>
            </w: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1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1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-156845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-156845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-156845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-156845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4" w:lineRule="exact"/>
        <w:rPr>
          <w:sz w:val="20"/>
          <w:szCs w:val="20"/>
          <w:color w:val="auto"/>
        </w:rPr>
      </w:pPr>
    </w:p>
    <w:p>
      <w:pPr>
        <w:ind w:left="1020" w:right="14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Non-PEOs NEOs for fiscal 2023 and fiscal 2022 were Peter H. Stratton, Anthony J. Gaeta, Robert S. Molloy and Allison Surette. For fiscal 2021 and fiscal 2020, our Non-PEO NEOs were Ujjwal Dhoot, our former Chief Marketing Officer, and Messrs. Stratton, Molloy and Gaeta.</w:t>
      </w:r>
    </w:p>
    <w:p>
      <w:pPr>
        <w:spacing w:after="0" w:line="69"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average compensation for our Non-PEO NEO's per the Summary Compensation Table (column (d)) and Average Compensation Actually Paid to Non-PEO NEO's (column (e)):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20" w:type="dxa"/>
            <w:vAlign w:val="bottom"/>
          </w:tcPr>
          <w:p>
            <w:pPr>
              <w:spacing w:after="0"/>
              <w:rPr>
                <w:sz w:val="18"/>
                <w:szCs w:val="18"/>
                <w:color w:val="auto"/>
              </w:rPr>
            </w:pPr>
          </w:p>
        </w:tc>
        <w:tc>
          <w:tcPr>
            <w:tcW w:w="8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20" w:type="dxa"/>
            <w:vAlign w:val="bottom"/>
          </w:tcPr>
          <w:p>
            <w:pPr>
              <w:spacing w:after="0"/>
              <w:rPr>
                <w:sz w:val="18"/>
                <w:szCs w:val="18"/>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Summary Compensation Table Total for Non-PEO NEO's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(column (d))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10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(79,352 )</w:t>
            </w:r>
          </w:p>
        </w:tc>
        <w:tc>
          <w:tcPr>
            <w:tcW w:w="26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(156,331 )</w:t>
            </w:r>
          </w:p>
        </w:tc>
        <w:tc>
          <w:tcPr>
            <w:tcW w:w="4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(69,310 )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2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(53,009 )</w:t>
            </w:r>
          </w:p>
        </w:tc>
        <w:tc>
          <w:tcPr>
            <w:tcW w:w="240" w:type="dxa"/>
            <w:vAlign w:val="bottom"/>
            <w:shd w:val="clear" w:color="auto" w:fill="CFF0FC"/>
          </w:tcPr>
          <w:p>
            <w:pPr>
              <w:spacing w:after="0"/>
              <w:rPr>
                <w:sz w:val="21"/>
                <w:szCs w:val="21"/>
                <w:color w:val="auto"/>
              </w:rPr>
            </w:pPr>
          </w:p>
        </w:tc>
        <w:tc>
          <w:tcPr>
            <w:tcW w:w="9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(44,496 )</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 awards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in prior year that vested in current year</w:t>
            </w:r>
          </w:p>
        </w:tc>
        <w:tc>
          <w:tcPr>
            <w:tcW w:w="220" w:type="dxa"/>
            <w:vAlign w:val="bottom"/>
          </w:tcPr>
          <w:p>
            <w:pPr>
              <w:spacing w:after="0"/>
              <w:rPr>
                <w:sz w:val="20"/>
                <w:szCs w:val="20"/>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(44,540 )</w:t>
            </w: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122,413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(158,089 )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 awards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prior year that are outstanding and unvested as of the current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year-end</w:t>
            </w:r>
          </w:p>
        </w:tc>
        <w:tc>
          <w:tcPr>
            <w:tcW w:w="2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(14,636 )</w:t>
            </w:r>
          </w:p>
        </w:tc>
        <w:tc>
          <w:tcPr>
            <w:tcW w:w="2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524,801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464,934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(302,611 )</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 year-end fair value of equity awards granted in the current year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are outstanding and unvested as of the current year-end</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96,338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445,124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65,679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or Deduct - vesting date fair value of equity awards granted and</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in current year</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fair value as of prior year end of equity awards granted in prior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that failed to vest in the current year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Compensation Actually Paid to Non-PEO NEO's (column (e))</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1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1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100" w:type="dxa"/>
            <w:vAlign w:val="bottom"/>
            <w:shd w:val="clear" w:color="auto" w:fill="CFF0FC"/>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5240" w:type="dxa"/>
            <w:vAlign w:val="bottom"/>
            <w:gridSpan w:val="2"/>
          </w:tcPr>
          <w:p>
            <w:pPr>
              <w:ind w:left="50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22" w:name="page23"/>
    <w:bookmarkEnd w:id="22"/>
    <w:p>
      <w:pPr>
        <w:ind w:left="1020" w:right="40" w:hanging="504"/>
        <w:spacing w:after="0" w:line="26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used in this table is the Dow Jones U.S. Apparel Retailers Index (assuming reinvestment of all dividends), which we also utilize in the stock performance graph required by Item 201(e) of Regulation S-K, included in our Annual Report on Form 10-K for the year ended February 3, 2024. The comparison assumes $100 was invested for the period starting January 31, 2020, through the end of each fiscal year.</w:t>
      </w:r>
    </w:p>
    <w:p>
      <w:pPr>
        <w:spacing w:after="0" w:line="73" w:lineRule="exact"/>
        <w:rPr>
          <w:rFonts w:ascii="Times New Roman" w:cs="Times New Roman" w:eastAsia="Times New Roman" w:hAnsi="Times New Roman"/>
          <w:sz w:val="18"/>
          <w:szCs w:val="18"/>
          <w:color w:val="auto"/>
        </w:rPr>
      </w:pPr>
    </w:p>
    <w:p>
      <w:pPr>
        <w:ind w:left="1020" w:right="220" w:hanging="504"/>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Adjusted EBITDA as our Company Selected Measure. Adjusted EBITDA is a Non-GAAP financial measure. For our Company, Adjusted EBITDA represents earnings before interest, taxes and depreciation and amortization and before the loss from termination of retirement plans and any asset impairment (gain).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Relationships Descriptions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charts depict the relationships between PEO and non-PEO NEO Compensation Actually Paid ("CAP") and the financial metrics included in the table above. The key factor that drove the change in CAP for our PEO and non-PEO NEOs as compared to these financial metrics was the increase in our stock price over the periods reflected, as our LTIP awards are based solely on Company relative TSR. In addition, in fiscal 2021, the CAP for our PEO reflected the value of performance stock units that vested when our stock price reached certain thresholds in fiscal 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Compensation Actually Paid and Company's TSR</w:t>
      </w:r>
    </w:p>
    <w:p>
      <w:pPr>
        <w:spacing w:after="0" w:line="11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the Company’s cumulative TSR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388620</wp:posOffset>
            </wp:positionV>
            <wp:extent cx="4366895" cy="2611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66895" cy="261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the Company TSR and Peer Group Cumulative TSR</w:t>
      </w:r>
    </w:p>
    <w:p>
      <w:pPr>
        <w:spacing w:after="0" w:line="11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following chart shows the cumulative TSR of the Company, assuming an initial fixed $100 investment and computed in accordance with the requirements of Item 402(v) of Regulation S-K, versus the Dow Jones U.S. Apparel Retailers, assuming an initial fixed $100 investment on January 31, 2020 (end of fiscal 2019) and computed in accordance with the requirements of Item 402(v) of Regulation S-K.</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2" w:right="45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Compensation Actually Paid and Net Income (Loss)</w:t>
      </w:r>
    </w:p>
    <w:p>
      <w:pPr>
        <w:spacing w:after="0" w:line="1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net income (loss) during the four most recently completed fiscal years. Net income for fiscal 2022 included a non-recurring tax benefit related to the release of our tax valuation allowance of $31.6 million. The net loss for fiscal 2020 included a $14.8 million asset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260985</wp:posOffset>
            </wp:positionV>
            <wp:extent cx="3767455" cy="21405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67455" cy="214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Compensation Actually Paid and Company-Selected Measure</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Adjusted EBITDA, a non-GAAP measure (our Company-Selected Measure) during the four most recently completed fiscal years.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1826260</wp:posOffset>
            </wp:positionH>
            <wp:positionV relativeFrom="page">
              <wp:posOffset>705485</wp:posOffset>
            </wp:positionV>
            <wp:extent cx="4332605" cy="26200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332605"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discussed above in more detail under "</w:t>
      </w:r>
      <w:r>
        <w:rPr>
          <w:rFonts w:ascii="Times New Roman" w:cs="Times New Roman" w:eastAsia="Times New Roman" w:hAnsi="Times New Roman"/>
          <w:sz w:val="18"/>
          <w:szCs w:val="18"/>
          <w:i w:val="1"/>
          <w:iCs w:val="1"/>
          <w:color w:val="auto"/>
        </w:rPr>
        <w:t>Compensation Discussion and Analysis - Compensation Components and Fiscal 2023 Compensation Decisions,</w:t>
      </w:r>
      <w:r>
        <w:rPr>
          <w:rFonts w:ascii="Times New Roman" w:cs="Times New Roman" w:eastAsia="Times New Roman" w:hAnsi="Times New Roman"/>
          <w:sz w:val="18"/>
          <w:szCs w:val="18"/>
          <w:color w:val="auto"/>
        </w:rPr>
        <w:t>" the Compensation Committee uses several financial and operational performance measures in making its compensation decisions. The following list represents the most important financial performance measures used by the Company to link Compensation Actually Paid to our PEO and other NEOs to Company performance for fiscal 2023.</w:t>
      </w:r>
    </w:p>
    <w:p>
      <w:pPr>
        <w:spacing w:after="0" w:line="295" w:lineRule="exact"/>
        <w:rPr>
          <w:sz w:val="20"/>
          <w:szCs w:val="20"/>
          <w:color w:val="auto"/>
        </w:rPr>
      </w:pPr>
    </w:p>
    <w:p>
      <w:pPr>
        <w:ind w:left="3220" w:hanging="285"/>
        <w:spacing w:after="0"/>
        <w:tabs>
          <w:tab w:leader="none" w:pos="3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measure)</w:t>
      </w:r>
    </w:p>
    <w:p>
      <w:pPr>
        <w:spacing w:after="0" w:line="130" w:lineRule="exact"/>
        <w:rPr>
          <w:rFonts w:ascii="Times New Roman" w:cs="Times New Roman" w:eastAsia="Times New Roman" w:hAnsi="Times New Roman"/>
          <w:sz w:val="18"/>
          <w:szCs w:val="18"/>
          <w:color w:val="auto"/>
        </w:rPr>
      </w:pPr>
    </w:p>
    <w:p>
      <w:pPr>
        <w:ind w:left="3220" w:hanging="285"/>
        <w:spacing w:after="0"/>
        <w:tabs>
          <w:tab w:leader="none" w:pos="3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w:t>
      </w:r>
    </w:p>
    <w:p>
      <w:pPr>
        <w:spacing w:after="0" w:line="130" w:lineRule="exact"/>
        <w:rPr>
          <w:rFonts w:ascii="Times New Roman" w:cs="Times New Roman" w:eastAsia="Times New Roman" w:hAnsi="Times New Roman"/>
          <w:sz w:val="18"/>
          <w:szCs w:val="18"/>
          <w:color w:val="auto"/>
        </w:rPr>
      </w:pPr>
    </w:p>
    <w:p>
      <w:pPr>
        <w:ind w:left="3220" w:hanging="285"/>
        <w:spacing w:after="0"/>
        <w:tabs>
          <w:tab w:leader="none" w:pos="3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33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pursuant to which Mr. Kanter was appointed President, Chief Executive Officer and a director of the Company effective April 1, 2019. From February 19, 2019 to March 31, 2019, Mr. Kanter served as an Advisor to the Acting CEO. The initial term of the agreement was three years and could be automatically renewed, upon the same terms and conditions, for successive periods of one year, unless either party terminated the agreement in accordance with its terms.</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February 2022, the Compensation Committee engaged Segal to review Mr. Kanter’s direct compensation. Effective April 1, 2022, the Company and Mr. Kanter entered into an updated employment agreement (the "Employment Agreement"). The initial term of the Employment Agreement was for three years, unless terminated earlier in accordance with its terms (the "Initial Term").</w:t>
      </w:r>
    </w:p>
    <w:p>
      <w:pPr>
        <w:spacing w:after="0" w:line="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August 11, 2023, the Company and Mr. Kanter entered into the First Amendment (the “Amendment”) to the Employment Agreement (as amended, the "Amended Employment Agreement"). The Amendment extended the initial term of Mr. Kanter’s employment from April 1, 2025 to August 11, 2026, unless terminated earlier in accordance with the terms of the Amended Employment Agreement (the “Initial Term”). At the expiration of the Initial Term, the Amended Employment Agreement will automatically renew, upon the same terms and conditions, for successive periods of one year, unless either party provides advance written notice in accordance with the Amended Employment Agreement.</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6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In connection with the extension of the Initial Term under the Amendment, Mr. Kanter received 573,000 PSUs to be settled in shares of the Company’s common stock upon vesting. The award will vest, if at all, in nine installments, when the trailing 30-day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81" w:lineRule="auto"/>
        <w:rPr>
          <w:sz w:val="20"/>
          <w:szCs w:val="20"/>
          <w:color w:val="auto"/>
        </w:rPr>
      </w:pPr>
      <w:r>
        <w:rPr>
          <w:rFonts w:ascii="Times New Roman" w:cs="Times New Roman" w:eastAsia="Times New Roman" w:hAnsi="Times New Roman"/>
          <w:sz w:val="18"/>
          <w:szCs w:val="18"/>
          <w:color w:val="auto"/>
        </w:rPr>
        <w:t>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5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w:t>
      </w:r>
    </w:p>
    <w:p>
      <w:pPr>
        <w:spacing w:after="0" w:line="7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163" w:lineRule="exact"/>
        <w:rPr>
          <w:sz w:val="20"/>
          <w:szCs w:val="20"/>
          <w:color w:val="auto"/>
        </w:rPr>
      </w:pPr>
    </w:p>
    <w:p>
      <w:pPr>
        <w:ind w:left="1140" w:right="100" w:hanging="758"/>
        <w:spacing w:after="0" w:line="258"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of the Amended Employment Agreement, Mr. Kanter will be eligible to receive, subject to certain requirements described in the Employment Agreement, a severance payment equal to (x) the base salary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181" w:lineRule="exact"/>
        <w:rPr>
          <w:rFonts w:ascii="Times New Roman" w:cs="Times New Roman" w:eastAsia="Times New Roman" w:hAnsi="Times New Roman"/>
          <w:sz w:val="18"/>
          <w:szCs w:val="18"/>
          <w:color w:val="auto"/>
        </w:rPr>
      </w:pPr>
    </w:p>
    <w:p>
      <w:pPr>
        <w:ind w:left="1140" w:right="180" w:hanging="758"/>
        <w:spacing w:after="0" w:line="281"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 current base salary plus (y) the then value of his target bonus under the AIP, payable in 24 monthly installments, and,</w:t>
      </w:r>
    </w:p>
    <w:p>
      <w:pPr>
        <w:spacing w:after="0" w:line="162" w:lineRule="exact"/>
        <w:rPr>
          <w:rFonts w:ascii="Times New Roman" w:cs="Times New Roman" w:eastAsia="Times New Roman" w:hAnsi="Times New Roman"/>
          <w:sz w:val="18"/>
          <w:szCs w:val="18"/>
          <w:color w:val="auto"/>
        </w:rPr>
      </w:pPr>
    </w:p>
    <w:p>
      <w:pPr>
        <w:ind w:left="1140" w:right="100" w:hanging="758"/>
        <w:spacing w:after="0" w:line="265"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Amended Employment Agreement after the Initial Term, Mr. Kanter will be eligible to receive a payment equal to (i) three months of his then current base salary plus (ii) the then value of 25% of his target bonus under the AIP, payable in 24 monthly installments.</w:t>
      </w:r>
    </w:p>
    <w:p>
      <w:pPr>
        <w:spacing w:after="0" w:line="17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 current base salary plus (ii) the then value of two times his target bonus under the AIP, generally payable in a lump sum within 60 days of the termination of his employment following a Change in Control.</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Other Named Executive Officers</w:t>
      </w:r>
    </w:p>
    <w:p>
      <w:pPr>
        <w:spacing w:after="0" w:line="117" w:lineRule="exact"/>
        <w:rPr>
          <w:sz w:val="20"/>
          <w:szCs w:val="20"/>
          <w:color w:val="auto"/>
        </w:rPr>
      </w:pPr>
    </w:p>
    <w:p>
      <w:pPr>
        <w:jc w:val="both"/>
        <w:ind w:right="280"/>
        <w:spacing w:after="0" w:line="260" w:lineRule="auto"/>
        <w:rPr>
          <w:sz w:val="20"/>
          <w:szCs w:val="20"/>
          <w:color w:val="auto"/>
        </w:rPr>
      </w:pPr>
      <w:r>
        <w:rPr>
          <w:rFonts w:ascii="Times New Roman" w:cs="Times New Roman" w:eastAsia="Times New Roman" w:hAnsi="Times New Roman"/>
          <w:sz w:val="18"/>
          <w:szCs w:val="18"/>
          <w:color w:val="auto"/>
        </w:rPr>
        <w:t>We have employment agreements with each of Named Executive Officers other than our CEO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Each of the NEO Employment Agreements provide that, if the executive officer’s employment is terminated by us at any time for any reason other than “justifiable cause” (as defined in the NEO Employment Agreements), disability or death, we are required to pay the executive the executive's then 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7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Internal Revenue Code Section 280G(b)(i).</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6" w:name="page27"/>
    <w:bookmarkEnd w:id="26"/>
    <w:p>
      <w:pPr>
        <w:ind w:right="40"/>
        <w:spacing w:after="0" w:line="258"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his/her employment and for a one-year period following the termination of his/her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11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February 3, 2024 (the last day of fiscal year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w w:val="99"/>
              </w:rPr>
              <w:t>Continued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80" w:type="dxa"/>
            <w:vAlign w:val="bottom"/>
          </w:tcPr>
          <w:p>
            <w:pPr>
              <w:spacing w:after="0"/>
              <w:rPr>
                <w:sz w:val="17"/>
                <w:szCs w:val="17"/>
                <w:color w:val="auto"/>
              </w:rPr>
            </w:pPr>
          </w:p>
        </w:tc>
        <w:tc>
          <w:tcPr>
            <w:tcW w:w="820" w:type="dxa"/>
            <w:vAlign w:val="bottom"/>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Time-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21"/>
              <w:spacing w:after="0" w:line="175" w:lineRule="exact"/>
              <w:rPr>
                <w:sz w:val="20"/>
                <w:szCs w:val="20"/>
                <w:color w:val="auto"/>
              </w:rPr>
            </w:pPr>
            <w:r>
              <w:rPr>
                <w:rFonts w:ascii="Times New Roman" w:cs="Times New Roman" w:eastAsia="Times New Roman" w:hAnsi="Times New Roman"/>
                <w:sz w:val="16"/>
                <w:szCs w:val="16"/>
                <w:b w:val="1"/>
                <w:bCs w:val="1"/>
                <w:color w:val="auto"/>
              </w:rPr>
              <w:t>Based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Base</w:t>
            </w: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80" w:type="dxa"/>
            <w:vAlign w:val="bottom"/>
          </w:tcPr>
          <w:p>
            <w:pPr>
              <w:spacing w:after="0"/>
              <w:rPr>
                <w:sz w:val="4"/>
                <w:szCs w:val="4"/>
                <w:color w:val="auto"/>
              </w:rPr>
            </w:pPr>
          </w:p>
        </w:tc>
        <w:tc>
          <w:tcPr>
            <w:tcW w:w="820" w:type="dxa"/>
            <w:vAlign w:val="bottom"/>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6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7"/>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6"/>
                <w:szCs w:val="16"/>
                <w:b w:val="1"/>
                <w:bCs w:val="1"/>
                <w:color w:val="auto"/>
                <w:w w:val="99"/>
              </w:rPr>
              <w:t xml:space="preserve">Compensation </w:t>
            </w:r>
            <w:r>
              <w:rPr>
                <w:rFonts w:ascii="Times New Roman" w:cs="Times New Roman" w:eastAsia="Times New Roman" w:hAnsi="Times New Roman"/>
                <w:sz w:val="21"/>
                <w:szCs w:val="21"/>
                <w:b w:val="1"/>
                <w:bCs w:val="1"/>
                <w:color w:val="auto"/>
                <w:w w:val="99"/>
                <w:vertAlign w:val="superscript"/>
              </w:rPr>
              <w:t>(4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Salary</w:t>
            </w:r>
          </w:p>
        </w:tc>
        <w:tc>
          <w:tcPr>
            <w:tcW w:w="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ind w:left="160"/>
              <w:spacing w:after="0" w:line="148"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4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220" w:type="dxa"/>
            <w:vAlign w:val="bottom"/>
          </w:tcPr>
          <w:p>
            <w:pPr>
              <w:spacing w:after="0"/>
              <w:rPr>
                <w:sz w:val="12"/>
                <w:szCs w:val="12"/>
                <w:color w:val="auto"/>
              </w:rPr>
            </w:pPr>
          </w:p>
        </w:tc>
        <w:tc>
          <w:tcPr>
            <w:tcW w:w="62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3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(3) (5)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6"/>
              </w:rPr>
              <w:t>)(5)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4,320,833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866,346</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2,211,737</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1,664,227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866,346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2,211,737</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1,664,227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8,142,310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505,990</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391,692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1,325,188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505,990</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391,692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186,118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365,203</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1,020,670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186,118</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365,203</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186,876</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452,774</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332,836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186,876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452,774</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332,836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1,358,486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Allison Surette</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169,460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353,391</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264,479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974,829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169,460</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353,391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760" w:right="180" w:hanging="378"/>
        <w:spacing w:after="0" w:line="232"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Amended Employment Agreement as of February 3, 2024,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69" w:lineRule="exact"/>
        <w:rPr>
          <w:rFonts w:ascii="Times New Roman" w:cs="Times New Roman" w:eastAsia="Times New Roman" w:hAnsi="Times New Roman"/>
          <w:sz w:val="14"/>
          <w:szCs w:val="14"/>
          <w:color w:val="auto"/>
        </w:rPr>
      </w:pPr>
    </w:p>
    <w:p>
      <w:pPr>
        <w:ind w:left="760" w:hanging="378"/>
        <w:spacing w:after="0" w:line="261"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the actual incentive earned for 2023 AIP. See "</w:t>
      </w:r>
      <w:r>
        <w:rPr>
          <w:rFonts w:ascii="Times New Roman" w:cs="Times New Roman" w:eastAsia="Times New Roman" w:hAnsi="Times New Roman"/>
          <w:sz w:val="14"/>
          <w:szCs w:val="14"/>
          <w:i w:val="1"/>
          <w:iCs w:val="1"/>
          <w:color w:val="auto"/>
        </w:rPr>
        <w:t>Compensation Discussion and Analysis - Compensation Components and Fiscal 2023 Compensation Decisions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Discretionary Cash and Equity Awards</w:t>
      </w:r>
      <w:r>
        <w:rPr>
          <w:rFonts w:ascii="Times New Roman" w:cs="Times New Roman" w:eastAsia="Times New Roman" w:hAnsi="Times New Roman"/>
          <w:sz w:val="14"/>
          <w:szCs w:val="14"/>
          <w:color w:val="auto"/>
        </w:rPr>
        <w:t>" for more information regarding this award.</w:t>
      </w:r>
    </w:p>
    <w:p>
      <w:pPr>
        <w:spacing w:after="0" w:line="56" w:lineRule="exact"/>
        <w:rPr>
          <w:rFonts w:ascii="Times New Roman" w:cs="Times New Roman" w:eastAsia="Times New Roman" w:hAnsi="Times New Roman"/>
          <w:sz w:val="14"/>
          <w:szCs w:val="14"/>
          <w:color w:val="auto"/>
        </w:rPr>
      </w:pPr>
    </w:p>
    <w:p>
      <w:pPr>
        <w:ind w:left="760" w:right="80" w:hanging="378"/>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RSUs and Stock options under our 2020-2022 LTIP, 2021-2023 LTIP, 2022-2024 LTIP and 2023-2025 LTIP. Because the respective performance periods for the 2020-2022 LTIP and the 2021-2023 LTIP would have been complete as of February 3, 2024, all outstanding awards would have become fully vested under both a Qualifying Termination and Qualifying Termination due to a change in control. Because the 2022-2024 LTIP would have completed the second year of its performance period and the 2023-2025 LTIP would have completed the first year of its performance period, as of February 3, 2024, each participant would have vested in RSUs and stock options based on a pro-rata vesting percentage, which is calculated based on the number of effective days of participation over the total number of days in the performance period.</w:t>
      </w:r>
    </w:p>
    <w:p>
      <w:pPr>
        <w:spacing w:after="0" w:line="192" w:lineRule="exact"/>
        <w:rPr>
          <w:rFonts w:ascii="Times New Roman" w:cs="Times New Roman" w:eastAsia="Times New Roman" w:hAnsi="Times New Roman"/>
          <w:sz w:val="14"/>
          <w:szCs w:val="14"/>
          <w:color w:val="auto"/>
        </w:rPr>
      </w:pPr>
    </w:p>
    <w:p>
      <w:pPr>
        <w:ind w:left="760" w:right="20" w:hanging="378"/>
        <w:spacing w:after="0" w:line="230"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actual performance award earned under the 2021-2023 LTIP. Because the performance periods for the 2022-2024 LTIP and the 2023-2025 LTIP were not complete as of February 3, 2024,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For a Qualifying Termination due to a change in control, each participant would be entitled to receive a pro-rated vesting percentage, at the date of the change in control at target. Mr. Kanter’s 573,000 PSUs would forfeit unexercised unless, during the thirty-days following his termination, a performance target is achieved. In such case, he would be entitled to any unvested PSUs that would have vested as though he had not been terminated.</w:t>
      </w:r>
    </w:p>
    <w:p>
      <w:pPr>
        <w:spacing w:after="0" w:line="72" w:lineRule="exact"/>
        <w:rPr>
          <w:rFonts w:ascii="Times New Roman" w:cs="Times New Roman" w:eastAsia="Times New Roman" w:hAnsi="Times New Roman"/>
          <w:sz w:val="14"/>
          <w:szCs w:val="14"/>
          <w:color w:val="auto"/>
        </w:rPr>
      </w:pPr>
    </w:p>
    <w:p>
      <w:pPr>
        <w:ind w:left="760" w:right="140" w:hanging="378"/>
        <w:spacing w:after="0" w:line="239"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time-based RSUs awards that would vest upon an assumed termination on February 3, 2024 were valued using the closing stock price of our stock on February 2, 2024 of $4.16 per share. The value of all outstanding stock options that would become exercisable upon an assumed termination on February 3, 2024 were valued using the spread between the closing stock price of our stock on February 2, 2024 and the respective exercise price of such stock option.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Clawback Policies</w:t>
      </w:r>
    </w:p>
    <w:p>
      <w:pPr>
        <w:spacing w:after="0" w:line="1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212121"/>
        </w:rPr>
        <w:t>Executive Clawback Policy</w:t>
      </w:r>
      <w:r>
        <w:rPr>
          <w:rFonts w:ascii="Times New Roman" w:cs="Times New Roman" w:eastAsia="Times New Roman" w:hAnsi="Times New Roman"/>
          <w:sz w:val="18"/>
          <w:szCs w:val="18"/>
          <w:color w:val="212121"/>
        </w:rPr>
        <w:t>. The Board adopted a</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(the “Executive</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that complies with the final SEC</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regulations</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mandated by the Dodd-Frank Wall Street Reform and Consumer Protection Act of 2010 and Nasdaq Listing Rule 5608. The Executive Clawback Policy provides for repayment of incentive-based compensation in the event of an accounting restatement resulting from noncompliance with financial reporting requirements under federal securities laws. The policy applies to current and former executives and requires reimbursement or forfeiture of any excess incentive compensation received by an executive during the three completed fiscal years immediately preceding the date on which the Company is required to prepare 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accounting restatement. The Executive Clawback Policy is in addition to, the Company’s other clawback policies and provisions described below.</w:t>
      </w:r>
    </w:p>
    <w:p>
      <w:pPr>
        <w:spacing w:after="0" w:line="1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Other Clawback Policies and Provisions</w:t>
      </w:r>
      <w:r>
        <w:rPr>
          <w:rFonts w:ascii="Times New Roman" w:cs="Times New Roman" w:eastAsia="Times New Roman" w:hAnsi="Times New Roman"/>
          <w:sz w:val="18"/>
          <w:szCs w:val="18"/>
          <w:color w:val="auto"/>
        </w:rPr>
        <w:t>. Our employment agreements with members of our senior management and our long-term incentive plans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provisions that provide for remedies in the event we learn, after the senior executive is terminated by us other than for “justifiable cause,” that the senior executive could have been terminated for “justifiable cause.” In addition, since August 2018, we have had an executive incentive pay clawback policy that permits the Company to recover incentive-based compensation (cash and/or equity) from current and former executive officers of the Company in certain circumstances.</w:t>
      </w:r>
    </w:p>
    <w:p>
      <w:pPr>
        <w:spacing w:after="0" w:line="1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in fiscal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GRANTS OF PLAN-BASED AWARDS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0"/>
              </w:rPr>
              <w:t>Date</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6"/>
            <w:vMerge w:val="restart"/>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or Base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Pr>
          <w:p>
            <w:pPr>
              <w:spacing w:after="0"/>
              <w:rPr>
                <w:sz w:val="9"/>
                <w:szCs w:val="9"/>
                <w:color w:val="auto"/>
              </w:rPr>
            </w:pP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220" w:type="dxa"/>
            <w:vAlign w:val="bottom"/>
          </w:tcPr>
          <w:p>
            <w:pPr>
              <w:spacing w:after="0"/>
              <w:rPr>
                <w:sz w:val="9"/>
                <w:szCs w:val="9"/>
                <w:color w:val="auto"/>
              </w:rPr>
            </w:pPr>
          </w:p>
        </w:tc>
        <w:tc>
          <w:tcPr>
            <w:tcW w:w="52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 Equity</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Underlyin</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89"/>
              </w:rPr>
              <w:t>and</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2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g</w:t>
            </w:r>
          </w:p>
        </w:tc>
        <w:tc>
          <w:tcPr>
            <w:tcW w:w="2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Maximu</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Grant</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Inception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Threshold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1"/>
              </w:rPr>
              <w:t>Threshold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12"/>
                <w:szCs w:val="12"/>
                <w:color w:val="auto"/>
              </w:rPr>
            </w:pPr>
          </w:p>
        </w:tc>
        <w:tc>
          <w:tcPr>
            <w:tcW w:w="4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86"/>
              </w:rPr>
              <w:t>m</w:t>
            </w:r>
          </w:p>
        </w:tc>
        <w:tc>
          <w:tcPr>
            <w:tcW w:w="2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2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2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Date</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3"/>
                <w:szCs w:val="13"/>
                <w:color w:val="auto"/>
              </w:rPr>
            </w:pP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78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0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 / Sh)</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Harvey S. Kanter</w:t>
            </w:r>
          </w:p>
        </w:tc>
        <w:tc>
          <w:tcPr>
            <w:tcW w:w="6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173,269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866,346</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1,732,692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82,289</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$ 541,875</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220" w:type="dxa"/>
            <w:vAlign w:val="bottom"/>
            <w:shd w:val="clear" w:color="auto" w:fill="CFF0FC"/>
          </w:tcPr>
          <w:p>
            <w:pPr>
              <w:spacing w:after="0"/>
              <w:rPr>
                <w:sz w:val="13"/>
                <w:szCs w:val="13"/>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Performance Stock Units (4)</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8/11/2023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573,000</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2,404,689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9"/>
              </w:rPr>
              <w:t>Peter</w:t>
            </w:r>
          </w:p>
        </w:tc>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 Stratton, Jr.</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49,779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248,896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20,859</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$ 137,363</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Anthony J. Gaeta</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39,183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195,914</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293,870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56,875</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12,955</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shd w:val="clear" w:color="auto" w:fill="CFF0FC"/>
          </w:tcPr>
          <w:p>
            <w:pPr>
              <w:spacing w:after="0"/>
              <w:rPr>
                <w:sz w:val="13"/>
                <w:szCs w:val="13"/>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28,438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56,875</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85,313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28,438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85,313</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Robert S. Molloy</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39,342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196,712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295,067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15,387</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$ 101,325</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Allison Surette</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37,658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188,289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282,433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61,250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13,952</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shd w:val="clear" w:color="auto" w:fill="CFF0FC"/>
          </w:tcPr>
          <w:p>
            <w:pPr>
              <w:spacing w:after="0"/>
              <w:rPr>
                <w:sz w:val="13"/>
                <w:szCs w:val="13"/>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30,625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61,250</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91,875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30,625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61,250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91,875</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0" w:right="60" w:hanging="378"/>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and are accounted for as a liability during the performance period. The actual grant date of equity awards, if any, will occur only if the performance targets are achieved and only if the Compensation Committee were to decide to grant a portion or all of the award in the form of equity. For purposes of this table, it is assumed that any performance-based award earned under the 2023-2025 LTIP would be granted in a combination of 50% cash and 50% equity. See footnote 3 below for additional information on the 2023-2025 LTIP.</w:t>
      </w:r>
    </w:p>
    <w:p>
      <w:pPr>
        <w:spacing w:after="0" w:line="181"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target payout assumes 100%, and the maximum payout assumes 150% of the payout targets under the 2023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2023 Compensation Decisions - Performance-based annual incentive plan – 20232 AIP</w:t>
      </w:r>
      <w:r>
        <w:rPr>
          <w:rFonts w:ascii="Times New Roman" w:cs="Times New Roman" w:eastAsia="Times New Roman" w:hAnsi="Times New Roman"/>
          <w:sz w:val="18"/>
          <w:szCs w:val="18"/>
          <w:color w:val="auto"/>
        </w:rPr>
        <w:t>” for more information on the targets set under the 2023 AIP. The respective actual cash payment made to each of the Named Executive Officers under the 2023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2023.</w:t>
      </w:r>
    </w:p>
    <w:p>
      <w:pPr>
        <w:spacing w:after="0" w:line="181"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the Compensation Committee approved the performance target for the 2023-2025 LTIP. The performance-based awards represent 50% of the total potential payout under the 2023-2025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and only if the Compensation Committee decides to grant a portion or all of the award in equity. The remaining 50% of the total potential payout under the 2023-2025 LTIP represents time-based awards, which were granted 50% cash and 50% in RSUs. The above table reflects the cash award and the RSUs that were granted on May 1, 2023. The cash award and the RSUs vest in four equal tranches, with the first tranche vesting on May 1, 2024, and the remaining tranches vesting on April 1, 2025, April 1, 2026, and April 1, 2027. See “</w:t>
      </w:r>
      <w:r>
        <w:rPr>
          <w:rFonts w:ascii="Times New Roman" w:cs="Times New Roman" w:eastAsia="Times New Roman" w:hAnsi="Times New Roman"/>
          <w:sz w:val="18"/>
          <w:szCs w:val="18"/>
          <w:i w:val="1"/>
          <w:iCs w:val="1"/>
          <w:color w:val="auto"/>
        </w:rPr>
        <w:t>Compensation Components and Fiscal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8"/>
          <w:szCs w:val="18"/>
          <w:i w:val="1"/>
          <w:iCs w:val="1"/>
          <w:color w:val="auto"/>
        </w:rPr>
        <w:t>2023 Compensation Decisions - Long-term incentive plans - 2023-2025 Performance Period</w:t>
      </w:r>
      <w:r>
        <w:rPr>
          <w:rFonts w:ascii="Times New Roman" w:cs="Times New Roman" w:eastAsia="Times New Roman" w:hAnsi="Times New Roman"/>
          <w:sz w:val="18"/>
          <w:szCs w:val="18"/>
          <w:color w:val="auto"/>
        </w:rPr>
        <w:t>” above for more information on the targets.</w:t>
      </w:r>
    </w:p>
    <w:p>
      <w:pPr>
        <w:spacing w:after="0" w:line="227" w:lineRule="exact"/>
        <w:rPr>
          <w:sz w:val="20"/>
          <w:szCs w:val="20"/>
          <w:color w:val="auto"/>
        </w:rPr>
      </w:pPr>
    </w:p>
    <w:p>
      <w:pPr>
        <w:ind w:left="760" w:right="20" w:hanging="378"/>
        <w:spacing w:after="0" w:line="26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in connection with the extension of Mr. Kanter's employment agreement, the Compensation Committee granted to Mr. Kanter 573,000 PSUs.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1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OUTSTANDING EQUITY AWARDS AT FISCAL YEAR-END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Equity</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4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Equity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Plan</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Plan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Market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4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8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w w:val="97"/>
              </w:rPr>
              <w:t>or</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That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Have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140" w:type="dxa"/>
            <w:vAlign w:val="bottom"/>
            <w:gridSpan w:val="3"/>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42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69"/>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2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Harvey S. Kanter</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573,000</w:t>
            </w:r>
          </w:p>
        </w:tc>
        <w:tc>
          <w:tcPr>
            <w:tcW w:w="420" w:type="dxa"/>
            <w:vAlign w:val="bottom"/>
            <w:shd w:val="clear" w:color="auto" w:fill="CFF0FC"/>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2,383,680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53,971</w:t>
            </w:r>
          </w:p>
        </w:tc>
        <w:tc>
          <w:tcPr>
            <w:tcW w:w="2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224,519</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82,289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342,322</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6/10/2030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221,020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221,020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83,990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167,980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35,421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35,422</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Peter H. Stratton, Jr.</w:t>
            </w:r>
          </w:p>
        </w:tc>
        <w:tc>
          <w:tcPr>
            <w:tcW w:w="1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126,727</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48,909</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37,172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37,172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24,078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12,038</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56,913</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20,859</w:t>
            </w:r>
          </w:p>
        </w:tc>
        <w:tc>
          <w:tcPr>
            <w:tcW w:w="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86,773</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14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Anthony J. Gaeta</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109,581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36,527</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27,761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27,761</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2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35,348</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12,955</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53,893</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79,298</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46,433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8"/>
        </w:trPr>
        <w:tc>
          <w:tcPr>
            <w:tcW w:w="13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15,290</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35,289</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10,092</w:t>
            </w: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41,983</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15,387</w:t>
            </w:r>
          </w:p>
        </w:tc>
        <w:tc>
          <w:tcPr>
            <w:tcW w:w="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64,010</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114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Allison Surette</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9/11/2026</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105,867</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35,288</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8,209</w:t>
            </w:r>
          </w:p>
        </w:tc>
        <w:tc>
          <w:tcPr>
            <w:tcW w:w="2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34,149</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13,952</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58,040</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$4.16 on February 2, 2024.</w:t>
      </w:r>
    </w:p>
    <w:p>
      <w:pPr>
        <w:spacing w:after="0" w:line="116" w:lineRule="exact"/>
        <w:rPr>
          <w:rFonts w:ascii="Times New Roman" w:cs="Times New Roman" w:eastAsia="Times New Roman" w:hAnsi="Times New Roman"/>
          <w:sz w:val="18"/>
          <w:szCs w:val="18"/>
          <w:color w:val="auto"/>
        </w:rPr>
      </w:pPr>
    </w:p>
    <w:p>
      <w:pPr>
        <w:jc w:val="both"/>
        <w:ind w:left="760" w:right="480" w:hanging="378"/>
        <w:spacing w:after="0" w:line="257"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an award granted to Mr. Kanter in August 2023 in connection with the extension of his employment agreement. The award will vest, if at all, in nine installments, when the trailing 30-day volume-weighted average closing price of a share of the Company’s common stock meets or exceeds $6.50, $6.75, $7.00, $7.25, $7.50, $7.75, $8.00, $8.25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color w:val="auto"/>
        </w:rPr>
        <w:t>$8.50, respectively, subject to a minimum one-year vesting from the date of grant. Any unvested PSUs will expire on August 11, 2026.</w:t>
      </w:r>
    </w:p>
    <w:p>
      <w:pPr>
        <w:spacing w:after="0" w:line="117" w:lineRule="exact"/>
        <w:rPr>
          <w:sz w:val="20"/>
          <w:szCs w:val="20"/>
          <w:color w:val="auto"/>
        </w:rPr>
      </w:pPr>
    </w:p>
    <w:p>
      <w:pPr>
        <w:ind w:left="760" w:right="30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April 9, 2022 in connection with our 2022-2024 LTIP. These awards vest in three remaining equal tranches on April 1, 2024, April 1, 2025 and April 1, 2026.</w:t>
      </w:r>
    </w:p>
    <w:p>
      <w:pPr>
        <w:spacing w:after="0" w:line="54"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May 1, 2023 in connection with our 2023-2025 LTIP. These awards vest in four equal tranches on April 1, 2024, April 1, 2025, April 1, 2026 and April 1, 2027.</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vested in three equal tranches.</w:t>
      </w:r>
    </w:p>
    <w:p>
      <w:pPr>
        <w:spacing w:after="0" w:line="116"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The awards vest in four equal tranches on June 11, 2021, April 1, 2022, April 1, 2023 and April 1, 2024.</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The awards vest in four equal tranches on April 1, 2022, April 1, 2023, April 1, 2024 and April 1, 2025.</w:t>
      </w:r>
    </w:p>
    <w:p>
      <w:pPr>
        <w:spacing w:after="0" w:line="54"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the active members of management who were participants in the 2018-2020 LTIP. The awards vest in three equal tranches on March 9, 2022, March 9, 2023 and March 9, 2024.</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pro-rata grant of stock options issued to Ms. Surette in connection with her promotion in fiscal 2016 in accordance with the terms of the LTIP.</w:t>
      </w:r>
    </w:p>
    <w:p>
      <w:pPr>
        <w:spacing w:after="0" w:line="15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awards and the vesting of stock awards during fiscal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tcPr>
          <w:p>
            <w:pPr>
              <w:jc w:val="right"/>
              <w:ind w:right="779"/>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Pr>
          <w:p>
            <w:pPr>
              <w:spacing w:after="0"/>
              <w:rPr>
                <w:sz w:val="15"/>
                <w:szCs w:val="15"/>
                <w:color w:val="auto"/>
              </w:rPr>
            </w:pPr>
          </w:p>
        </w:tc>
        <w:tc>
          <w:tcPr>
            <w:tcW w:w="2660" w:type="dxa"/>
            <w:vAlign w:val="bottom"/>
            <w:gridSpan w:val="5"/>
          </w:tcPr>
          <w:p>
            <w:pPr>
              <w:ind w:left="88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3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9"/>
              </w:rPr>
              <w:t>Acquired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3"/>
                <w:szCs w:val="13"/>
                <w:b w:val="1"/>
                <w:bCs w:val="1"/>
                <w:color w:val="auto"/>
              </w:rPr>
              <w:t>Value Realized</w:t>
            </w: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Vested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3"/>
                <w:szCs w:val="13"/>
                <w:b w:val="1"/>
                <w:bCs w:val="1"/>
                <w:color w:val="auto"/>
              </w:rPr>
              <w:t>on Vesting</w:t>
            </w:r>
          </w:p>
        </w:tc>
      </w:tr>
      <w:tr>
        <w:trPr>
          <w:trHeight w:val="17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 (3)</w:t>
            </w:r>
          </w:p>
        </w:tc>
        <w:tc>
          <w:tcPr>
            <w:tcW w:w="100" w:type="dxa"/>
            <w:vAlign w:val="bottom"/>
          </w:tcPr>
          <w:p>
            <w:pPr>
              <w:spacing w:after="0"/>
              <w:rPr>
                <w:sz w:val="15"/>
                <w:szCs w:val="15"/>
                <w:color w:val="auto"/>
              </w:rPr>
            </w:pPr>
          </w:p>
        </w:tc>
      </w:tr>
      <w:tr>
        <w:trPr>
          <w:trHeight w:val="23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1,076,300</w:t>
            </w:r>
          </w:p>
        </w:tc>
        <w:tc>
          <w:tcPr>
            <w:tcW w:w="100" w:type="dxa"/>
            <w:vAlign w:val="bottom"/>
            <w:shd w:val="clear" w:color="auto" w:fill="CFF0FC"/>
          </w:tcPr>
          <w:p>
            <w:pPr>
              <w:spacing w:after="0"/>
              <w:rPr>
                <w:sz w:val="20"/>
                <w:szCs w:val="20"/>
                <w:color w:val="auto"/>
              </w:rPr>
            </w:pP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34,683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168,194</w:t>
            </w: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122,459</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154,374</w:t>
            </w: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118,311</w:t>
            </w:r>
          </w:p>
        </w:tc>
        <w:tc>
          <w:tcPr>
            <w:tcW w:w="100" w:type="dxa"/>
            <w:vAlign w:val="bottom"/>
            <w:shd w:val="clear" w:color="auto" w:fill="CFF0FC"/>
          </w:tcPr>
          <w:p>
            <w:pPr>
              <w:spacing w:after="0"/>
              <w:rPr>
                <w:sz w:val="21"/>
                <w:szCs w:val="21"/>
                <w:color w:val="auto"/>
              </w:rPr>
            </w:pPr>
          </w:p>
        </w:tc>
      </w:tr>
    </w:tbl>
    <w:p>
      <w:pPr>
        <w:spacing w:after="0" w:line="305" w:lineRule="exact"/>
        <w:rPr>
          <w:sz w:val="20"/>
          <w:szCs w:val="20"/>
          <w:color w:val="auto"/>
        </w:rPr>
      </w:pPr>
    </w:p>
    <w:p>
      <w:pPr>
        <w:ind w:left="760" w:right="180" w:hanging="707"/>
        <w:spacing w:after="0" w:line="26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the market price of the underlying security on the date of exercise, minus the exercise cost.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3" w:lineRule="exact"/>
        <w:rPr>
          <w:rFonts w:ascii="Times New Roman" w:cs="Times New Roman" w:eastAsia="Times New Roman" w:hAnsi="Times New Roman"/>
          <w:sz w:val="18"/>
          <w:szCs w:val="18"/>
          <w:color w:val="auto"/>
        </w:rPr>
      </w:pPr>
    </w:p>
    <w:p>
      <w:pPr>
        <w:ind w:left="760" w:right="240" w:hanging="707"/>
        <w:spacing w:after="0" w:line="265"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2023 include the time-based awards granted under the 2019-2021 LTIP and the 2022-2024 LTIP, as well as the RSUs granted for the performance-based compensation under the 2020-2022 LTIP which vested on August 31, 2023. The stock awards that vested for Mr. Kanter also include the last tranche of new hire time-based award from 2019.</w:t>
      </w:r>
    </w:p>
    <w:p>
      <w:pPr>
        <w:spacing w:after="0" w:line="69" w:lineRule="exact"/>
        <w:rPr>
          <w:rFonts w:ascii="Times New Roman" w:cs="Times New Roman" w:eastAsia="Times New Roman" w:hAnsi="Times New Roman"/>
          <w:sz w:val="18"/>
          <w:szCs w:val="18"/>
          <w:color w:val="auto"/>
        </w:rPr>
      </w:pPr>
    </w:p>
    <w:p>
      <w:pPr>
        <w:ind w:left="760" w:right="180" w:hanging="707"/>
        <w:spacing w:after="0" w:line="265"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Non-Employee Director Compensation Plan, as amended to date (the "Director Plan"), sets forth the compensation to be paid to our non-employee directors, including in the form of equity. The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2016 Plan. The Director Plan also permits the Company’s non-employee directors to acquire shares of the Company’s common stock at fair market value by voluntarily electing to receive shares of common stock in lieu of cash fees for service as a director. In November 2023, the Director Plan was amended to permit directors the ability to select shares of deferred stock beginning in fiscal 2024. Any shares of deferred stock will be issued from the 2016 Plan.</w:t>
      </w:r>
    </w:p>
    <w:p>
      <w:pPr>
        <w:spacing w:after="0" w:line="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Director Plan is a stand-alone plan and is not a sub-plan under the 2016 Plan. Accordingly, shares issued under the Director Plan for voluntary elections to receive shares of common stock in lieu of cash fees do not reduce the shares available for issuance under the 2016 Plan. The maximum number of shares that can be issued in any quarter pursuant to the Director Plan is limited to 250,000 shares in the aggregate, with the shortfall paid in cash.</w:t>
      </w:r>
    </w:p>
    <w:p>
      <w:pPr>
        <w:spacing w:after="0" w:line="6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believe that our Director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plan as follows in fiscal 2023:</w:t>
      </w:r>
    </w:p>
    <w:p>
      <w:pPr>
        <w:spacing w:after="0" w:line="69"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$33,750;</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$10,000;</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$5,000;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$2,500.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2023. Mr. Kanter is not included in the following table as he is a Named Executive Officer and, accordingly, received no compensation for his services as a director. Compensation earned by Mr. Kanter is included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3"/>
                <w:szCs w:val="13"/>
                <w:b w:val="1"/>
                <w:bCs w:val="1"/>
                <w:color w:val="auto"/>
              </w:rPr>
              <w:t>Paid in Cash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8"/>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195,000</w:t>
            </w:r>
          </w:p>
        </w:tc>
        <w:tc>
          <w:tcPr>
            <w:tcW w:w="100" w:type="dxa"/>
            <w:vAlign w:val="bottom"/>
            <w:shd w:val="clear" w:color="auto" w:fill="CFF0FC"/>
          </w:tcPr>
          <w:p>
            <w:pPr>
              <w:spacing w:after="0"/>
              <w:rPr>
                <w:sz w:val="20"/>
                <w:szCs w:val="20"/>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Carmen R. Bauza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80,996</w:t>
            </w:r>
          </w:p>
        </w:tc>
        <w:tc>
          <w:tcPr>
            <w:tcW w:w="24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134,996</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Jack Boyle</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72,484</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144,984</w:t>
            </w:r>
          </w:p>
        </w:tc>
        <w:tc>
          <w:tcPr>
            <w:tcW w:w="100" w:type="dxa"/>
            <w:vAlign w:val="bottom"/>
            <w:shd w:val="clear" w:color="auto" w:fill="CFF0FC"/>
          </w:tcPr>
          <w:p>
            <w:pPr>
              <w:spacing w:after="0"/>
              <w:rPr>
                <w:sz w:val="21"/>
                <w:szCs w:val="2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Willem Mesdag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144,991</w:t>
            </w:r>
          </w:p>
        </w:tc>
        <w:tc>
          <w:tcPr>
            <w:tcW w:w="24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144,991</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Ivy Ross</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67,495</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144,995</w:t>
            </w:r>
          </w:p>
        </w:tc>
        <w:tc>
          <w:tcPr>
            <w:tcW w:w="100" w:type="dxa"/>
            <w:vAlign w:val="bottom"/>
            <w:shd w:val="clear" w:color="auto" w:fill="CFF0FC"/>
          </w:tcPr>
          <w:p>
            <w:pPr>
              <w:spacing w:after="0"/>
              <w:rPr>
                <w:sz w:val="21"/>
                <w:szCs w:val="2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Elaine K. Rubin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77,620</w:t>
            </w:r>
          </w:p>
        </w:tc>
        <w:tc>
          <w:tcPr>
            <w:tcW w:w="24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134,995</w:t>
            </w:r>
          </w:p>
        </w:tc>
        <w:tc>
          <w:tcPr>
            <w:tcW w:w="100" w:type="dxa"/>
            <w:vAlign w:val="bottom"/>
          </w:tcPr>
          <w:p>
            <w:pPr>
              <w:spacing w:after="0"/>
              <w:rPr>
                <w:sz w:val="20"/>
                <w:szCs w:val="20"/>
                <w:color w:val="auto"/>
              </w:rPr>
            </w:pPr>
          </w:p>
        </w:tc>
      </w:tr>
    </w:tbl>
    <w:p>
      <w:pPr>
        <w:spacing w:after="0" w:line="246" w:lineRule="exact"/>
        <w:rPr>
          <w:sz w:val="20"/>
          <w:szCs w:val="20"/>
          <w:color w:val="auto"/>
        </w:rPr>
      </w:pPr>
    </w:p>
    <w:p>
      <w:pPr>
        <w:ind w:left="760" w:right="40" w:hanging="378"/>
        <w:spacing w:after="0" w:line="25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Mr. Mesdag elected to receive all compensation in unrestricted shares of common stock. Mr. Conacher elected to receive 100% of his compensation in cash. Mr. Boyle elected to receive 50% of his compensation in unrestricted shares of common stock and 50% in cash. Ms. Ross elected to receive 50% of her retainer in cash and 50% in unrestricted shares of common stock, with any chairperson fees in cash. Until Mses. Bauza and Rubin reach the required minimum ownership threshold, each was required to elect 60% of their respective retainer in unrestricted shares of common stock with the remainder elected in cash. The number of shares issued as payment for an earned director fee is determined by taking the director fee earned and dividing by the consolidated closing price of our common stock on the grant date, based on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1" w:name="page32"/>
    <w:bookmarkEnd w:id="31"/>
    <w:p>
      <w:pPr>
        <w:ind w:left="760" w:right="180"/>
        <w:spacing w:after="0" w:line="260" w:lineRule="auto"/>
        <w:rPr>
          <w:sz w:val="20"/>
          <w:szCs w:val="20"/>
          <w:color w:val="auto"/>
        </w:rPr>
      </w:pPr>
      <w:r>
        <w:rPr>
          <w:rFonts w:ascii="Times New Roman" w:cs="Times New Roman" w:eastAsia="Times New Roman" w:hAnsi="Times New Roman"/>
          <w:sz w:val="18"/>
          <w:szCs w:val="18"/>
          <w:color w:val="auto"/>
        </w:rPr>
        <w:t>closing price on the last trading day of the immediately prior fiscal quarter. Payments are made at the beginning of each quarter, with the grant date being the first business day of each respective quarter.</w:t>
      </w:r>
    </w:p>
    <w:p>
      <w:pPr>
        <w:spacing w:after="0" w:line="1" w:lineRule="exact"/>
        <w:rPr>
          <w:sz w:val="20"/>
          <w:szCs w:val="20"/>
          <w:color w:val="auto"/>
        </w:rPr>
      </w:pPr>
    </w:p>
    <w:p>
      <w:pPr>
        <w:ind w:left="76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 The fractional share value is forfeited.</w:t>
      </w:r>
    </w:p>
    <w:p>
      <w:pPr>
        <w:ind w:left="760" w:right="60" w:hanging="378"/>
        <w:spacing w:after="0" w:line="26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2023. At February 3, 2024, Messrs. Boyle and Conacher each had outstanding stock options to purchase 15,000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Each of Willem Mesdag, Jack Boyle and Lionel F. Conacher served as a member of the Compensation Committee during fiscal 2023, none of whom was at any time during fiscal 2023 or at any other time an officer or employee of our Company. During fiscal 2023, none of our executive officers served as a member of the board of directors or compensation committee of any other entity that had one or more executive officers serving as a member of our Board or Compensation Committee.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5" w:right="359" w:bottom="1440" w:gutter="0" w:footer="0" w:header="0"/>
        </w:sectPr>
      </w:pPr>
    </w:p>
    <w:bookmarkStart w:id="32" w:name="page33"/>
    <w:bookmarkEnd w:id="32"/>
    <w:p>
      <w:pPr>
        <w:ind w:right="31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Security Ownership of Certain Beneficial Owners</w:t>
      </w:r>
    </w:p>
    <w:p>
      <w:pPr>
        <w:spacing w:after="0" w:line="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persons known to us to be the beneficial owners of more than five percent of the issued and outstanding shares of our common stock as of May 15, 2024. We were informed that, except as indicated, each person has sole voting and investment power with respect to all shares of our common stock shown as beneficially owned by such person, subject to community property laws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6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25"/>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60" w:type="dxa"/>
            <w:vAlign w:val="bottom"/>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9"/>
                <w:szCs w:val="19"/>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AWM Investment Company, Inc.</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9,399,297</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 Special Situations Funds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527 Madison Avenue, Suite 2600</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 New York 10022</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1 Investments, LLC</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5,729,290</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Carr 115 Unit 1900</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Rincon, Puerto Rico 00677</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Wolf Hill Capital Management, LP</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4,174,730</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Mason Street</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Floor</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Greenwich, Connecticut 06830</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BlackRock, Inc.</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3,863,613</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 Hudson Yards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 New York 10001</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Seymour Holtzman</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3,667,591</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N Wilkes Barre Blvd.</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Wilkes Barre, PA 18702</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Vanguard Group</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2,903,673</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Vanguard Blvd.</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Malvern, Pennsylvania 19355</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-2658745</wp:posOffset>
            </wp:positionV>
            <wp:extent cx="7132320" cy="530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5308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-1725295</wp:posOffset>
            </wp:positionV>
            <wp:extent cx="7132320" cy="530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5308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-791845</wp:posOffset>
            </wp:positionV>
            <wp:extent cx="7132320" cy="402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197" w:lineRule="exact"/>
        <w:rPr>
          <w:sz w:val="20"/>
          <w:szCs w:val="20"/>
          <w:color w:val="auto"/>
        </w:rPr>
      </w:pPr>
    </w:p>
    <w:p>
      <w:pPr>
        <w:ind w:left="760" w:right="80" w:hanging="378"/>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58,228,053 shares of our common stock outstanding as of May 15, 2024.</w:t>
      </w:r>
    </w:p>
    <w:p>
      <w:pPr>
        <w:spacing w:after="0" w:line="181" w:lineRule="exact"/>
        <w:rPr>
          <w:rFonts w:ascii="Times New Roman" w:cs="Times New Roman" w:eastAsia="Times New Roman" w:hAnsi="Times New Roman"/>
          <w:sz w:val="18"/>
          <w:szCs w:val="18"/>
          <w:color w:val="auto"/>
        </w:rPr>
      </w:pPr>
    </w:p>
    <w:p>
      <w:pPr>
        <w:ind w:left="760" w:right="180" w:hanging="378"/>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3 to Schedule 13G dated February 14, 2024.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w:t>
      </w:r>
    </w:p>
    <w:p>
      <w:pPr>
        <w:spacing w:after="0" w:line="181" w:lineRule="exact"/>
        <w:rPr>
          <w:rFonts w:ascii="Times New Roman" w:cs="Times New Roman" w:eastAsia="Times New Roman" w:hAnsi="Times New Roman"/>
          <w:sz w:val="18"/>
          <w:szCs w:val="18"/>
          <w:color w:val="auto"/>
        </w:rPr>
      </w:pPr>
    </w:p>
    <w:p>
      <w:pPr>
        <w:ind w:left="760" w:right="100" w:hanging="378"/>
        <w:spacing w:after="0" w:line="25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dated February 14, 2024 and Form 4 filed May 3, 2024. These shares are held by Fund 1 Investments, LLC, of which (i) 5,691,577 shares are held for the benefit of Pleasant Lake Onshore Feeder Fund, LP (the "PL Fund") and (ii) 37,713 shares are held for the benefit of an unaffiliated private fund (together with PL Fund, the “Funds”). Pleasant Lake Partners LLC serves as investment adviser to the Funds, and Fund 1 Investments, LLC serves as managing member of Pleasant Lake Partners LLC. Jonathan Lennon serves as managing member of Fund 1 Investments, LLC. Each of Fund 1 Investments, LLC, Pleasant Lake Partners LLC and Mr. Lennon disclaims beneficial ownership of these shares except to the extent of its or his pecuniary interest therein.</w:t>
      </w:r>
    </w:p>
    <w:p>
      <w:pPr>
        <w:spacing w:after="0" w:line="77"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Amendment No. 1 to Schedule 13G, dated February 13, 2024. Of these shares, (i) 3,663,323 shares owned by Wolf Hill Partners, LP (the “Fund”) and (ii) 511,407 shares are held in certain separate managed accounts for whom Wolf Hill Capital Management, LP (“Wolf Hill Capital”) acts as sub-advisor ("Managed Accounts"). As investment manager of the Fund and sub-advisor to the Managed Accounts, Wolf Hill Capital may be deemed to indirectly beneficially own the shares held by the Fund and the Managed Accounts. Wolf Hill General Partner, LLC, as general partner of Wolf Hill Capital and the Fund (the “GP”), may be deemed to beneficially own the shares held by each of Wolf Hill Capital and the Fund. Gary Lehrman is the managing member of the GP and may be deemed to beneficially own shares beneficially owned by the GP. The Fund disclaims beneficial ownership of the shares held by the Managed Accounts, and the Managed Accounts disclaim beneficial ownership</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 the shares held by the Fund.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23" w:right="299" w:bottom="1440" w:gutter="0" w:footer="0" w:header="0"/>
        </w:sectPr>
      </w:pPr>
    </w:p>
    <w:bookmarkStart w:id="33" w:name="page34"/>
    <w:bookmarkEnd w:id="33"/>
    <w:p>
      <w:pPr>
        <w:ind w:left="380" w:right="420" w:hanging="378"/>
        <w:spacing w:after="0" w:line="281"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January 29, 2024. Of these shares, BlackRock Inc. has sole voting power for 3,779,796 shares and sole dispositive power for 3,863,613 shares.</w:t>
      </w:r>
    </w:p>
    <w:p>
      <w:pPr>
        <w:spacing w:after="0" w:line="54" w:lineRule="exact"/>
        <w:rPr>
          <w:rFonts w:ascii="Times New Roman" w:cs="Times New Roman" w:eastAsia="Times New Roman" w:hAnsi="Times New Roman"/>
          <w:sz w:val="18"/>
          <w:szCs w:val="18"/>
          <w:color w:val="auto"/>
        </w:rPr>
      </w:pPr>
    </w:p>
    <w:p>
      <w:pPr>
        <w:jc w:val="both"/>
        <w:ind w:left="380" w:hanging="378"/>
        <w:spacing w:after="0" w:line="265"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63 to Schedule 13D dated January 12, 2023. Of these shares, 278,733 shares are held by Jewelcor Management, Inc. Mr. Holtzman is the chairman, chief executive officer and president and, together with his wife, indirectly, the majority shareholder of Jewelcor Management, Inc.</w:t>
      </w:r>
    </w:p>
    <w:p>
      <w:pPr>
        <w:spacing w:after="0" w:line="69" w:lineRule="exact"/>
        <w:rPr>
          <w:rFonts w:ascii="Times New Roman" w:cs="Times New Roman" w:eastAsia="Times New Roman" w:hAnsi="Times New Roman"/>
          <w:sz w:val="18"/>
          <w:szCs w:val="18"/>
          <w:color w:val="auto"/>
        </w:rPr>
      </w:pPr>
    </w:p>
    <w:p>
      <w:pPr>
        <w:ind w:left="380" w:hanging="378"/>
        <w:spacing w:after="0" w:line="281"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February 13, 2024. Of these shares, The Vanguard Group possesses shared dispositive power for 104,331 shares, sole dispositive power for 2,799,342 shares of common stock and shared voting power of 85,021 shares.</w:t>
      </w:r>
    </w:p>
    <w:p>
      <w:pPr>
        <w:spacing w:after="0" w:line="37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15, 2024,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80" w:type="dxa"/>
            <w:vAlign w:val="bottom"/>
          </w:tcPr>
          <w:p>
            <w:pPr>
              <w:spacing w:after="0"/>
              <w:rPr>
                <w:sz w:val="17"/>
                <w:szCs w:val="17"/>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25"/>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80" w:type="dxa"/>
            <w:vAlign w:val="bottom"/>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Lionel F. Conacher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323,739</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Chairman of the Board</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Harvey S. Kanter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1,249,285</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Peter H. Stratton, Jr.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504,673</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Anthony J. Gaeta</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359,292</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Stores and Real Estate Officer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Robert S. Molloy</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420,572</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Allison Surette</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297,586</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Merchandise Officer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Jack Boyle, Director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522,627</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Carmen R. Bauza, Director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44,088</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Willem Mesdag, Director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3,049,227</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Ivy Ross, Director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203,828</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Elaine K. Rubin, Director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94,763</w:t>
            </w: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 and executive officers as a group (15 persons)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7,523,156</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-2316480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9505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64"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380" w:right="140" w:hanging="372"/>
        <w:spacing w:after="0" w:line="250"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58,228,053 shares of our common stock outstanding as of May 15, 2024.</w:t>
      </w: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830,863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267,510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203,808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172,952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211,704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right="240" w:hanging="372"/>
        <w:spacing w:after="0" w:line="250"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455,469 shares of deferred stock receivable upon Mr. Mesdag’s separation from the Board.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w:t>
      </w: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1,971,067 shares subject to stock options exercisable within 60 days and 455,469 shares of deferred stock.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0"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information with respect to our equity compensation plans as of February 3, 2024:</w:t>
      </w:r>
    </w:p>
    <w:p>
      <w:pPr>
        <w:sectPr>
          <w:pgSz w:w="11900" w:h="16838" w:orient="portrait"/>
          <w:cols w:equalWidth="0" w:num="1">
            <w:col w:w="11240"/>
          </w:cols>
          <w:pgMar w:left="320" w:top="11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423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42335" cy="8255"/>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(1)</w:t>
      </w:r>
    </w:p>
    <w:p>
      <w:pPr>
        <w:ind w:left="20"/>
        <w:spacing w:after="0" w:line="230" w:lineRule="auto"/>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(3)</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8"/>
        </w:trPr>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70"/>
              <w:spacing w:after="0" w:line="149"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70"/>
              <w:spacing w:after="0" w:line="149"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48"/>
        </w:trPr>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70"/>
              <w:spacing w:after="0" w:line="149"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8"/>
        </w:trPr>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90"/>
              <w:spacing w:after="0" w:line="149" w:lineRule="exact"/>
              <w:rPr>
                <w:sz w:val="20"/>
                <w:szCs w:val="20"/>
                <w:color w:val="auto"/>
              </w:rPr>
            </w:pPr>
            <w:r>
              <w:rPr>
                <w:rFonts w:ascii="Times New Roman" w:cs="Times New Roman" w:eastAsia="Times New Roman" w:hAnsi="Times New Roman"/>
                <w:sz w:val="13"/>
                <w:szCs w:val="13"/>
                <w:b w:val="1"/>
                <w:bCs w:val="1"/>
                <w:color w:val="auto"/>
              </w:rPr>
              <w:t>options, warrants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48"/>
        </w:trPr>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90"/>
              <w:spacing w:after="0" w:line="149" w:lineRule="exact"/>
              <w:rPr>
                <w:sz w:val="20"/>
                <w:szCs w:val="20"/>
                <w:color w:val="auto"/>
              </w:rPr>
            </w:pPr>
            <w:r>
              <w:rPr>
                <w:rFonts w:ascii="Times New Roman" w:cs="Times New Roman" w:eastAsia="Times New Roman" w:hAnsi="Times New Roman"/>
                <w:sz w:val="13"/>
                <w:szCs w:val="13"/>
                <w:b w:val="1"/>
                <w:bCs w:val="1"/>
                <w:color w:val="auto"/>
              </w:rPr>
              <w:t>and rights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78"/>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370"/>
              <w:spacing w:after="0"/>
              <w:rPr>
                <w:sz w:val="20"/>
                <w:szCs w:val="20"/>
                <w:color w:val="auto"/>
              </w:rPr>
            </w:pPr>
            <w:r>
              <w:rPr>
                <w:rFonts w:ascii="Times New Roman" w:cs="Times New Roman" w:eastAsia="Times New Roman" w:hAnsi="Times New Roman"/>
                <w:sz w:val="13"/>
                <w:szCs w:val="13"/>
                <w:b w:val="1"/>
                <w:bCs w:val="1"/>
                <w:color w:val="auto"/>
              </w:rPr>
              <w:t>(b)</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205"/>
        </w:trPr>
        <w:tc>
          <w:tcPr>
            <w:tcW w:w="1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w:t>
            </w:r>
          </w:p>
        </w:tc>
        <w:tc>
          <w:tcPr>
            <w:tcW w:w="1740" w:type="dxa"/>
            <w:vAlign w:val="bottom"/>
            <w:tcBorders>
              <w:top w:val="single" w:sz="8" w:color="auto"/>
            </w:tcBorders>
          </w:tcPr>
          <w:p>
            <w:pPr>
              <w:spacing w:after="0"/>
              <w:rPr>
                <w:sz w:val="17"/>
                <w:szCs w:val="17"/>
                <w:color w:val="auto"/>
              </w:rPr>
            </w:pPr>
          </w:p>
        </w:tc>
      </w:tr>
      <w:tr>
        <w:trPr>
          <w:trHeight w:val="234"/>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4,693,583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0.75  )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2,177,876</w:t>
            </w:r>
          </w:p>
        </w:tc>
      </w:tr>
      <w:tr>
        <w:trPr>
          <w:trHeight w:val="25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634,534</w:t>
            </w:r>
          </w:p>
        </w:tc>
      </w:tr>
      <w:tr>
        <w:trPr>
          <w:trHeight w:val="238"/>
        </w:trPr>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4,725,592</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00" w:type="dxa"/>
            <w:vAlign w:val="bottom"/>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2,812,410</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-633095</wp:posOffset>
            </wp:positionV>
            <wp:extent cx="7132320" cy="290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-179070</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820" w:space="720"/>
            <w:col w:w="5700"/>
          </w:cols>
          <w:pgMar w:left="320" w:top="1196" w:right="339" w:bottom="1440" w:gutter="0" w:footer="0" w:header="0"/>
          <w:type w:val="continuous"/>
        </w:sectPr>
      </w:pPr>
    </w:p>
    <w:p>
      <w:pPr>
        <w:ind w:left="760" w:right="32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3,180,739 outstanding stock options, 504,276 outstanding RSUs, 573,000 outstanding PSUs and 435,568 outstanding deferred stock awards.</w:t>
      </w:r>
    </w:p>
    <w:p>
      <w:pPr>
        <w:spacing w:after="0" w:line="162" w:lineRule="exact"/>
        <w:rPr>
          <w:rFonts w:ascii="Times New Roman" w:cs="Times New Roman" w:eastAsia="Times New Roman" w:hAnsi="Times New Roman"/>
          <w:sz w:val="18"/>
          <w:szCs w:val="18"/>
          <w:color w:val="auto"/>
        </w:rPr>
      </w:pPr>
    </w:p>
    <w:p>
      <w:pPr>
        <w:ind w:left="760" w:right="38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solely based upon outstanding stock options and excludes RSUs, PSUs and deferred stock awards.</w:t>
      </w:r>
    </w:p>
    <w:p>
      <w:pPr>
        <w:spacing w:after="0" w:line="54" w:lineRule="exact"/>
        <w:rPr>
          <w:rFonts w:ascii="Times New Roman" w:cs="Times New Roman" w:eastAsia="Times New Roman" w:hAnsi="Times New Roman"/>
          <w:sz w:val="18"/>
          <w:szCs w:val="18"/>
          <w:color w:val="auto"/>
        </w:rPr>
      </w:pPr>
    </w:p>
    <w:p>
      <w:pPr>
        <w:ind w:left="760" w:right="360" w:hanging="378"/>
        <w:spacing w:after="0" w:line="26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Non-Employee Director Compensation Plan, we have 1,500,000 shares authorized for stock issuances in lieu of cash director fees, of which 634,534 shares were available at February 3, 2024. The 32,009 shares outstanding represent RSUs issued in connection with inducement awards that remain outstanding at February 3,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Pursuant to its charter, the Audit Committee reviews all related-party transactions on an ongoing basis and, to the extent required by the Sarbanes−Oxley Act of 2002, the SEC or Nasdaq, all such transactions must be approved by the Audit Committee except as otherwise delegated by the Audit Committee to another independent body of the Board.</w:t>
      </w:r>
    </w:p>
    <w:p>
      <w:pPr>
        <w:spacing w:after="0" w:line="6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There have been no related party transactions since January 29, 2023, in which the Company was a participant and in which any director or executive officer of the Company, any known 5% or greater stockholder of the Company or any immediate family member of any of the foregoing persons, had a direct or indirect material interest as defined in Item 404(a) of Regulation S-K. As permitted by SEC rules, discussion of employment relationships or transactions involving the Company’s executive officers and directors, and compensation solely resulting from such employment relationships or transactions, or service as a director of the Company, as the case may be, has been omitted to the extent disclosed in the Executive Compensation or the Director Compensation section of this Amendment, as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comprised of seven members, all of whom are independent, under the rules for Nasdaq, other than Mr. Kanter, the Company’s CEO.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engaged KPMG LLP to serve as our independent registered public accounting firm during the fiscal year ended February 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 has served as the Company’s independent registered public accounting firm since June 6, 2013.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February 3 2024 ("fiscal 2023") and January 28, 2023 ("fiscal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2022</w:t>
            </w:r>
          </w:p>
        </w:tc>
        <w:tc>
          <w:tcPr>
            <w:tcW w:w="100" w:type="dxa"/>
            <w:vAlign w:val="bottom"/>
          </w:tcPr>
          <w:p>
            <w:pPr>
              <w:spacing w:after="0"/>
              <w:rPr>
                <w:sz w:val="15"/>
                <w:szCs w:val="15"/>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4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1,025,678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100" w:type="dxa"/>
            <w:vAlign w:val="bottom"/>
            <w:shd w:val="clear" w:color="auto" w:fill="CFF0FC"/>
          </w:tcPr>
          <w:p>
            <w:pPr>
              <w:spacing w:after="0"/>
              <w:rPr>
                <w:sz w:val="20"/>
                <w:szCs w:val="20"/>
                <w:color w:val="auto"/>
              </w:rPr>
            </w:pPr>
          </w:p>
        </w:tc>
      </w:tr>
      <w:tr>
        <w:trPr>
          <w:trHeight w:val="24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 (2)</w:t>
            </w:r>
          </w:p>
        </w:tc>
        <w:tc>
          <w:tcPr>
            <w:tcW w:w="4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236,622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4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0"/>
                <w:szCs w:val="20"/>
                <w:color w:val="auto"/>
              </w:rPr>
            </w:pPr>
          </w:p>
        </w:tc>
      </w:tr>
      <w:tr>
        <w:trPr>
          <w:trHeight w:val="27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4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1,264,080</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1,156,780</w:t>
            </w:r>
          </w:p>
        </w:tc>
        <w:tc>
          <w:tcPr>
            <w:tcW w:w="100" w:type="dxa"/>
            <w:vAlign w:val="bottom"/>
            <w:shd w:val="clear" w:color="auto" w:fill="CFF0FC"/>
          </w:tcPr>
          <w:p>
            <w:pPr>
              <w:spacing w:after="0"/>
              <w:rPr>
                <w:sz w:val="24"/>
                <w:szCs w:val="24"/>
                <w:color w:val="auto"/>
              </w:rPr>
            </w:pPr>
          </w:p>
        </w:tc>
      </w:tr>
      <w:tr>
        <w:trPr>
          <w:trHeight w:val="416"/>
        </w:trPr>
        <w:tc>
          <w:tcPr>
            <w:tcW w:w="3480" w:type="dxa"/>
            <w:vAlign w:val="bottom"/>
            <w:tcBorders>
              <w:top w:val="single" w:sz="8" w:color="CFF0FC"/>
            </w:tcBorders>
          </w:tcPr>
          <w:p>
            <w:pPr>
              <w:spacing w:after="0"/>
              <w:rPr>
                <w:sz w:val="24"/>
                <w:szCs w:val="24"/>
                <w:color w:val="auto"/>
              </w:rPr>
            </w:pPr>
          </w:p>
        </w:tc>
        <w:tc>
          <w:tcPr>
            <w:tcW w:w="426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4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-795655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-778510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type w:val="continuous"/>
        </w:sectPr>
      </w:pPr>
    </w:p>
    <w:bookmarkStart w:id="36" w:name="page37"/>
    <w:bookmarkEnd w:id="36"/>
    <w:p>
      <w:pPr>
        <w:ind w:left="760" w:right="140" w:hanging="378"/>
        <w:spacing w:after="0" w:line="26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related to professional services rendered in connection with the audits of our financial statements included in our Annual Reports on Form 10-K and services performed related to compliance with Section 404 of the Sarbanes-Oxley Act of 2002, reviews of the financial statements included in each of our Quarterly Reports on Form 10-Q, and </w:t>
      </w:r>
      <w:r>
        <w:rPr>
          <w:rFonts w:ascii="Times New Roman" w:cs="Times New Roman" w:eastAsia="Times New Roman" w:hAnsi="Times New Roman"/>
          <w:sz w:val="18"/>
          <w:szCs w:val="18"/>
          <w:color w:val="212121"/>
        </w:rPr>
        <w:t>services normally provided by the independent auditor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with statutory and regulatory filings </w:t>
      </w:r>
      <w:r>
        <w:rPr>
          <w:rFonts w:ascii="Times New Roman" w:cs="Times New Roman" w:eastAsia="Times New Roman" w:hAnsi="Times New Roman"/>
          <w:sz w:val="18"/>
          <w:szCs w:val="18"/>
          <w:color w:val="252525"/>
        </w:rPr>
        <w:t>in both fiscal years.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professional services rendered in connection with income tax return preparation and compliance services.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8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All of the services provided in fiscal 2023 and fiscal 2022 under Audit Fees, Tax Fees and All Other Fees were pre-approved by the Audit Committee.</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15(a)(3) Exhibits</w:t>
      </w:r>
    </w:p>
    <w:p>
      <w:pPr>
        <w:spacing w:after="0" w:line="25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85" w:lineRule="exact"/>
        <w:rPr>
          <w:sz w:val="20"/>
          <w:szCs w:val="20"/>
          <w:color w:val="auto"/>
        </w:rPr>
      </w:pPr>
    </w:p>
    <w:p>
      <w:pPr>
        <w:ind w:left="420"/>
        <w:spacing w:after="0"/>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-7620</wp:posOffset>
            </wp:positionV>
            <wp:extent cx="5857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57240" cy="8255"/>
                    </a:xfrm>
                    <a:prstGeom prst="rect">
                      <a:avLst/>
                    </a:prstGeom>
                    <a:noFill/>
                  </pic:spPr>
                </pic:pic>
              </a:graphicData>
            </a:graphic>
          </wp:anchor>
        </w:drawing>
      </w:r>
    </w:p>
    <w:p>
      <w:pPr>
        <w:spacing w:after="0" w:line="124" w:lineRule="exact"/>
        <w:rPr>
          <w:sz w:val="20"/>
          <w:szCs w:val="20"/>
          <w:color w:val="auto"/>
        </w:rPr>
      </w:pPr>
    </w:p>
    <w:p>
      <w:pPr>
        <w:ind w:left="420"/>
        <w:spacing w:after="0"/>
        <w:tabs>
          <w:tab w:leader="none" w:pos="1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-7620</wp:posOffset>
            </wp:positionV>
            <wp:extent cx="58254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5490" cy="8255"/>
                    </a:xfrm>
                    <a:prstGeom prst="rect">
                      <a:avLst/>
                    </a:prstGeom>
                    <a:noFill/>
                  </pic:spPr>
                </pic:pic>
              </a:graphicData>
            </a:graphic>
          </wp:anchor>
        </w:drawing>
      </w:r>
    </w:p>
    <w:p>
      <w:pPr>
        <w:spacing w:after="0" w:line="110" w:lineRule="exact"/>
        <w:rPr>
          <w:sz w:val="20"/>
          <w:szCs w:val="20"/>
          <w:color w:val="auto"/>
        </w:rPr>
      </w:pPr>
    </w:p>
    <w:p>
      <w:pPr>
        <w:ind w:left="1100" w:hanging="633"/>
        <w:spacing w:after="0" w:line="184" w:lineRule="auto"/>
        <w:tabs>
          <w:tab w:leader="none" w:pos="110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980" w:right="9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3"/>
                <w:szCs w:val="13"/>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3"/>
                <w:szCs w:val="13"/>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tc>
      </w:tr>
      <w:tr>
        <w:trPr>
          <w:trHeight w:val="45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 2024</w:t>
            </w:r>
          </w:p>
        </w:tc>
        <w:tc>
          <w:tcPr>
            <w:tcW w:w="8000" w:type="dxa"/>
            <w:vAlign w:val="bottom"/>
            <w:gridSpan w:val="2"/>
          </w:tcPr>
          <w:p>
            <w:pPr>
              <w:ind w:left="3940"/>
              <w:spacing w:after="0"/>
              <w:rPr>
                <w:sz w:val="20"/>
                <w:szCs w:val="20"/>
                <w:color w:val="auto"/>
              </w:rPr>
            </w:pPr>
            <w:r>
              <w:rPr>
                <w:rFonts w:ascii="Times New Roman" w:cs="Times New Roman" w:eastAsia="Times New Roman" w:hAnsi="Times New Roman"/>
                <w:sz w:val="18"/>
                <w:szCs w:val="18"/>
                <w:color w:val="auto"/>
              </w:rPr>
              <w:t>By: /s/ HARVEY S. KANTER</w:t>
            </w:r>
          </w:p>
        </w:tc>
      </w:tr>
      <w:tr>
        <w:trPr>
          <w:trHeight w:val="211"/>
        </w:trPr>
        <w:tc>
          <w:tcPr>
            <w:tcW w:w="3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r>
      <w:tr>
        <w:trPr>
          <w:trHeight w:val="234"/>
        </w:trPr>
        <w:tc>
          <w:tcPr>
            <w:tcW w:w="3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65"/>
        </w:trPr>
        <w:tc>
          <w:tcPr>
            <w:tcW w:w="32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H. STRATTON, JR.</w:t>
            </w:r>
          </w:p>
        </w:tc>
      </w:tr>
      <w:tr>
        <w:trPr>
          <w:trHeight w:val="211"/>
        </w:trPr>
        <w:tc>
          <w:tcPr>
            <w:tcW w:w="3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r>
      <w:tr>
        <w:trPr>
          <w:trHeight w:val="216"/>
        </w:trPr>
        <w:tc>
          <w:tcPr>
            <w:tcW w:w="3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Treasurer</w:t>
            </w:r>
          </w:p>
        </w:tc>
      </w:tr>
      <w:tr>
        <w:trPr>
          <w:trHeight w:val="823"/>
        </w:trPr>
        <w:tc>
          <w:tcPr>
            <w:tcW w:w="3240" w:type="dxa"/>
            <w:vAlign w:val="bottom"/>
          </w:tcPr>
          <w:p>
            <w:pPr>
              <w:spacing w:after="0"/>
              <w:rPr>
                <w:sz w:val="24"/>
                <w:szCs w:val="24"/>
                <w:color w:val="auto"/>
              </w:rPr>
            </w:pPr>
          </w:p>
        </w:tc>
        <w:tc>
          <w:tcPr>
            <w:tcW w:w="42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39</w:t>
            </w:r>
          </w:p>
        </w:tc>
        <w:tc>
          <w:tcPr>
            <w:tcW w:w="3740" w:type="dxa"/>
            <w:vAlign w:val="bottom"/>
          </w:tcPr>
          <w:p>
            <w:pPr>
              <w:spacing w:after="0"/>
              <w:rPr>
                <w:sz w:val="24"/>
                <w:szCs w:val="24"/>
                <w:color w:val="auto"/>
              </w:rPr>
            </w:pPr>
          </w:p>
        </w:tc>
      </w:tr>
      <w:tr>
        <w:trPr>
          <w:trHeight w:val="762"/>
        </w:trPr>
        <w:tc>
          <w:tcPr>
            <w:tcW w:w="32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90"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70"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3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0" w:lineRule="exact"/>
        <w:rPr>
          <w:sz w:val="20"/>
          <w:szCs w:val="20"/>
          <w:color w:val="auto"/>
        </w:rPr>
      </w:pPr>
    </w:p>
    <w:p>
      <w:pPr>
        <w:ind w:left="20"/>
        <w:spacing w:after="0"/>
        <w:tabs>
          <w:tab w:leader="none" w:pos="580" w:val="left"/>
          <w:tab w:leader="none" w:pos="6780" w:val="left"/>
          <w:tab w:leader="none" w:pos="8400" w:val="left"/>
        </w:tabs>
        <w:rPr>
          <w:sz w:val="20"/>
          <w:szCs w:val="20"/>
          <w:color w:val="auto"/>
        </w:rPr>
      </w:pPr>
      <w:r>
        <w:rPr>
          <w:rFonts w:ascii="Times New Roman" w:cs="Times New Roman" w:eastAsia="Times New Roman" w:hAnsi="Times New Roman"/>
          <w:sz w:val="18"/>
          <w:szCs w:val="18"/>
          <w:color w:val="auto"/>
        </w:rPr>
        <w:t>Date:</w:t>
        <w:tab/>
        <w:t>June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26035</wp:posOffset>
            </wp:positionV>
            <wp:extent cx="26117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23"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27"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90"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70"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3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0" w:lineRule="exact"/>
        <w:rPr>
          <w:sz w:val="20"/>
          <w:szCs w:val="20"/>
          <w:color w:val="auto"/>
        </w:rPr>
      </w:pPr>
    </w:p>
    <w:p>
      <w:pPr>
        <w:ind w:left="20"/>
        <w:spacing w:after="0"/>
        <w:tabs>
          <w:tab w:leader="none" w:pos="620" w:val="left"/>
          <w:tab w:leader="none" w:pos="6780" w:val="left"/>
          <w:tab w:leader="none" w:pos="8300" w:val="left"/>
        </w:tabs>
        <w:rPr>
          <w:sz w:val="20"/>
          <w:szCs w:val="20"/>
          <w:color w:val="auto"/>
        </w:rPr>
      </w:pPr>
      <w:r>
        <w:rPr>
          <w:rFonts w:ascii="Times New Roman" w:cs="Times New Roman" w:eastAsia="Times New Roman" w:hAnsi="Times New Roman"/>
          <w:sz w:val="18"/>
          <w:szCs w:val="18"/>
          <w:color w:val="auto"/>
        </w:rPr>
        <w:t>Date:</w:t>
        <w:tab/>
        <w:t>June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26035</wp:posOffset>
            </wp:positionV>
            <wp:extent cx="2611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23"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27"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3"/>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2"/>
    </w:lvl>
  </w:abstractNum>
  <w:abstractNum w:abstractNumId="21">
    <w:nsid w:val="6CEAF087"/>
    <w:multiLevelType w:val="hybridMultilevel"/>
    <w:lvl w:ilvl="0">
      <w:lvlJc w:val="left"/>
      <w:lvlText w:val="(%1)"/>
      <w:numFmt w:val="decimal"/>
      <w:start w:val="4"/>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lowerRoman"/>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4"/>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3"/>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2"/>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04"/>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2024-06-03T14:36:46Z</dcterms:created>
  <dcterms:modified xsi:type="dcterms:W3CDTF">2024-06-03T14:36:46Z</dcterms:modified>
</cp:coreProperties>
</file>