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xlg-20260801.htm"/>
      <w:bookmarkStart w:id="1" w:name="ksdxlg20260801"/>
      <w:bookmarkEnd w:id="0"/>
      <w:bookmarkEnd w:id="1"/>
      <w:r>
        <w:rPr/>
        <w:t> </w:t>
      </w:r>
    </w:p>
    <w:p>
      <w:pPr>
        <w:pStyle w:val="TextBody"/>
        <w:pBdr>
          <w:bottom w:val="double" w:sz="6" w:space="1" w:color="000000"/>
        </w:pBdr>
        <w:bidi w:val="0"/>
        <w:jc w:val="left"/>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12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12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560"/>
        <w:gridCol w:w="9645"/>
      </w:tblGrid>
      <w:tr>
        <w:trPr/>
        <w:tc>
          <w:tcPr>
            <w:tcW w:w="560" w:type="dxa"/>
            <w:tcBorders/>
            <w:vAlign w:val="center"/>
          </w:tcPr>
          <w:p>
            <w:pPr>
              <w:pStyle w:val="TableContents"/>
              <w:bidi w:val="0"/>
              <w:spacing w:before="0" w:after="283"/>
              <w:jc w:val="left"/>
              <w:rPr>
                <w:sz w:val="4"/>
                <w:szCs w:val="4"/>
              </w:rPr>
            </w:pPr>
            <w:r>
              <w:rPr>
                <w:sz w:val="4"/>
                <w:szCs w:val="4"/>
              </w:rPr>
            </w:r>
          </w:p>
        </w:tc>
        <w:tc>
          <w:tcPr>
            <w:tcW w:w="9645" w:type="dxa"/>
            <w:tcBorders/>
            <w:vAlign w:val="center"/>
          </w:tcPr>
          <w:p>
            <w:pPr>
              <w:pStyle w:val="TableContents"/>
              <w:bidi w:val="0"/>
              <w:spacing w:before="0" w:after="283"/>
              <w:jc w:val="left"/>
              <w:rPr>
                <w:sz w:val="4"/>
                <w:szCs w:val="4"/>
              </w:rPr>
            </w:pPr>
            <w:r>
              <w:rPr>
                <w:sz w:val="4"/>
                <w:szCs w:val="4"/>
              </w:rPr>
            </w:r>
          </w:p>
        </w:tc>
      </w:tr>
      <w:tr>
        <w:trPr/>
        <w:tc>
          <w:tcPr>
            <w:tcW w:w="560" w:type="dxa"/>
            <w:tcBorders/>
            <w:tcMar>
              <w:top w:w="0" w:type="dxa"/>
              <w:left w:w="0" w:type="dxa"/>
              <w:bottom w:w="0" w:type="dxa"/>
              <w:right w:w="0" w:type="dxa"/>
            </w:tcMar>
            <w:vAlign w:val="center"/>
          </w:tcPr>
          <w:p>
            <w:pPr>
              <w:pStyle w:val="TableContents"/>
              <w:bidi w:val="0"/>
              <w:spacing w:before="0" w:after="283"/>
              <w:ind w:left="0" w:right="0" w:firstLine="229"/>
              <w:jc w:val="left"/>
              <w:rPr>
                <w:color w:val="000000"/>
              </w:rPr>
            </w:pPr>
            <w:r>
              <w:rPr>
                <w:color w:val="000000"/>
              </w:rPr>
              <w:t>☒</w:t>
            </w:r>
          </w:p>
        </w:tc>
        <w:tc>
          <w:tcPr>
            <w:tcW w:w="9645" w:type="dxa"/>
            <w:tcBorders/>
            <w:tcMar>
              <w:top w:w="0" w:type="dxa"/>
              <w:left w:w="0" w:type="dxa"/>
              <w:bottom w:w="0" w:type="dxa"/>
              <w:right w:w="0" w:type="dxa"/>
            </w:tcMar>
            <w:vAlign w:val="center"/>
          </w:tcPr>
          <w:p>
            <w:pPr>
              <w:pStyle w:val="TableContents"/>
              <w:bidi w:val="0"/>
              <w:spacing w:before="0" w:after="283"/>
              <w:ind w:left="0" w:right="0" w:firstLine="229"/>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August 1, 2026</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560"/>
        <w:gridCol w:w="9645"/>
      </w:tblGrid>
      <w:tr>
        <w:trPr/>
        <w:tc>
          <w:tcPr>
            <w:tcW w:w="560" w:type="dxa"/>
            <w:tcBorders/>
            <w:vAlign w:val="center"/>
          </w:tcPr>
          <w:p>
            <w:pPr>
              <w:pStyle w:val="TableContents"/>
              <w:bidi w:val="0"/>
              <w:spacing w:before="0" w:after="283"/>
              <w:jc w:val="left"/>
              <w:rPr>
                <w:sz w:val="4"/>
                <w:szCs w:val="4"/>
              </w:rPr>
            </w:pPr>
            <w:r>
              <w:rPr>
                <w:sz w:val="4"/>
                <w:szCs w:val="4"/>
              </w:rPr>
            </w:r>
          </w:p>
        </w:tc>
        <w:tc>
          <w:tcPr>
            <w:tcW w:w="9645" w:type="dxa"/>
            <w:tcBorders/>
            <w:vAlign w:val="center"/>
          </w:tcPr>
          <w:p>
            <w:pPr>
              <w:pStyle w:val="TableContents"/>
              <w:bidi w:val="0"/>
              <w:spacing w:before="0" w:after="283"/>
              <w:jc w:val="left"/>
              <w:rPr>
                <w:sz w:val="4"/>
                <w:szCs w:val="4"/>
              </w:rPr>
            </w:pPr>
            <w:r>
              <w:rPr>
                <w:sz w:val="4"/>
                <w:szCs w:val="4"/>
              </w:rPr>
            </w:r>
          </w:p>
        </w:tc>
      </w:tr>
      <w:tr>
        <w:trPr/>
        <w:tc>
          <w:tcPr>
            <w:tcW w:w="560" w:type="dxa"/>
            <w:tcBorders/>
            <w:tcMar>
              <w:top w:w="0" w:type="dxa"/>
              <w:left w:w="0" w:type="dxa"/>
              <w:bottom w:w="0" w:type="dxa"/>
              <w:right w:w="0" w:type="dxa"/>
            </w:tcMar>
            <w:vAlign w:val="center"/>
          </w:tcPr>
          <w:p>
            <w:pPr>
              <w:pStyle w:val="TableContents"/>
              <w:bidi w:val="0"/>
              <w:spacing w:before="0" w:after="283"/>
              <w:ind w:left="0" w:right="0" w:firstLine="229"/>
              <w:jc w:val="left"/>
              <w:rPr>
                <w:color w:val="000000"/>
              </w:rPr>
            </w:pPr>
            <w:r>
              <w:rPr>
                <w:color w:val="000000"/>
              </w:rPr>
              <w:t>☐</w:t>
            </w:r>
          </w:p>
        </w:tc>
        <w:tc>
          <w:tcPr>
            <w:tcW w:w="9645" w:type="dxa"/>
            <w:tcBorders/>
            <w:tcMar>
              <w:top w:w="0" w:type="dxa"/>
              <w:left w:w="0" w:type="dxa"/>
              <w:bottom w:w="0" w:type="dxa"/>
              <w:right w:w="0" w:type="dxa"/>
            </w:tcMar>
            <w:vAlign w:val="center"/>
          </w:tcPr>
          <w:p>
            <w:pPr>
              <w:pStyle w:val="TableContents"/>
              <w:bidi w:val="0"/>
              <w:spacing w:before="0" w:after="283"/>
              <w:ind w:left="0" w:right="0" w:firstLine="229"/>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001-34219</w:t>
      </w:r>
    </w:p>
    <w:p>
      <w:pPr>
        <w:pStyle w:val="TextBody"/>
        <w:pBdr>
          <w:bottom w:val="single" w:sz="4" w:space="1" w:color="000000"/>
        </w:pBdr>
        <w:bidi w:val="0"/>
        <w:spacing w:before="120" w:after="120"/>
        <w:jc w:val="center"/>
        <w:rPr/>
      </w:pPr>
      <w:r>
        <w:rPr/>
        <w:t> </w:t>
      </w:r>
    </w:p>
    <w:p>
      <w:pPr>
        <w:pStyle w:val="TextBody"/>
        <w:bidi w:val="0"/>
        <w:spacing w:before="120" w:after="283"/>
        <w:jc w:val="center"/>
        <w:rPr>
          <w:rFonts w:ascii="Times New Roman" w:hAnsi="Times New Roman"/>
          <w:sz w:val="48"/>
        </w:rPr>
      </w:pPr>
      <w:r>
        <w:rPr>
          <w:rFonts w:ascii="Times New Roman" w:hAnsi="Times New Roman"/>
          <w:b/>
          <w:color w:val="000000"/>
          <w:sz w:val="48"/>
        </w:rPr>
        <w:t>DESTINATION XL GROUP, INC.</w:t>
      </w:r>
      <w:r>
        <w:rPr>
          <w:rFonts w:ascii="Times New Roman" w:hAnsi="Times New Roman"/>
          <w:color w:val="000000"/>
          <w:sz w:val="48"/>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120" w:after="12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04-2623104</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555 Turnpike Street</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Canton, MA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02021</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(781) 828-9300</w:t>
      </w:r>
    </w:p>
    <w:p>
      <w:pPr>
        <w:pStyle w:val="TextBody"/>
        <w:pBdr>
          <w:bottom w:val="single" w:sz="4" w:space="1" w:color="000000"/>
        </w:pBdr>
        <w:bidi w:val="0"/>
        <w:spacing w:before="120" w:after="12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 xml:space="preserve">Securities registered pursuant to Section 12(b) of the Act: </w:t>
      </w:r>
    </w:p>
    <w:tbl>
      <w:tblPr>
        <w:tblW w:w="7428" w:type="dxa"/>
        <w:jc w:val="left"/>
        <w:tblInd w:w="0" w:type="dxa"/>
        <w:tblLayout w:type="fixed"/>
        <w:tblCellMar>
          <w:top w:w="28" w:type="dxa"/>
          <w:left w:w="28" w:type="dxa"/>
          <w:bottom w:w="28" w:type="dxa"/>
          <w:right w:w="28" w:type="dxa"/>
        </w:tblCellMar>
      </w:tblPr>
      <w:tblGrid>
        <w:gridCol w:w="2731"/>
        <w:gridCol w:w="1426"/>
        <w:gridCol w:w="3271"/>
      </w:tblGrid>
      <w:tr>
        <w:trPr/>
        <w:tc>
          <w:tcPr>
            <w:tcW w:w="273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27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Title of each class</w:t>
            </w:r>
          </w:p>
        </w:tc>
        <w:tc>
          <w:tcPr>
            <w:tcW w:w="14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Trading symbol(s)</w:t>
            </w:r>
          </w:p>
        </w:tc>
        <w:tc>
          <w:tcPr>
            <w:tcW w:w="32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283"/>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27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4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DXLG</w:t>
            </w:r>
          </w:p>
        </w:tc>
        <w:tc>
          <w:tcPr>
            <w:tcW w:w="32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The Nasdaq Stock Market LLC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shell company (as defined in Rule 12b-2 of the Exchange Act). Yes ☐ No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As of September 3, 2026, the registrant had 55,453,550 shares of common stock, $0.01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 FINANCIAL INFORMATION</w:t>
      </w:r>
    </w:p>
    <w:p>
      <w:pPr>
        <w:pStyle w:val="TextBody"/>
        <w:bidi w:val="0"/>
        <w:jc w:val="left"/>
        <w:rPr>
          <w:rFonts w:ascii="Times New Roman" w:hAnsi="Times New Roman"/>
          <w:sz w:val="20"/>
        </w:rPr>
      </w:pPr>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DESTINATION XL GROUP, INC. </w:t>
      </w:r>
    </w:p>
    <w:p>
      <w:pPr>
        <w:pStyle w:val="TextBody"/>
        <w:bidi w:val="0"/>
        <w:jc w:val="center"/>
        <w:rPr>
          <w:rFonts w:ascii="Times New Roman" w:hAnsi="Times New Roman"/>
          <w:color w:val="000000"/>
          <w:sz w:val="20"/>
        </w:rPr>
      </w:pPr>
      <w:r>
        <w:rPr>
          <w:rFonts w:ascii="Times New Roman" w:hAnsi="Times New Roman"/>
          <w:color w:val="000000"/>
          <w:sz w:val="20"/>
        </w:rPr>
        <w:t xml:space="preserve">CONSOLIDATED BALANCE SHEETS </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data)</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81"/>
        <w:gridCol w:w="146"/>
        <w:gridCol w:w="222"/>
        <w:gridCol w:w="886"/>
        <w:gridCol w:w="166"/>
        <w:gridCol w:w="146"/>
        <w:gridCol w:w="233"/>
        <w:gridCol w:w="932"/>
        <w:gridCol w:w="793"/>
      </w:tblGrid>
      <w:tr>
        <w:trPr/>
        <w:tc>
          <w:tcPr>
            <w:tcW w:w="6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January 31, 2026</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6,747</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110,966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 of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194,068</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 net of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366,947</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22,941</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85,450</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173,346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173,403</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$0.01 par value, 1,000,000 shares authorized, none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$0.01 par value, 125,000,000 shares authorized, 81,181,625 and 80,564,948 shares issued at August 1, 2026 and January 31, 2026,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331,028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25,908,533 shares at August 1, 2026 and January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(143,985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(79,755</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108,094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366,947</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DESTINATION XL GROUP, INC. </w:t>
      </w:r>
    </w:p>
    <w:p>
      <w:pPr>
        <w:pStyle w:val="TextBody"/>
        <w:bidi w:val="0"/>
        <w:jc w:val="center"/>
        <w:rPr>
          <w:rFonts w:ascii="Times New Roman" w:hAnsi="Times New Roman"/>
          <w:color w:val="000000"/>
          <w:sz w:val="20"/>
        </w:rPr>
      </w:pPr>
      <w:r>
        <w:rPr>
          <w:rFonts w:ascii="Times New Roman" w:hAnsi="Times New Roman"/>
          <w:color w:val="000000"/>
          <w:sz w:val="20"/>
        </w:rPr>
        <w:t xml:space="preserve">CONSOLIDATED STATEMENTS OF OPERATIONS </w:t>
      </w:r>
    </w:p>
    <w:p>
      <w:pPr>
        <w:pStyle w:val="TextBody"/>
        <w:bidi w:val="0"/>
        <w:jc w:val="center"/>
        <w:rPr>
          <w:rFonts w:ascii="Times New Roman" w:hAnsi="Times New Roman"/>
          <w:sz w:val="20"/>
        </w:rPr>
      </w:pPr>
      <w:r>
        <w:rPr>
          <w:rFonts w:ascii="Times New Roman" w:hAnsi="Times New Roman"/>
          <w:i/>
          <w:color w:val="000000"/>
          <w:sz w:val="20"/>
        </w:rPr>
        <w:t>(In thousands, except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010"/>
        <w:gridCol w:w="146"/>
        <w:gridCol w:w="240"/>
        <w:gridCol w:w="889"/>
        <w:gridCol w:w="166"/>
        <w:gridCol w:w="146"/>
        <w:gridCol w:w="240"/>
        <w:gridCol w:w="889"/>
        <w:gridCol w:w="166"/>
        <w:gridCol w:w="146"/>
        <w:gridCol w:w="240"/>
        <w:gridCol w:w="889"/>
        <w:gridCol w:w="166"/>
        <w:gridCol w:w="146"/>
        <w:gridCol w:w="240"/>
        <w:gridCol w:w="889"/>
        <w:gridCol w:w="597"/>
      </w:tblGrid>
      <w:tr>
        <w:trPr/>
        <w:tc>
          <w:tcPr>
            <w:tcW w:w="4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2025)</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gridSpan w:val="14"/>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221,038</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 including occupancy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121,273</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99,765</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94,886</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7,512</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102,559</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1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53,708</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01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53,708</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are an integral part of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DESTINATION XL GROUP, INC. </w:t>
      </w:r>
    </w:p>
    <w:p>
      <w:pPr>
        <w:pStyle w:val="TextBody"/>
        <w:bidi w:val="0"/>
        <w:jc w:val="center"/>
        <w:rPr>
          <w:rFonts w:ascii="Times New Roman" w:hAnsi="Times New Roman"/>
          <w:color w:val="000000"/>
          <w:sz w:val="20"/>
        </w:rPr>
      </w:pPr>
      <w:r>
        <w:rPr>
          <w:rFonts w:ascii="Times New Roman" w:hAnsi="Times New Roman"/>
          <w:color w:val="000000"/>
          <w:sz w:val="20"/>
        </w:rPr>
        <w:t>CONSOLIDATED STATEMENTS OF CHANGES IN STOCKHOLDERS’ EQUITY</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13"/>
        <w:gridCol w:w="146"/>
        <w:gridCol w:w="146"/>
        <w:gridCol w:w="601"/>
        <w:gridCol w:w="166"/>
        <w:gridCol w:w="146"/>
        <w:gridCol w:w="216"/>
        <w:gridCol w:w="415"/>
        <w:gridCol w:w="166"/>
        <w:gridCol w:w="146"/>
        <w:gridCol w:w="196"/>
        <w:gridCol w:w="691"/>
        <w:gridCol w:w="166"/>
        <w:gridCol w:w="146"/>
        <w:gridCol w:w="146"/>
        <w:gridCol w:w="661"/>
        <w:gridCol w:w="166"/>
        <w:gridCol w:w="146"/>
        <w:gridCol w:w="196"/>
        <w:gridCol w:w="751"/>
        <w:gridCol w:w="166"/>
        <w:gridCol w:w="146"/>
        <w:gridCol w:w="196"/>
        <w:gridCol w:w="661"/>
        <w:gridCol w:w="166"/>
        <w:gridCol w:w="146"/>
        <w:gridCol w:w="196"/>
        <w:gridCol w:w="691"/>
        <w:gridCol w:w="311"/>
      </w:tblGrid>
      <w:tr>
        <w:trPr/>
        <w:tc>
          <w:tcPr>
            <w:tcW w:w="2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Common 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Treasury 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January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108,094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Board of directors'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 upon RSUs release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withheld for taxes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May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102,570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Board of directors'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 compensation expense (forfeitures)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1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August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104,535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are an integral part of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DESTINATION XL GROUP, INC. </w:t>
      </w:r>
    </w:p>
    <w:p>
      <w:pPr>
        <w:pStyle w:val="TextBody"/>
        <w:bidi w:val="0"/>
        <w:jc w:val="center"/>
        <w:rPr>
          <w:rFonts w:ascii="Times New Roman" w:hAnsi="Times New Roman"/>
          <w:color w:val="000000"/>
          <w:sz w:val="20"/>
        </w:rPr>
      </w:pPr>
      <w:r>
        <w:rPr>
          <w:rFonts w:ascii="Times New Roman" w:hAnsi="Times New Roman"/>
          <w:color w:val="000000"/>
          <w:sz w:val="20"/>
        </w:rPr>
        <w:t xml:space="preserve">CONSOLIDATED STATEMENTS OF CHANGES IN STOCKHOLDERS’ EQUITY </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33"/>
        <w:gridCol w:w="146"/>
        <w:gridCol w:w="146"/>
        <w:gridCol w:w="601"/>
        <w:gridCol w:w="166"/>
        <w:gridCol w:w="146"/>
        <w:gridCol w:w="216"/>
        <w:gridCol w:w="415"/>
        <w:gridCol w:w="146"/>
        <w:gridCol w:w="146"/>
        <w:gridCol w:w="196"/>
        <w:gridCol w:w="691"/>
        <w:gridCol w:w="166"/>
        <w:gridCol w:w="146"/>
        <w:gridCol w:w="146"/>
        <w:gridCol w:w="661"/>
        <w:gridCol w:w="166"/>
        <w:gridCol w:w="146"/>
        <w:gridCol w:w="196"/>
        <w:gridCol w:w="751"/>
        <w:gridCol w:w="166"/>
        <w:gridCol w:w="146"/>
        <w:gridCol w:w="196"/>
        <w:gridCol w:w="661"/>
        <w:gridCol w:w="166"/>
        <w:gridCol w:w="146"/>
        <w:gridCol w:w="196"/>
        <w:gridCol w:w="691"/>
        <w:gridCol w:w="311"/>
      </w:tblGrid>
      <w:tr>
        <w:trPr/>
        <w:tc>
          <w:tcPr>
            <w:tcW w:w="2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Treasury 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Amounts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141,223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Board of directors'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 xml:space="preserve">Restricted stock units (RSUs) granted for achievement of performance-based </w:t>
              <w:br/>
              <w:t>compensation, reclassified from liability to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 upon RSUs release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withheld for taxes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May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140,709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Board of directors'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 upon RSUs release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August 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140,928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are an integral part of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DESTINATION XL GROUP, INC. </w:t>
      </w:r>
    </w:p>
    <w:p>
      <w:pPr>
        <w:pStyle w:val="TextBody"/>
        <w:bidi w:val="0"/>
        <w:jc w:val="center"/>
        <w:rPr>
          <w:rFonts w:ascii="Times New Roman" w:hAnsi="Times New Roman"/>
          <w:color w:val="000000"/>
          <w:sz w:val="20"/>
        </w:rPr>
      </w:pPr>
      <w:r>
        <w:rPr>
          <w:rFonts w:ascii="Times New Roman" w:hAnsi="Times New Roman"/>
          <w:color w:val="000000"/>
          <w:sz w:val="20"/>
        </w:rPr>
        <w:t xml:space="preserve">CONSOLIDATED STATEMENTS OF CASH FLOWS </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9955" w:type="dxa"/>
        <w:jc w:val="left"/>
        <w:tblInd w:w="0" w:type="dxa"/>
        <w:tblLayout w:type="fixed"/>
        <w:tblCellMar>
          <w:top w:w="28" w:type="dxa"/>
          <w:left w:w="28" w:type="dxa"/>
          <w:bottom w:w="28" w:type="dxa"/>
          <w:right w:w="28" w:type="dxa"/>
        </w:tblCellMar>
      </w:tblPr>
      <w:tblGrid>
        <w:gridCol w:w="6516"/>
        <w:gridCol w:w="146"/>
        <w:gridCol w:w="291"/>
        <w:gridCol w:w="894"/>
        <w:gridCol w:w="166"/>
        <w:gridCol w:w="146"/>
        <w:gridCol w:w="271"/>
        <w:gridCol w:w="914"/>
        <w:gridCol w:w="611"/>
      </w:tblGrid>
      <w:tr>
        <w:trPr/>
        <w:tc>
          <w:tcPr>
            <w:tcW w:w="6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(Fiscal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to net cash provided by (used for)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and writeoff of deferred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taxes, net of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 compensation expense,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Board of directors' 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used for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Additions to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Maturity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provided by (used for)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Excise taxes paid on 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Tax withholdings paid related to net share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used for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14,015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paid (refunded) during the period for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paid during the period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Non-cash activity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 expenditures incurred but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are an integral part of the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DESTINATION XL GROUP, INC.</w:t>
      </w:r>
    </w:p>
    <w:p>
      <w:pPr>
        <w:pStyle w:val="TextBody"/>
        <w:bidi w:val="0"/>
        <w:spacing w:before="120" w:after="283"/>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120" w:after="283"/>
        <w:jc w:val="center"/>
        <w:rPr/>
      </w:pPr>
      <w:r>
        <w:rPr/>
        <w:t> </w:t>
      </w:r>
    </w:p>
    <w:p>
      <w:pPr>
        <w:pStyle w:val="TextBody"/>
        <w:bidi w:val="0"/>
        <w:jc w:val="left"/>
        <w:rPr>
          <w:rFonts w:ascii="Times New Roman" w:hAnsi="Times New Roman"/>
          <w:sz w:val="20"/>
        </w:rPr>
      </w:pPr>
      <w:r>
        <w:rPr>
          <w:rFonts w:ascii="Times New Roman" w:hAnsi="Times New Roman"/>
          <w:b/>
          <w:color w:val="000000"/>
          <w:sz w:val="20"/>
        </w:rPr>
        <w:t>1. 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31, 2026 included in the Company’s Annual Report on Form 10-K, which was filed with the U.S. Securities and Exchange Commission (the “SEC”) on March 19,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fiscal year is a 52- or 53- week period ending on the Saturday closest to January 31. Fiscal 2026 and fiscal 2025 are both 52-week periods ending on January 30, 2027 and January 31, 2026,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Reclassifications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comparability with the presentation of current periods, certain costs in the Consolidated Statements of Operations for the three and six months ended August 2, 2025 were reclassified from selling, general and administrative expenses to transaction-related costs.</w:t>
      </w:r>
    </w:p>
    <w:p>
      <w:pPr>
        <w:pStyle w:val="TextBody"/>
        <w:bidi w:val="0"/>
        <w:spacing w:before="240" w:after="283"/>
        <w:jc w:val="both"/>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has two operating segments: its stores and its direct business. The Company considers its stores and direct business operating segments to be similar in terms of economic characteristics, production processes and operations, and has therefore aggregated them into one reportable segment consistent with its integrated commerce business approach. See Note 11, </w:t>
      </w:r>
      <w:r>
        <w:rPr>
          <w:rFonts w:ascii="Times New Roman" w:hAnsi="Times New Roman"/>
          <w:i/>
          <w:color w:val="000000"/>
          <w:sz w:val="20"/>
        </w:rPr>
        <w:t>Segment Disclosures.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consist of cash in banks and short-term investments, which have a maturity of 90 days or less when acquired. Included in cash equivalents are credit card and debit card receivables from banks, which generally settle within two to four business days.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Short-term investments consist of those investments that have a maturity date, when acquired, that is greater than three months and twelve months or less. </w:t>
      </w:r>
      <w:r>
        <w:rPr>
          <w:rFonts w:ascii="Times New Roman" w:hAnsi="Times New Roman"/>
          <w:color w:val="212121"/>
          <w:sz w:val="20"/>
        </w:rPr>
        <w:t xml:space="preserve">These investments are classified as held-to-maturity and are carried at amortized cost, which approximates fair value due to the short period between purchase and maturity.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include amounts due from third party financial institutions, which from time to time, may be in excess of the Federal Deposit Insurance Corporation (“FDIC”) insurance limits. The Company is potentially exposed to a concentration of credit risk when cash and cash equivalent deposits in these financial institutions are in excess of FDIC insurance limits. The Company considers the credit risk associated with these financial instruments to be minimal as cash and cash equivalents are held by financial institutions with high credit ratings and it has not historically sustained any credit losses associated with its cash and cash equivalents balances. In addition, the Company's cash and cash equivalents include money market accounts with Citizens Bank, N.A. and investments in U.S. government-backed securities held with Fidelity Investments.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ASC Topic 825, </w:t>
      </w:r>
      <w:r>
        <w:rPr>
          <w:rFonts w:ascii="Times New Roman" w:hAnsi="Times New Roman"/>
          <w:i/>
          <w:color w:val="000000"/>
          <w:sz w:val="20"/>
        </w:rPr>
        <w:t>Financial Instruments</w:t>
      </w:r>
      <w:r>
        <w:rPr>
          <w:rFonts w:ascii="Times New Roman" w:hAnsi="Times New Roman"/>
          <w:color w:val="000000"/>
          <w:sz w:val="20"/>
        </w:rPr>
        <w:t xml:space="preserve">, requires disclosure of the fair value of certain financial instruments. ASC Topic 820, </w:t>
      </w:r>
      <w:r>
        <w:rPr>
          <w:rFonts w:ascii="Times New Roman" w:hAnsi="Times New Roman"/>
          <w:i/>
          <w:color w:val="000000"/>
          <w:sz w:val="20"/>
        </w:rPr>
        <w:t>Fair Value Measurements and Disclosures</w:t>
      </w:r>
      <w:r>
        <w:rPr>
          <w:rFonts w:ascii="Times New Roman" w:hAnsi="Times New Roman"/>
          <w:color w:val="000000"/>
          <w:sz w:val="20"/>
        </w:rPr>
        <w:t xml:space="preserve">, defines fair value, establishes a framework for measuring fair value and enhances disclosures about fair value measurements.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 Quoted prices in active markets for identical assets or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and that are significant to the fair value of assets or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utilizes observable market inputs (quoted market prices) when measuring fair value whenever possible.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carrying amounts of cash and cash equivalents, accounts receivable, accounts payable and accrued expenses approximate fair value because of the short maturity of these instruments. See Note 9, </w:t>
      </w:r>
      <w:r>
        <w:rPr>
          <w:rFonts w:ascii="Times New Roman" w:hAnsi="Times New Roman"/>
          <w:i/>
          <w:color w:val="000000"/>
          <w:sz w:val="20"/>
        </w:rPr>
        <w:t xml:space="preserve">Fair Value Measurement </w:t>
      </w:r>
      <w:r>
        <w:rPr>
          <w:rFonts w:ascii="Times New Roman" w:hAnsi="Times New Roman"/>
          <w:color w:val="000000"/>
          <w:sz w:val="20"/>
        </w:rPr>
        <w:t xml:space="preserve">for information regarding the fair value of certain financial assets. </w:t>
      </w:r>
    </w:p>
    <w:p>
      <w:pPr>
        <w:pStyle w:val="TextBody"/>
        <w:bidi w:val="0"/>
        <w:spacing w:before="240" w:after="283"/>
        <w:jc w:val="both"/>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judgment. Actual results and future changes in estimates may differ from the Company’s current estimates.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grants of stock options in the first six months of fiscal 2026 and fiscal 2025.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the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excluding rental payments related to the respective store’s operating lease right-of-use (“ROU”) asset. If the first step of the long-lived asset impairment test concludes that the carrying amount of the asset group, which includes any ROU asset, is not recoverable, the Company performs the second step of the long-lived asset impairment test by comparing the fair value of the asset group to its carrying amount and recognizing an impairment charge for the amount by which the carrying amount exceeds the fair value. The amount of impairment, if any, is measured based on projected discounted future cash flows using a discount rate reflecting the Company’s average cost of funds and is limited to the amount by which the asset group’s carrying value exceeds the fair value of its individual assets. The fair value of ROU assets is estimated using an income approach based on management’s forecast of future cash flows that could be derived based on the sublease market rent. With respect to the impairment charges taken on operating lease ROU assets, if the Company subsequently makes a decision to close previously impaired stores and a gain is realized as a result of the reevaluation of the existing lease liabilities, to the extent the gain related to previously recorded impairment charges against the ROU assets, the gain will be included as an offset to asset impairment charges originally recorded on that ROU asset, with the remainder included as a reduction in store occupancy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impairments or non-cash gains recognized in the first six months of fiscal 2026 and fiscal 2025.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Advertising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expenses in-store advertising costs as incurred. Creative production costs, if any, are expensed in the period in which the advertising is first aired, and media costs are expensed as incurred. Direct response advertising costs, if any, are expensed in the period in which the mailing occurs. Advertising expense, which is included in selling, general and administrative expenses, was $6.8 million and $7.0 million for the second quarter of fiscal 2026 and fiscal 2025, respectively, and $13.5 million and $13.5 million for the first six months of fiscal 2026 and fiscal 2025, respectively.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determines if an arrangement contains a lease at the inception of a contract. ROU assets represent the Company’s right to use an underlying asset for the lease term and lease liabilities represent the Company’s obligation to make lease payments arising from the lease. ROU assets and lease liabilities are recognized at the commencement date based on the present value of the remaining future minimum lease payments; initial direct costs and any lease incentives are included in the value of those ROU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Topic 842, </w:t>
      </w:r>
      <w:r>
        <w:rPr>
          <w:rFonts w:ascii="Times New Roman" w:hAnsi="Times New Roman"/>
          <w:i/>
          <w:color w:val="000000"/>
          <w:sz w:val="20"/>
        </w:rPr>
        <w:t>Lessors – Certain Leases with Variable Lease Payments</w:t>
      </w:r>
      <w:r>
        <w:rPr>
          <w:rFonts w:ascii="Times New Roman" w:hAnsi="Times New Roman"/>
          <w:color w:val="000000"/>
          <w:sz w:val="20"/>
        </w:rPr>
        <w:t xml:space="preserve"> will not be applied to certain, if any, non-store leases, with a term of 12 months or less, recognizing those lease payments on a straight-line basis over the lease term. At August 1, 2026, the Company had no short-term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 leases with an initial term of 5 years, the Company evaluates each lease independently and, when the Company considers it reasonably certain that it will exercise an option to extend, the associated payment of that option will be included in the measurement of the ROU asset and lease liability. Renewal options are not included in the lease term for automobile and equipment leases because they are not considered reasonably certain of being exercised at lease commencement. In the second quarter of fiscal 2025, the Company amended the lease agreement for its corporate headquarters and distribution center to extend the initial term for an additional period of seven years commencing on February 1, 2026 and ending on January 31, 2033. At the end of the extension term, the Company will have the option to further extend the term for three additional successive periods of five years each. The extension options were not considered reasonably certain at the time of the lease remeasurement.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ROU assets and lease liabilities. Tenant allowances are included as an offset to the ROU asset and amortized as reductions to rent expense over the associated lease term.</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See Note 4, </w:t>
      </w:r>
      <w:r>
        <w:rPr>
          <w:rFonts w:ascii="Times New Roman" w:hAnsi="Times New Roman"/>
          <w:i/>
          <w:color w:val="000000"/>
          <w:sz w:val="20"/>
        </w:rPr>
        <w:t>Leases</w:t>
      </w:r>
      <w:r>
        <w:rPr>
          <w:rFonts w:ascii="Times New Roman" w:hAnsi="Times New Roman"/>
          <w:color w:val="000000"/>
          <w:sz w:val="20"/>
        </w:rPr>
        <w:t xml:space="preserve"> for additional information.</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Recently Issued Accounting Pronouncements - Not Yet Adopted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October 2023, the Financial Accounting Standards Board (“FASB”) issued ASU 2023-06, </w:t>
      </w:r>
      <w:r>
        <w:rPr>
          <w:rFonts w:ascii="Times New Roman" w:hAnsi="Times New Roman"/>
          <w:i/>
          <w:color w:val="000000"/>
          <w:sz w:val="20"/>
        </w:rPr>
        <w:t>Disclosure Improvements: Codification Amendment in Response to the SEC</w:t>
      </w:r>
      <w:r>
        <w:rPr>
          <w:rFonts w:ascii="Times New Roman" w:hAnsi="Times New Roman"/>
          <w:color w:val="212121"/>
          <w:sz w:val="20"/>
        </w:rPr>
        <w:t>’</w:t>
      </w:r>
      <w:r>
        <w:rPr>
          <w:rFonts w:ascii="Times New Roman" w:hAnsi="Times New Roman"/>
          <w:i/>
          <w:color w:val="000000"/>
          <w:sz w:val="20"/>
        </w:rPr>
        <w:t xml:space="preserve">s Disclosure Update and Simplification Initiative </w:t>
      </w:r>
      <w:r>
        <w:rPr>
          <w:rFonts w:ascii="Times New Roman" w:hAnsi="Times New Roman"/>
          <w:color w:val="000000"/>
          <w:sz w:val="20"/>
        </w:rPr>
        <w:t>(“</w:t>
      </w:r>
      <w:r>
        <w:rPr>
          <w:rFonts w:ascii="Times New Roman" w:hAnsi="Times New Roman"/>
          <w:color w:val="252525"/>
          <w:sz w:val="20"/>
        </w:rPr>
        <w:t>ASU-2023-06”)</w:t>
      </w:r>
      <w:r>
        <w:rPr>
          <w:rFonts w:ascii="Times New Roman" w:hAnsi="Times New Roman"/>
          <w:color w:val="212121"/>
          <w:sz w:val="20"/>
        </w:rPr>
        <w:t xml:space="preserve">. </w:t>
      </w:r>
      <w:r>
        <w:rPr>
          <w:rFonts w:ascii="Times New Roman" w:hAnsi="Times New Roman"/>
          <w:color w:val="252525"/>
          <w:sz w:val="20"/>
        </w:rPr>
        <w:t xml:space="preserve">ASU-2023-06 </w:t>
      </w:r>
      <w:r>
        <w:rPr>
          <w:rFonts w:ascii="Times New Roman" w:hAnsi="Times New Roman"/>
          <w:color w:val="212121"/>
          <w:sz w:val="20"/>
        </w:rPr>
        <w:t xml:space="preserve">incorporates several disclosure and presentation requirements currently residing in SEC Regulations S-X and S-K. The amendments will be applied prospectively and will be effective when the SEC removes the related requirements from Regulations S-X or S-K. Any amendments the SEC does not remove by June 30, 2027 will not be effective. </w:t>
      </w:r>
      <w:r>
        <w:rPr>
          <w:rFonts w:ascii="Times New Roman" w:hAnsi="Times New Roman"/>
          <w:color w:val="000000"/>
          <w:sz w:val="20"/>
        </w:rPr>
        <w:t>ASU 2023-06</w:t>
      </w:r>
      <w:r>
        <w:rPr>
          <w:rFonts w:ascii="Times New Roman" w:hAnsi="Times New Roman"/>
          <w:color w:val="252525"/>
          <w:sz w:val="20"/>
        </w:rPr>
        <w:t xml:space="preserve"> </w:t>
      </w:r>
      <w:r>
        <w:rPr>
          <w:rFonts w:ascii="Times New Roman" w:hAnsi="Times New Roman"/>
          <w:color w:val="212121"/>
          <w:sz w:val="20"/>
        </w:rPr>
        <w:t>is not expected to have a material impact on the Company’s Consolidated Financial Statements or related disclosures because the Company is currently subject to the reporting requirements of Regulations S-X and S-K.</w:t>
      </w:r>
    </w:p>
    <w:p>
      <w:pPr>
        <w:pStyle w:val="TextBody"/>
        <w:bidi w:val="0"/>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w:t>
      </w:r>
      <w:r>
        <w:rPr>
          <w:rFonts w:ascii="Times New Roman" w:hAnsi="Times New Roman"/>
          <w:color w:val="000000"/>
          <w:sz w:val="20"/>
        </w:rPr>
        <w:t>) (“ASU 2024-03”), which will require disclosure, in the notes to financial statements, of specified information about certain costs and expenses, including disclosure of amounts for (a) purchases of inventory, (b) employee compensation, (c) depreciation</w:t>
      </w:r>
      <w:r>
        <w:rPr>
          <w:rFonts w:ascii="Times New Roman" w:hAnsi="Times New Roman"/>
          <w:color w:val="212121"/>
          <w:sz w:val="20"/>
        </w:rPr>
        <w:t xml:space="preserve"> and (d) intangible asset amortization, included in each relevant expense caption. I</w:t>
      </w:r>
      <w:r>
        <w:rPr>
          <w:rFonts w:ascii="Times New Roman" w:hAnsi="Times New Roman"/>
          <w:color w:val="000000"/>
          <w:sz w:val="20"/>
        </w:rPr>
        <w:t>n January 2025, the FASB issued ASU 2025-01</w:t>
      </w:r>
      <w:r>
        <w:rPr>
          <w:rFonts w:ascii="Times New Roman" w:hAnsi="Times New Roman"/>
          <w:color w:val="1F1F1F"/>
          <w:sz w:val="20"/>
        </w:rPr>
        <w:t xml:space="preserve">, </w:t>
      </w:r>
      <w:r>
        <w:rPr>
          <w:rFonts w:ascii="Times New Roman" w:hAnsi="Times New Roman"/>
          <w:i/>
          <w:color w:val="000000"/>
          <w:sz w:val="20"/>
        </w:rPr>
        <w:t xml:space="preserve">Income Statement - Reporting Comprehensive Income - Expense Disaggregation Disclosures (Subtopic 220-40): Clarifying the Effective Date </w:t>
      </w:r>
      <w:r>
        <w:rPr>
          <w:rFonts w:ascii="Times New Roman" w:hAnsi="Times New Roman"/>
          <w:color w:val="000000"/>
          <w:sz w:val="20"/>
        </w:rPr>
        <w:t xml:space="preserve">(“ASU 2025-01”). </w:t>
      </w:r>
      <w:r>
        <w:rPr>
          <w:rFonts w:ascii="Times New Roman" w:hAnsi="Times New Roman"/>
          <w:color w:val="212121"/>
          <w:sz w:val="20"/>
        </w:rPr>
        <w:t>ASU 2024-03, as clarified by ASU 2025-01, will be effective for the Company's annual financial statements beginning in fiscal 2027 and interim periods beginning in fiscal 2028. The Company is currently evaluating the impact of this accounting standard on its financial statement presentation and related disclosures.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other new accounting pronouncements, issued or effective during the first six months of fiscal 2026, which had or are expected to have a significant impact on the Company’s Consolidated Financial Statements.</w:t>
      </w:r>
    </w:p>
    <w:p>
      <w:pPr>
        <w:pStyle w:val="TextBody"/>
        <w:bidi w:val="0"/>
        <w:spacing w:before="240" w:after="283"/>
        <w:jc w:val="both"/>
        <w:rPr>
          <w:rFonts w:ascii="Times New Roman" w:hAnsi="Times New Roman"/>
          <w:sz w:val="20"/>
        </w:rPr>
      </w:pPr>
      <w:r>
        <w:rPr>
          <w:rFonts w:ascii="Times New Roman" w:hAnsi="Times New Roman"/>
          <w:b/>
          <w:color w:val="000000"/>
          <w:sz w:val="20"/>
        </w:rPr>
        <w:t>2. Revenue Recognition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212121"/>
          <w:sz w:val="20"/>
        </w:rPr>
        <w:t xml:space="preserve">The Company operates as a retailer of big + tall men’s clothing, which includes stores and direct. </w:t>
      </w:r>
      <w:r>
        <w:rPr>
          <w:rFonts w:ascii="Times New Roman" w:hAnsi="Times New Roman"/>
          <w:color w:val="000000"/>
          <w:sz w:val="20"/>
        </w:rPr>
        <w:t xml:space="preserve">Revenue is recognized by the operating segment that initiates a customer’s order. Store sales are defined as sales that originate and are fulfilled directly at the store level. Direct sales are defined as sales that originate online, including those initiated online at the store level, on its website or on third-party marketplaces. </w:t>
      </w:r>
      <w:r>
        <w:rPr>
          <w:rFonts w:ascii="Times New Roman" w:hAnsi="Times New Roman"/>
          <w:color w:val="212121"/>
          <w:sz w:val="20"/>
        </w:rPr>
        <w:t xml:space="preserve">Generally, all revenues are recognized when control of the promised goods is transferred to customers, in an amount that reflects the consideration in exchange for those goods. </w:t>
      </w:r>
      <w:r>
        <w:rPr>
          <w:rFonts w:ascii="Times New Roman" w:hAnsi="Times New Roman"/>
          <w:color w:val="000000"/>
          <w:sz w:val="20"/>
        </w:rPr>
        <w:t>Sales tax collected from customers and remitted to taxing authorities is excluded from revenue and is included as part of accrued expenses on the Consolidated Balance Sheets.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Unredeemed Gift Cards, Gift Certificates, and Credit Vouchers. </w:t>
      </w:r>
      <w:r>
        <w:rPr>
          <w:rFonts w:ascii="Times New Roman" w:hAnsi="Times New Roman"/>
          <w:color w:val="000000"/>
          <w:sz w:val="20"/>
        </w:rPr>
        <w:t>Upon issuance of a gift card, gift certificate, or credit voucher, a liability is established for 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$2.1 million and $3.1 million at August 1, 2026 and January 31, 2026, respectively.</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Unredeemed Loyalty Coupons. </w:t>
      </w:r>
      <w:r>
        <w:rPr>
          <w:rFonts w:ascii="Times New Roman" w:hAnsi="Times New Roman"/>
          <w:color w:val="000000"/>
          <w:sz w:val="20"/>
        </w:rPr>
        <w:t xml:space="preserve">The Company offers a free loyalty program to its customers for which points accumulate based on the purchase of merchandise. Under ASC Topic 606, </w:t>
      </w:r>
      <w:r>
        <w:rPr>
          <w:rFonts w:ascii="Times New Roman" w:hAnsi="Times New Roman"/>
          <w:i/>
          <w:color w:val="000000"/>
          <w:sz w:val="20"/>
        </w:rPr>
        <w:t>Revenue from Contracts with Customers</w:t>
      </w:r>
      <w:r>
        <w:rPr>
          <w:rFonts w:ascii="Times New Roman" w:hAnsi="Times New Roman"/>
          <w:color w:val="000000"/>
          <w:sz w:val="20"/>
        </w:rPr>
        <w:t xml:space="preserve">, these loyalty points provide the customer with a material right and a distinct performance obligation with revenue deferred and recognized when the points are expected to be redeemed or expire. The cycle of earning and redeeming loyalty points is generally under one year in duration.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loyalty accrual, net of breakage, was $0.5 million at August 1, 2026 and $0.4 million at January 31, 2026.</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Shipping. </w:t>
      </w:r>
      <w:r>
        <w:rPr>
          <w:rFonts w:ascii="Times New Roman" w:hAnsi="Times New Roman"/>
          <w:color w:val="000000"/>
          <w:sz w:val="20"/>
        </w:rPr>
        <w:t>Shipping and handling costs are accounted for as fulfillment costs and are included in cost of sales for all periods presented. Amounts related to shipping and handling that are billed to customers are recorded in sales, and the related costs are recorded in cost of goods sold, including occupancy costs, in the Consolidated Statements of Operations.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Disaggregation of Revenue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noted above under </w:t>
      </w:r>
      <w:r>
        <w:rPr>
          <w:rFonts w:ascii="Times New Roman" w:hAnsi="Times New Roman"/>
          <w:i/>
          <w:color w:val="000000"/>
          <w:sz w:val="20"/>
        </w:rPr>
        <w:t xml:space="preserve">Segment Information </w:t>
      </w:r>
      <w:r>
        <w:rPr>
          <w:rFonts w:ascii="Times New Roman" w:hAnsi="Times New Roman"/>
          <w:color w:val="000000"/>
          <w:sz w:val="20"/>
        </w:rPr>
        <w:t xml:space="preserve">in Note 1, </w:t>
      </w:r>
      <w:r>
        <w:rPr>
          <w:rFonts w:ascii="Times New Roman" w:hAnsi="Times New Roman"/>
          <w:i/>
          <w:color w:val="000000"/>
          <w:sz w:val="20"/>
        </w:rPr>
        <w:t>Basis of Presentation</w:t>
      </w:r>
      <w:r>
        <w:rPr>
          <w:rFonts w:ascii="Times New Roman" w:hAnsi="Times New Roman"/>
          <w:color w:val="000000"/>
          <w:sz w:val="20"/>
        </w:rPr>
        <w:t>, the Company’s business consists of one reportable segment. Substantially all of the Company’s revenue is generated from its stores and direct businesses. Accordingly, the Company has determined that the following sales channels depict the nature, amount, timing, and uncertainty of how revenue and cash flows are affected by economic factors: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086"/>
        <w:gridCol w:w="146"/>
        <w:gridCol w:w="277"/>
        <w:gridCol w:w="1026"/>
        <w:gridCol w:w="146"/>
        <w:gridCol w:w="609"/>
        <w:gridCol w:w="277"/>
        <w:gridCol w:w="1026"/>
        <w:gridCol w:w="146"/>
        <w:gridCol w:w="609"/>
        <w:gridCol w:w="146"/>
        <w:gridCol w:w="277"/>
        <w:gridCol w:w="1026"/>
        <w:gridCol w:w="146"/>
        <w:gridCol w:w="146"/>
        <w:gridCol w:w="466"/>
        <w:gridCol w:w="271"/>
        <w:gridCol w:w="277"/>
        <w:gridCol w:w="1026"/>
        <w:gridCol w:w="146"/>
        <w:gridCol w:w="146"/>
        <w:gridCol w:w="466"/>
        <w:gridCol w:w="318"/>
      </w:tblGrid>
      <w:tr>
        <w:trPr/>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 the 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72.2%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72.5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1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27.8%</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27.8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27.5</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1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3. Debt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Credit Agreement with Citizens Bank, N.A.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 revolving credit agreement with Citizens Bank, N.A., which was most recently amended in the third quarter of fiscal 2025 (as amended, the “Credit Facility”). The Credit Facility, which expires August 13, 2030, provides a revolving commitment of $100.0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Facility includes a sublimit of $20.0 million for commercial and standby letters of credit and a sublimit of up to $10.0 million for swing line loans. The Company’s ability to borrow under the Credit Facility is determined using an availability formula based on eligible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Credit Facility bear interest at either a Base Rate (as defined in the Credit Facility) or Daily Simple Secured Overnight Financing Rate (“SOFR”) rate, at the Company's option. Base Rate loans will bear interest at a rate equal to (i) the greater of: (a) the Prime Rate (as defined in the Credit Facility), (b) the Federal Funds (as defined in the Credit Facility)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Margin. Any swingline loan will continue to bear interest at a rate equal to the Base Rate plus the Applicable Margin. The Company is subject to an unused line fee of 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August 1, 2026, the Company had no borrowings outstanding under the Credit Facility and unused availability was $61.7 million. The Company had no borrowings during the first six months of fiscal 2026, resulting in an average unused excess availability of approximately $64.7 million. Outstanding standby letters of credit were $3.7 million at August 1, 2026. At August 1, 2026, the Company’s prime-based interest rate was 7.00%.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4.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second quarter of fiscal 2025, the Company extended the term of its corporate lease from February 1, 2026 to January 31, 2033, with the opportunity to extend for three additional consecutive periods of five years. In connection with the lease amendment to extend the term of the lease, the landlord provided the Company with an improvement allowance in an amount up to $4.7 million, which has been included as an offset to the ROU assets and will be amortized as a reduction to rent expense over the lease term.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As of August 1, 2026, the Company’s operating leases liabilities represent the present value of the remaining future minimum lease payments updated based on concessions and lease modifications.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is a summary of the Company’s components of net lease cost for the three and six months ended August 1, 2026 and August 2, 2025, respectively:</w:t>
      </w:r>
    </w:p>
    <w:p>
      <w:pPr>
        <w:pStyle w:val="TextBody"/>
        <w:bidi w:val="0"/>
        <w:jc w:val="left"/>
        <w:rPr/>
      </w:pPr>
      <w:r>
        <w:rPr/>
        <w:t> </w:t>
      </w:r>
    </w:p>
    <w:tbl>
      <w:tblPr>
        <w:tblW w:w="8653" w:type="dxa"/>
        <w:jc w:val="left"/>
        <w:tblInd w:w="0" w:type="dxa"/>
        <w:tblLayout w:type="fixed"/>
        <w:tblCellMar>
          <w:top w:w="28" w:type="dxa"/>
          <w:left w:w="28" w:type="dxa"/>
          <w:bottom w:w="28" w:type="dxa"/>
          <w:right w:w="28" w:type="dxa"/>
        </w:tblCellMar>
      </w:tblPr>
      <w:tblGrid>
        <w:gridCol w:w="1966"/>
        <w:gridCol w:w="146"/>
        <w:gridCol w:w="321"/>
        <w:gridCol w:w="1029"/>
        <w:gridCol w:w="171"/>
        <w:gridCol w:w="171"/>
        <w:gridCol w:w="321"/>
        <w:gridCol w:w="1029"/>
        <w:gridCol w:w="146"/>
        <w:gridCol w:w="146"/>
        <w:gridCol w:w="321"/>
        <w:gridCol w:w="1029"/>
        <w:gridCol w:w="158"/>
        <w:gridCol w:w="158"/>
        <w:gridCol w:w="321"/>
        <w:gridCol w:w="1029"/>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 the Three Months Ended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 the Six Months Ended</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August 1, 2026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August 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August 1, 2026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August 2,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Operating lease cost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Variable lease costs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7,577</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17,145</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34,357</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left"/>
        <w:rPr>
          <w:rFonts w:ascii="Times New Roman" w:hAnsi="Times New Roman"/>
          <w:color w:val="1F1F1F"/>
          <w:sz w:val="20"/>
        </w:rPr>
      </w:pPr>
      <w:r>
        <w:rPr>
          <w:rFonts w:ascii="Times New Roman" w:hAnsi="Times New Roman"/>
          <w:color w:val="1F1F1F"/>
          <w:sz w:val="20"/>
        </w:rPr>
        <w:t>(1)</w:t>
      </w:r>
    </w:p>
    <w:p>
      <w:pPr>
        <w:pStyle w:val="TextBody"/>
        <w:bidi w:val="0"/>
        <w:spacing w:before="120" w:after="283"/>
        <w:jc w:val="left"/>
        <w:rPr>
          <w:rFonts w:ascii="Times New Roman" w:hAnsi="Times New Roman"/>
          <w:sz w:val="20"/>
        </w:rPr>
      </w:pPr>
      <w:r>
        <w:rPr>
          <w:rFonts w:ascii="Times New Roman" w:hAnsi="Times New Roman"/>
          <w:color w:val="1F1F1F"/>
          <w:sz w:val="20"/>
        </w:rPr>
        <w:t>In March 2026, the l</w:t>
      </w:r>
      <w:r>
        <w:rPr>
          <w:rFonts w:ascii="Times New Roman" w:hAnsi="Times New Roman"/>
          <w:color w:val="000000"/>
          <w:sz w:val="20"/>
        </w:rPr>
        <w:t xml:space="preserve">andlord for one of the Company's store locations exercised their right to terminate the lease agreement. As consideration for the landlord's right to terminate prior to the end of the lease term, the landlord paid the Company a termination fee of $1.4 million, which was recognized as a gain in accordance with ASC 842 and not included in the above operating lease cost for the first six months of fiscal 2026. The gain from the early termination of the lease was recognized as an offset to cost of goods sold, including occupancy costs, on the Consolidated Statements of Operations for the first six months of fiscal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Variable lease costs include the cost of property taxes, insurance and common area maintenance fees related to leases.</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Supplemental cash flow and balance sheet information related to leases as of and for the six months ended August 1, 2026 and August 2, 2025 was as follows:</w:t>
      </w:r>
    </w:p>
    <w:p>
      <w:pPr>
        <w:pStyle w:val="TextBody"/>
        <w:bidi w:val="0"/>
        <w:jc w:val="left"/>
        <w:rPr/>
      </w:pPr>
      <w:r>
        <w:rPr/>
        <w:t> </w:t>
      </w:r>
    </w:p>
    <w:tbl>
      <w:tblPr>
        <w:tblW w:w="9700" w:type="dxa"/>
        <w:jc w:val="left"/>
        <w:tblInd w:w="0" w:type="dxa"/>
        <w:tblLayout w:type="fixed"/>
        <w:tblCellMar>
          <w:top w:w="28" w:type="dxa"/>
          <w:left w:w="28" w:type="dxa"/>
          <w:bottom w:w="28" w:type="dxa"/>
          <w:right w:w="28" w:type="dxa"/>
        </w:tblCellMar>
      </w:tblPr>
      <w:tblGrid>
        <w:gridCol w:w="5921"/>
        <w:gridCol w:w="246"/>
        <w:gridCol w:w="321"/>
        <w:gridCol w:w="1029"/>
        <w:gridCol w:w="271"/>
        <w:gridCol w:w="246"/>
        <w:gridCol w:w="321"/>
        <w:gridCol w:w="1029"/>
        <w:gridCol w:w="316"/>
      </w:tblGrid>
      <w:tr>
        <w:trPr/>
        <w:tc>
          <w:tcPr>
            <w:tcW w:w="5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(dollars in thousands)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7"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 the Six Months Ended</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August 1, 2026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August 2, 2025</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Operating cash flows for operating leases </w:t>
            </w:r>
            <w:r>
              <w:rPr>
                <w:rFonts w:ascii="Times New Roman" w:hAnsi="Times New Roman"/>
                <w:color w:val="000000"/>
                <w:sz w:val="13"/>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assets obtained in exchange for 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53,413</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 2026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 2025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The cash paid for the first six months of fiscal 2026 and fiscal 2025 included prepaid rent of $4.7 million and $4.6 million, respectively. The cash paid for the first six months of fiscal 2026 does not include the cash received of $1.4 million for the early lease termination, as discussed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 below reconciles the undiscounted cash flows for each of the first five years and total of the remaining years to the operating lease liabilities recorded on the Consolidated Balance Sheet as of August 1, 2026: </w:t>
      </w:r>
    </w:p>
    <w:p>
      <w:pPr>
        <w:pStyle w:val="TextBody"/>
        <w:bidi w:val="0"/>
        <w:jc w:val="left"/>
        <w:rPr/>
      </w:pPr>
      <w:r>
        <w:rPr/>
        <w:t> </w:t>
      </w:r>
    </w:p>
    <w:tbl>
      <w:tblPr>
        <w:tblW w:w="5710" w:type="dxa"/>
        <w:jc w:val="left"/>
        <w:tblInd w:w="0" w:type="dxa"/>
        <w:tblLayout w:type="fixed"/>
        <w:tblCellMar>
          <w:top w:w="28" w:type="dxa"/>
          <w:left w:w="28" w:type="dxa"/>
          <w:bottom w:w="28" w:type="dxa"/>
          <w:right w:w="28" w:type="dxa"/>
        </w:tblCellMar>
      </w:tblPr>
      <w:tblGrid>
        <w:gridCol w:w="4381"/>
        <w:gridCol w:w="146"/>
        <w:gridCol w:w="211"/>
        <w:gridCol w:w="781"/>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of lease payments representing interest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obligations under leases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 Long-Term Incentive Plans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is a summary of the Company’s Long-Term Incentive Plan (“LTIP”). All equity awards granted under long-term incentive plans are issued from the Company’s stockholder-approved 2016 Plan. See Note 6, </w:t>
      </w:r>
      <w:r>
        <w:rPr>
          <w:rFonts w:ascii="Times New Roman" w:hAnsi="Times New Roman"/>
          <w:i/>
          <w:color w:val="000000"/>
          <w:sz w:val="20"/>
        </w:rPr>
        <w:t>Stock-Based Compensation</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LTIPs are granted annually, and each LTIP covers a three-year performance period. Each participant in the LTIP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Awards for any achievement of performance targets are not granted until the performance targets are achieved and then are subject to additional vesting through August 31 following the end of the applicable performance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August 1, 2026, the Company had two LTIPs with active performance periods: the 2024-2026 LTIP and the 2025-2027 LTIP. While the performance period under the 2023-2025 LTIP was completed at the end of fiscal 2025, the remaining tranche of the time-based awards will not vest until April 1, 2027. The time-based awards under each LTIP were granted in a combination of 50% RSUs and 50%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targets for the 2024-2026 LTIP and the 2025-2027 LTIP were established and approved by the Compensation Committee with an effective date of April 1, 2024, and April 1, 2025, respectively. The performance period for each LTIP is three years. Awards for any achievement of performance targets will not be granted until the performance targets are achieved and then will be subject to an additional service requirement through August 31, 2027 and August 31, 2028, respectively. If the Company completes the Merger, as discussed in Note 12, Agreement and Plan of Merger, the performance-based awards would be cancelled and a payout equal to actual achievement, pro-rated through the date of closing, would be made to eligible participants.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time-based awards under the 2024-2026 LTIP and the 2025-2027 LTIP vest in four equal installments through April 1, 2028 and April 1, 2029, respectively. Assuming that the Company achieves the performance targets at target levels and all time-based awards vest, the compensation expense associated with the 2024-2026 LTIP and 2025-2027 LTIP at August 1, 2026 is estimated to be approximately $3.7 million and $3.6 million, respectively. Approximately half of the compensation expense for each LTIP relates to the time-based awards and is being expensed straight-line over 49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August 1, 2026, there was no accrual for performance-based awards under either LTIP.</w:t>
      </w:r>
    </w:p>
    <w:p>
      <w:pPr>
        <w:pStyle w:val="TextBody"/>
        <w:bidi w:val="0"/>
        <w:spacing w:before="240" w:after="283"/>
        <w:jc w:val="both"/>
        <w:rPr>
          <w:rFonts w:ascii="Times New Roman" w:hAnsi="Times New Roman"/>
          <w:sz w:val="20"/>
        </w:rPr>
      </w:pPr>
      <w:r>
        <w:rPr>
          <w:rFonts w:ascii="Times New Roman" w:hAnsi="Times New Roman"/>
          <w:b/>
          <w:color w:val="000000"/>
          <w:sz w:val="20"/>
        </w:rPr>
        <w:t>6.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one active stock-based compensation plan: the Second Amended and Restated 2016 Incentive Compensation Plan (the “2016 Plan”).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At August 1, 2026, 21,270,538 shares were authorized under the 2016 Plan, of which 3,279,712 shares remained available for grant.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share activity and stock option activity for the first six months of fiscal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2"/>
        <w:gridCol w:w="246"/>
        <w:gridCol w:w="146"/>
        <w:gridCol w:w="931"/>
        <w:gridCol w:w="166"/>
        <w:gridCol w:w="146"/>
        <w:gridCol w:w="146"/>
        <w:gridCol w:w="781"/>
        <w:gridCol w:w="146"/>
        <w:gridCol w:w="146"/>
        <w:gridCol w:w="159"/>
        <w:gridCol w:w="852"/>
        <w:gridCol w:w="146"/>
        <w:gridCol w:w="146"/>
        <w:gridCol w:w="146"/>
        <w:gridCol w:w="845"/>
        <w:gridCol w:w="166"/>
        <w:gridCol w:w="146"/>
        <w:gridCol w:w="146"/>
        <w:gridCol w:w="931"/>
        <w:gridCol w:w="166"/>
        <w:gridCol w:w="146"/>
        <w:gridCol w:w="271"/>
        <w:gridCol w:w="600"/>
        <w:gridCol w:w="393"/>
      </w:tblGrid>
      <w:tr>
        <w:trPr/>
        <w:tc>
          <w:tcPr>
            <w:tcW w:w="209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color w:val="000000"/>
                <w:sz w:val="16"/>
              </w:rPr>
              <w:t xml:space="preserve">RSUs </w:t>
            </w:r>
            <w:r>
              <w:rPr>
                <w:rFonts w:ascii="Times New Roman" w:hAnsi="Times New Roman"/>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color w:val="000000"/>
                <w:sz w:val="16"/>
              </w:rPr>
              <w:t>Deferred</w:t>
              <w:br/>
              <w:t xml:space="preserve">Shares </w:t>
            </w:r>
            <w:r>
              <w:rPr>
                <w:rFonts w:ascii="Times New Roman" w:hAnsi="Times New Roman"/>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color w:val="000000"/>
                <w:sz w:val="16"/>
              </w:rPr>
              <w:t>Performance</w:t>
              <w:br/>
              <w:t xml:space="preserve">Share Units </w:t>
            </w:r>
            <w:r>
              <w:rPr>
                <w:rFonts w:ascii="Times New Roman" w:hAnsi="Times New Roman"/>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color w:val="000000"/>
                <w:sz w:val="16"/>
              </w:rPr>
              <w:t>Fully-Vested</w:t>
              <w:br/>
              <w:t xml:space="preserve"> Shares </w:t>
            </w:r>
            <w:r>
              <w:rPr>
                <w:rFonts w:ascii="Times New Roman" w:hAnsi="Times New Roman"/>
                <w:color w:val="000000"/>
                <w:sz w:val="11"/>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w:t>
              <w:br/>
              <w:t>Grant-Date</w:t>
              <w:br/>
              <w:t>Fair 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Outstanding non-vested shares at beginning of year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granted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vested and/or issued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expired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forfeited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Outstanding non-vested shares at end of quarter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 and expected to vest at end of year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sz w:val="20"/>
        </w:rPr>
      </w:pPr>
      <w:r>
        <w:rPr>
          <w:rFonts w:ascii="Times New Roman" w:hAnsi="Times New Roman"/>
          <w:color w:val="000000"/>
          <w:sz w:val="20"/>
        </w:rPr>
        <w:t>As a result of net share settlements, of the 406,963</w:t>
      </w:r>
      <w:r>
        <w:rPr>
          <w:rFonts w:ascii="Times New Roman" w:hAnsi="Times New Roman"/>
          <w:color w:val="FF0000"/>
          <w:sz w:val="20"/>
        </w:rPr>
        <w:t xml:space="preserve"> </w:t>
      </w:r>
      <w:r>
        <w:rPr>
          <w:rFonts w:ascii="Times New Roman" w:hAnsi="Times New Roman"/>
          <w:color w:val="000000"/>
          <w:sz w:val="20"/>
        </w:rPr>
        <w:t>RSUs that vested, 293,100 shares of common stock were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111,447 shares of deferred stock, with a fair value of $72,499, represent director compensation in lieu of cash in accordance with the director's irrevocable election. The shares of deferred stock will be issued upon the earlier of the director's separation from service or a change in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11, 2023, the Company granted 573,000 performance stock units (“PSUs”) in connection with the extension of Mr. Kanter's employment agreement. The award consisted of nine tranches, with the first tranche vesting if and when the 30-day volume-weighted closing price of the Company's common stock was equal to or greater than $6.50 per share. Each subsequent tranche would vest upon achievement of the 30-day volume-weighted closing price of the Company's common stock in $0.25 increments with the ninth tranche vesting when such price was equal to or greater than $8.50 per share. On August 11, 2026, all 573,000 PSUs expired, unvested.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Represented compensation, with a fair value of $202,496, to certain directors, who are required to receive shares in lieu of cash, in order to satisfy their minimum equity ownership under the Non-Employee Director Compensation Plan. Voluntary shares received, in lieu of cash, are reported below under </w:t>
      </w:r>
      <w:r>
        <w:rPr>
          <w:rFonts w:ascii="Times New Roman" w:hAnsi="Times New Roman"/>
          <w:i/>
          <w:color w:val="000000"/>
          <w:sz w:val="20"/>
        </w:rPr>
        <w:t>Non-Employee Director Compensation Plan</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81" w:type="dxa"/>
        <w:jc w:val="left"/>
        <w:tblInd w:w="0" w:type="dxa"/>
        <w:tblLayout w:type="fixed"/>
        <w:tblCellMar>
          <w:top w:w="28" w:type="dxa"/>
          <w:left w:w="28" w:type="dxa"/>
          <w:bottom w:w="28" w:type="dxa"/>
          <w:right w:w="28" w:type="dxa"/>
        </w:tblCellMar>
      </w:tblPr>
      <w:tblGrid>
        <w:gridCol w:w="3566"/>
        <w:gridCol w:w="246"/>
        <w:gridCol w:w="146"/>
        <w:gridCol w:w="931"/>
        <w:gridCol w:w="146"/>
        <w:gridCol w:w="146"/>
        <w:gridCol w:w="336"/>
        <w:gridCol w:w="744"/>
        <w:gridCol w:w="146"/>
        <w:gridCol w:w="146"/>
        <w:gridCol w:w="391"/>
        <w:gridCol w:w="929"/>
        <w:gridCol w:w="146"/>
        <w:gridCol w:w="146"/>
        <w:gridCol w:w="374"/>
        <w:gridCol w:w="751"/>
        <w:gridCol w:w="391"/>
      </w:tblGrid>
      <w:tr>
        <w:trPr/>
        <w:tc>
          <w:tcPr>
            <w:tcW w:w="35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w:t>
              <w:br/>
              <w:t>Exercise Price</w:t>
              <w:br/>
              <w:t>Per Option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w:t>
              <w:br/>
              <w:t>Remaining</w:t>
              <w:br/>
              <w:t>Contractual 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Aggregate</w:t>
              <w:br/>
              <w:t>Intrinsic Value</w:t>
              <w:br/>
              <w:t>(000's)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 Options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Outstanding options at beginning of year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granted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exercised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expired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forfeited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Outstanding options at end of quarter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exercisable at end of quarter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u w:val="single"/>
        </w:rPr>
        <w:t>Non-Employee Director Compensation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granted 12,297 shares of common stock, with a fair value of approximately $8,000, to certain of its non-employee directors as compensation in lieu of cash in the first six months of fiscal 2026. These shares are in addition to any shares that may be granted under the 2016 Plan related to the requirement to receive equity if a director has not yet satisfied his or her minimum equity ownership requirement under the Non-Employee Director Compensation Plan.</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Stock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stock-based compensation expense, net of any reversal of stock compensation expense associated with forfeitures, was $0.1 million and $0.7 million for the first six months of fiscal 2026 and fiscal 2025, respectively. The total compensation cost related to awards not yet recognized as of August 1, 2026 was approximately $1.1 million, net of estimated forfeitures, which will be expensed over a weighted average remaining life of 26 months. </w:t>
      </w:r>
    </w:p>
    <w:p>
      <w:pPr>
        <w:pStyle w:val="TextBody"/>
        <w:bidi w:val="0"/>
        <w:spacing w:before="240" w:after="283"/>
        <w:jc w:val="both"/>
        <w:rPr>
          <w:rFonts w:ascii="Times New Roman" w:hAnsi="Times New Roman"/>
          <w:sz w:val="20"/>
        </w:rPr>
      </w:pPr>
      <w:r>
        <w:rPr>
          <w:rFonts w:ascii="Times New Roman" w:hAnsi="Times New Roman"/>
          <w:b/>
          <w:color w:val="000000"/>
          <w:sz w:val="20"/>
        </w:rPr>
        <w:t>7. Equity and Earnings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provides a reconciliation of the number of shares outstanding for basic and diluted earnings per share: </w:t>
      </w:r>
    </w:p>
    <w:tbl>
      <w:tblPr>
        <w:tblW w:w="10205" w:type="dxa"/>
        <w:jc w:val="left"/>
        <w:tblInd w:w="0" w:type="dxa"/>
        <w:tblLayout w:type="fixed"/>
        <w:tblCellMar>
          <w:top w:w="28" w:type="dxa"/>
          <w:left w:w="28" w:type="dxa"/>
          <w:bottom w:w="28" w:type="dxa"/>
          <w:right w:w="28" w:type="dxa"/>
        </w:tblCellMar>
      </w:tblPr>
      <w:tblGrid>
        <w:gridCol w:w="4520"/>
        <w:gridCol w:w="146"/>
        <w:gridCol w:w="197"/>
        <w:gridCol w:w="915"/>
        <w:gridCol w:w="156"/>
        <w:gridCol w:w="156"/>
        <w:gridCol w:w="197"/>
        <w:gridCol w:w="915"/>
        <w:gridCol w:w="146"/>
        <w:gridCol w:w="146"/>
        <w:gridCol w:w="197"/>
        <w:gridCol w:w="915"/>
        <w:gridCol w:w="146"/>
        <w:gridCol w:w="146"/>
        <w:gridCol w:w="197"/>
        <w:gridCol w:w="915"/>
        <w:gridCol w:w="195"/>
      </w:tblGrid>
      <w:tr>
        <w:trPr/>
        <w:tc>
          <w:tcPr>
            <w:tcW w:w="4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i/>
                <w:color w:val="000000"/>
                <w:sz w:val="16"/>
              </w:rPr>
              <w:t>(in thousands</w:t>
            </w:r>
            <w:r>
              <w:rPr>
                <w:rFonts w:ascii="Times New Roman" w:hAnsi="Times New Roman"/>
                <w:b/>
                <w:i/>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0"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Common stock equivalents – stock options and deferred stock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Common stock equivalents of 2.2 million for the second quarter of fiscal 2025 and 0.9 million and 2.4 million for the first six months of fiscal 2026 and fiscal 2025, respectively, were excluded from the determination of diluted weighted average common shares outstanding due to the net loss reported in each period.</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the unearned compensation associated with stock options and restricted stock units had an anti-dilutive effect.</w:t>
      </w:r>
    </w:p>
    <w:p>
      <w:pPr>
        <w:pStyle w:val="TextBody"/>
        <w:bidi w:val="0"/>
        <w:jc w:val="both"/>
        <w:rPr/>
      </w:pPr>
      <w:r>
        <w:rPr/>
        <w:t> </w:t>
      </w:r>
    </w:p>
    <w:tbl>
      <w:tblPr>
        <w:tblW w:w="9510" w:type="dxa"/>
        <w:jc w:val="left"/>
        <w:tblInd w:w="0" w:type="dxa"/>
        <w:tblLayout w:type="fixed"/>
        <w:tblCellMar>
          <w:top w:w="28" w:type="dxa"/>
          <w:left w:w="28" w:type="dxa"/>
          <w:bottom w:w="28" w:type="dxa"/>
          <w:right w:w="28" w:type="dxa"/>
        </w:tblCellMar>
      </w:tblPr>
      <w:tblGrid>
        <w:gridCol w:w="3376"/>
        <w:gridCol w:w="146"/>
        <w:gridCol w:w="241"/>
        <w:gridCol w:w="945"/>
        <w:gridCol w:w="178"/>
        <w:gridCol w:w="178"/>
        <w:gridCol w:w="241"/>
        <w:gridCol w:w="945"/>
        <w:gridCol w:w="146"/>
        <w:gridCol w:w="146"/>
        <w:gridCol w:w="241"/>
        <w:gridCol w:w="945"/>
        <w:gridCol w:w="179"/>
        <w:gridCol w:w="179"/>
        <w:gridCol w:w="353"/>
        <w:gridCol w:w="880"/>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exercise prices)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Range of exercise prices of such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$0.69 - $6.59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$1.85 - $6.59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$0.64 - $6.59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$1.85 - $6.59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above options, which were outstanding at August 1, 2026, expire from September 11, 2026 to February 20, 2033.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Excluded from the computation of basic and diluted earnings per share for all periods were 573,000 PSUs. On August 11, 2026, subsequent to the end of the second quarter of fiscal 2026, all 573,000 PSUs expired. In addition, 700,804 shares and 524,309 shares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deferred stock at August 1, 2026 and August 2, 2025, respectively, were excluded from the computation of basic earnings per share. Shares of deferred stock are not considered issued and outstanding until the vesting date of the deferral period. </w:t>
      </w:r>
    </w:p>
    <w:p>
      <w:pPr>
        <w:pStyle w:val="TextBody"/>
        <w:bidi w:val="0"/>
        <w:spacing w:before="240" w:after="283"/>
        <w:jc w:val="left"/>
        <w:rPr>
          <w:rFonts w:ascii="Times New Roman" w:hAnsi="Times New Roman"/>
          <w:sz w:val="20"/>
        </w:rPr>
      </w:pPr>
      <w:r>
        <w:rPr>
          <w:rFonts w:ascii="Times New Roman" w:hAnsi="Times New Roman"/>
          <w:b/>
          <w:color w:val="000000"/>
          <w:sz w:val="20"/>
        </w:rPr>
        <w:t>8.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Company's income tax provision for interim periods is determined using an estimate of its annual effective tax rate, adjusted for discrete items, if any. Each quarter, the Company updates its estimate of the annual effective </w:t>
      </w:r>
      <w:r>
        <w:rPr>
          <w:rFonts w:ascii="Times New Roman" w:hAnsi="Times New Roman"/>
          <w:color w:val="252525"/>
          <w:sz w:val="20"/>
        </w:rPr>
        <w:t>tax</w:t>
      </w:r>
      <w:r>
        <w:rPr>
          <w:rFonts w:ascii="Times New Roman" w:hAnsi="Times New Roman"/>
          <w:color w:val="000000"/>
          <w:sz w:val="20"/>
        </w:rPr>
        <w:t xml:space="preserve"> </w:t>
      </w:r>
      <w:r>
        <w:rPr>
          <w:rFonts w:ascii="Times New Roman" w:hAnsi="Times New Roman"/>
          <w:color w:val="252525"/>
          <w:sz w:val="20"/>
        </w:rPr>
        <w:t>rate</w:t>
      </w:r>
      <w:r>
        <w:rPr>
          <w:rFonts w:ascii="Times New Roman" w:hAnsi="Times New Roman"/>
          <w:color w:val="000000"/>
          <w:sz w:val="20"/>
        </w:rPr>
        <w:t xml:space="preserve"> and makes a year-to-date adjustment to the provision.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deferred tax assets primarily relate to federal and state net operating loss carryforwards. Realization of these assets depends on the generation of future taxable income. During the fourth quarter of fiscal 2025, the Company recorded a full valuation reserve against its net deferred assets. While the Company believed that profitability would return over the long term, the Company was forecasting operating losses in the near term. At August 1, 2026, management continues to conclude that the negative evidence outweighs available positive evidence regarding realizability of its deferred tax assets and that the full valuation allowance should remain against its net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six months of fiscal 2026, the Company’s effective tax rate was (0.8)% as compared to an effective tax rate of 4.6% for the first six months of fiscal 2025. Because of the full valuation allowance against the net deferred tax assets, the effective tax rate for the first six months of fiscal 2026 primarily reflects a provision for state margin tax, based on gross receipts less certain deductions. The effective tax rate for the first six months of fiscal 2025 reflected the impact of permanent book-to-tax differences and discrete items.</w:t>
      </w:r>
    </w:p>
    <w:p>
      <w:pPr>
        <w:pStyle w:val="TextBody"/>
        <w:bidi w:val="0"/>
        <w:spacing w:before="240" w:after="283"/>
        <w:jc w:val="both"/>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August 1, 2026 and January 31, 2026, the Company held U.S. treasury bills, which were classified as held-to-maturity and carried at amortized cost. </w:t>
        <w:br/>
        <w:t> </w:t>
      </w:r>
    </w:p>
    <w:tbl>
      <w:tblPr>
        <w:tblW w:w="9589" w:type="dxa"/>
        <w:jc w:val="left"/>
        <w:tblInd w:w="0" w:type="dxa"/>
        <w:tblLayout w:type="fixed"/>
        <w:tblCellMar>
          <w:top w:w="28" w:type="dxa"/>
          <w:left w:w="28" w:type="dxa"/>
          <w:bottom w:w="28" w:type="dxa"/>
          <w:right w:w="28" w:type="dxa"/>
        </w:tblCellMar>
      </w:tblPr>
      <w:tblGrid>
        <w:gridCol w:w="2426"/>
        <w:gridCol w:w="233"/>
        <w:gridCol w:w="1087"/>
        <w:gridCol w:w="146"/>
        <w:gridCol w:w="146"/>
        <w:gridCol w:w="244"/>
        <w:gridCol w:w="1136"/>
        <w:gridCol w:w="146"/>
        <w:gridCol w:w="146"/>
        <w:gridCol w:w="302"/>
        <w:gridCol w:w="719"/>
        <w:gridCol w:w="146"/>
        <w:gridCol w:w="146"/>
        <w:gridCol w:w="645"/>
        <w:gridCol w:w="1530"/>
        <w:gridCol w:w="391"/>
      </w:tblGrid>
      <w:tr>
        <w:trPr/>
        <w:tc>
          <w:tcPr>
            <w:tcW w:w="24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Quoted Prices</w:t>
              <w:br/>
              <w:t>in Active</w:t>
              <w:br/>
              <w:t>Markets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Significant</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Significant Unobservable</w:t>
              <w:br/>
              <w:t>Inputs (Level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August 1, 2026:</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31, 2026:</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10. Tariffs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20, 2026, the U.S. Supreme Court ruled that certain tariffs imposed by the current administration under the International Emergency Economic Powers Act were unlawful. Following this ruling, the U.S. Court of International Trade directed U.S. Customs and Border Protection (“CBP”) to establish a process for the submission and review of refund claims related to affected tariffs.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April 2026, CBP launched an online portal through which companies may submit refund requests. During the second quarter of fiscal 2026, the Company received refunds totaling approximately $4.6 million related to tariffs previously paid. The $4.6 million was recognized as a reduction in cost of goods sold for the three and six months ended August 1, 2026.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scope, duration, and rates of existing and proposed tariff measures, as well as the potential for modifications, suspensions, or retaliatory trade actions, remain uncertain. These actions could impact the Company’s operations, supply chain, and cost structure. The Company is continuing to monitor these developments and assessing the potential impact on its business, financial condition, and results of operations.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11. Segment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sells clothing, footwear and accessories to big + tall men through its stores and direct business, which includes its website, mobile app and certain marketplaces. The Company has identified its stores and its direct business as two separate operating segments. Through the end of the second quarter of fiscal 2026, resources were allocated and performance was assessed by our former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President and Chief Executive Officer, who was with the Company until August 11, 2026 and whom we had determined to be our Chief Operating Decision Maker (the “CODM”).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CODM evaluates the performance of the Company's operating segments and allocates resources based on sales performance, merchandise margins and 4-wall contribution, a non-GAAP measure. The accounting policies are the same as those described in Note A, </w:t>
      </w:r>
      <w:r>
        <w:rPr>
          <w:rFonts w:ascii="Times New Roman" w:hAnsi="Times New Roman"/>
          <w:i/>
          <w:color w:val="000000"/>
          <w:sz w:val="20"/>
        </w:rPr>
        <w:t>Summary of Significant Accounting Policies</w:t>
      </w:r>
      <w:r>
        <w:rPr>
          <w:rFonts w:ascii="Times New Roman" w:hAnsi="Times New Roman"/>
          <w:color w:val="000000"/>
          <w:sz w:val="20"/>
        </w:rPr>
        <w:t xml:space="preserve"> included in the Company's consolidated financial statements for the year ended January 31, 2026. The Company defines 4-wall contribution, which the CODM considers the performance measure for segment profitability, as segment revenues less cost of goods sold, occupancy costs and selling expenses. </w:t>
      </w:r>
    </w:p>
    <w:p>
      <w:pPr>
        <w:pStyle w:val="TextBody"/>
        <w:bidi w:val="0"/>
        <w:jc w:val="left"/>
        <w:rPr>
          <w:rFonts w:ascii="Times New Roman" w:hAnsi="Times New Roman"/>
          <w:color w:val="000000"/>
          <w:sz w:val="20"/>
        </w:rPr>
      </w:pPr>
      <w:r>
        <w:rPr>
          <w:rFonts w:ascii="Times New Roman" w:hAnsi="Times New Roman"/>
          <w:color w:val="000000"/>
          <w:sz w:val="20"/>
        </w:rPr>
        <w:t>We aggregate our two operating segments because they are economically similar. Both segments sell the same merchandise, at the same pricing, and share the same customer base, production, advertising spend and distribution. Our distribution channels are available to our customers regardless of how they initiate their transaction. Through our mobile app or website, a customer can initiate a purchase online and that purchase could be filled either by the distribution center or one of our stores. Similarly, a customer also has the option to pick up in store or have the merchandise shipped directly to them. The 4-wall contribution margin for each segment is materially similar, further supporting the economic similarity of these two operating segments and that no additional value would be provided by reporting the segments separately.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is a summary of our segment disclosures and a reconciliation of 4-wall contribution to net income (loss):</w:t>
      </w:r>
    </w:p>
    <w:tbl>
      <w:tblPr>
        <w:tblW w:w="10205" w:type="dxa"/>
        <w:jc w:val="left"/>
        <w:tblInd w:w="0" w:type="dxa"/>
        <w:tblLayout w:type="fixed"/>
        <w:tblCellMar>
          <w:top w:w="28" w:type="dxa"/>
          <w:left w:w="28" w:type="dxa"/>
          <w:bottom w:w="28" w:type="dxa"/>
          <w:right w:w="28" w:type="dxa"/>
        </w:tblCellMar>
      </w:tblPr>
      <w:tblGrid>
        <w:gridCol w:w="3886"/>
        <w:gridCol w:w="146"/>
        <w:gridCol w:w="266"/>
        <w:gridCol w:w="986"/>
        <w:gridCol w:w="172"/>
        <w:gridCol w:w="151"/>
        <w:gridCol w:w="266"/>
        <w:gridCol w:w="986"/>
        <w:gridCol w:w="166"/>
        <w:gridCol w:w="146"/>
        <w:gridCol w:w="266"/>
        <w:gridCol w:w="986"/>
        <w:gridCol w:w="166"/>
        <w:gridCol w:w="146"/>
        <w:gridCol w:w="266"/>
        <w:gridCol w:w="986"/>
        <w:gridCol w:w="218"/>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 the Six Months Ended</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 2026</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 2025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 2026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 2025</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111,556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221,038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(87,115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Store payroll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selling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(6,820</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4-wall contribution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32,421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58,797</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(13,465</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G&amp;A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Distributing and supporting G&amp;A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(14,595</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CODM does not receive information about assets at the segment level because the Company's assets are managed at a consolidated level by department as opposed to by segment.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12. Agreement and Plan of Merger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11, 2025, the Company, Divine Merger Sub I, Inc., a Delaware corporation and wholly owned direct subsidiary of the Company (“Merger Sub”), and FBB Holdings I, Inc., a Delaware corporation (“FBB” or “FullBeauty”), entered into an Agreement and Plan of Merger (as subsequently amended, the “Merger Agreement”). The Merger Agreement provides that, on the terms and subject to the conditions set forth therein, Merger Sub would merge with and into FullBeauty, with FullBeauty being the surviving corporation as a wholly owned subsidiary of the Company (the “Merger”). On August 19, 2026, the Company, Merger Sub and FullBeauty amended the Merger Agreement to extend the end date from September 11, 2026 to October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Merger is consummated, at the effective time of the Merger, each share of common stock, par value $0.01 per share, of FBB (“FBB Common Stock”) would be converted into the right to receive that number of fully paid and nonassessable shares of the common stock, par value $0.01 per share, of the Company (the “DXL Common Stock”) equal to the Exchange Ratio, as defined in the Merger Agreement. A holder of FBB Common Stock who would otherwise be entitled to receive a fraction of a share of DXL Common Stock would have such fractional share rounded up to one whole share of DXL Common Stock. If the Merger is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consummated, holders of FBB Common Stock would own 55% of the combined company and holders of DXL Common Stock would own 45% of the combined company. </w:t>
      </w:r>
    </w:p>
    <w:p>
      <w:pPr>
        <w:pStyle w:val="TextBody"/>
        <w:bidi w:val="0"/>
        <w:spacing w:before="120" w:after="283"/>
        <w:jc w:val="left"/>
        <w:rPr>
          <w:rFonts w:ascii="Times New Roman" w:hAnsi="Times New Roman"/>
          <w:sz w:val="20"/>
        </w:rPr>
      </w:pPr>
      <w:r>
        <w:rPr>
          <w:rFonts w:ascii="Times New Roman" w:hAnsi="Times New Roman"/>
          <w:color w:val="000000"/>
          <w:sz w:val="20"/>
        </w:rPr>
        <w:t>The Company filed an Amendment No. 1 to Preliminary Proxy Statement (as amended, the “Preliminary Proxy Statement”) with the U.S. Securities and Exchange Commission (the “SEC”) on September 2, 2026. Upon clearance from the SEC, the Company intends to file a definitive proxy statement, which will be distributed to its stockholders in connection with their vote on the proposal to approve the issuance of shares of the Company’s common stock as consideration in the Merger (the “Issuance Proposal”). As described more fully in the Preliminary Proxy Statement, the Company’s Board of Directors (the “Board”) has continued to evaluate the Merger, including in light of developments since the execution of the Merger Agreement. As part of that evaluation, the Board has considered, among other things, (i) the increasingly challenging consumer environment since the execution of the Merger Agreement in December 2025, (ii) FullBeauty’s continuing decline in operating performance and financial results, including lower-than-expected net sales, net income (loss), adjusted EBITDA and cash flow from operations as compared to both prior-year performance and prior projections (and the corresponding heightened risk that FullBeauty will not achieve its projections for the current fiscal year), (iii) FullBeauty’s increased level of indebtedness, (iv) concerns regarding FullBeauty’s potential negative equity value, and (v) the substantial economic dilution that DXL stockholders would experience if the Merger were consummated on its current terms. Based on this evaluation, including these considerations, the Board has determined that the Merger and the transactions contemplated by the Merger Agreement, including the Issuance Proposal, are no longer advisable and are not in the best interests of the Company and its stockholders</w:t>
      </w:r>
      <w:r>
        <w:rPr>
          <w:rFonts w:ascii="Times New Roman" w:hAnsi="Times New Roman"/>
          <w:b/>
          <w:color w:val="000000"/>
          <w:sz w:val="20"/>
        </w:rPr>
        <w:t xml:space="preserve">. </w:t>
      </w:r>
      <w:r>
        <w:rPr>
          <w:rFonts w:ascii="Times New Roman" w:hAnsi="Times New Roman"/>
          <w:color w:val="000000"/>
          <w:sz w:val="20"/>
        </w:rPr>
        <w:t>Accordingly, the Board recommends that its stockholders vote “against” the Issuance Proposal that will be included in the definitive proxy statement, when it becomes available.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Merger Agreement, this change in recommendation by the Board does not permit the Company to terminate the Merger Agreement and, accordingly, the Company remains obligated to submit the Issuance Proposal to its stockholders for a vote. By contrast, as a result of the Board's change in recommendation, FullBeauty has the right to terminate the Merger Agreement under specified circumstances, in which case the Company would be required to pay a termination fee of $2.5 million and/or out-of-pocket fees and expense reimbursement of up to $950,000.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Merger Agreement, if the Merger is not consummated by October 30, 2026, either party could terminate the Merger Agreement without penalty.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in connection with this Merger, primarily related to professional service fees, of $3.0 million and $0.2 million, were included in “Transaction-related costs” on the Consolidated Statements of Operations for the first six months of fiscal 2026 and fiscal 2025, respectively.</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statements contained in this Quarterly Report on Form 10-Q (this “Quarterly Report”)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the proposed Merger with FullBeauty, including the filing of a definitive proxy statement, the Board's continued evaluation of the proposed transaction, the factors considered by the Board in changing its recommendation with respect to the Issuance Proposal, stockholder voting matters, and the potential consummation of the proposed Merger and related transactions; our belief that our business historically has been seasonal in nature, and that the results of the interim periods presented are not necessarily indicative of the results to be expected for the full year; our expectation that ASU-2023-06 will not have a material impact on our Consolidated Financial Statements or related disclosures because we are currently subject to the reporting requirements of Regulation S-X and Regulation S-K; our belief that profitability will return over the long term, while forecasting operating losses in the near term; our continued conclusion that the negative evidence outweighs available positive evidence regarding realizability of our deferred tax assets and that the full valuation allowance should remain against our net deferred tax assets; our belief that the macro and sector headwinds are influencing the core DXL big + tall consumer and are materially affecting traffic; our belief that our disciplined operating approach and focus on execution will position us to drive improved performance as fiscal 2026 progresses; our belief that our customer is responding positively to the adjustments we are making to our assortment, promotional strategy, and customer experience; our belief in several strategic initiatives designed to strengthen our market leadership in the big + tall sector while enhancing the customer experience across channels; our belief that FiTMAP remains one of the Company’s most important long-term growth drivers; our belief that early results for FiTMAP technology continue to reinforce its value; our belief that personalized fit solutions can drive both customer satisfaction and profitable growth; our belief that AI-powered search and discovery tools may become increasingly important in ecommerce; our belief that the new AI initiatives that were launched will improve product data quality, enrich item-level attributes and strengthen our ability to connect product, pricing and inventory information across AI-enabled platforms; our intention that our AI initiatives will improve discoverability, support future commerce applications and position us to compete effectively as digital shopping journeys become more conversational and agent-driven; our belief that GLP-1 medications and similar weight-loss medications may be influencing customer behavior and category demand; our belief, based on our research, that a meaningful portion of our customer base is currently using GLP-1 medications; our belief that GLP-1 medications provide both a near-term challenge and a long-term opportunity; our belief based on our research that while some customers may pause apparel purchases during periods of rapid size change, we expect many will return once they reach a more stable size profile; our belief that we can strengthen retention, reactivation and lifetime value over time by staying closely aligned with evolving customer needs; our belief that the comparable sales for May reflected lower traffic as consumers remained cautious amid pressure on discretionary spending from inflation, higher energy costs, global conflict and broader economic uncertainty; our belief that the comparable sales for June and July reflected Father’s Day and other promotional activities that helped offset the continued decline in traffic; our belief that the scope, duration, and rates of existing and proposed tariff measures, as well as the potential for modifications, suspensions, or retaliatory trade actions, could impact our operations, supply chain, and cost structure; our belief that it is difficult to determine the potential impact that continuing tariffs may have on our financial results for fiscal 2026; our expectation that the impact of the current administration’s tariffs on gross margin for fiscal 2026, exclusive of refunds realized, will be approximately 100 basis points; our expectation that for fiscal 2026 marketing costs will be approximately 5.8% of sales; our belief that our cash and cash equivalent balances, short-term investments, cash generated from operations, and borrowings available to us under our credit facility will be adequate to meet our liquidity needs and capital expenditure requirements for at least the next 12 months; our belief that cash flows from operating activities and cash on hand will be sufficient to satisfy our current capital requirements in the short-term; our belief that in the longer term, to the extent future capital requirements exceed cash on hand plus cash flows from operating activities, we anticipate that working capital will be financed by our credit facility; our belief that our inventory position is healthy, and our clearance levels are in line with our benchmark of 10%; our expectation that capital expenditures for fiscal 2026 will range from $8.0 million to $10.0 million, net of tenant incentives, which is a decrease from our previous estimate of $9.0 million to $12.0 million; our expectation that capital spend for fiscal 2026 to be primarily for technology-related projects to support our business initiatives and projects necessary to maintain our existing store portfolio and distribution center; our belief that inclusion of the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our belief that the comparability of adjusted net income (loss) is useful in comparing the actual results period to period; our belief that free cash flow is important to investors because it demonstrates our ability to strengthen liquidity while supporting our capital projects and new store development; our belief that providing adjusted EBITDA and adjusted EBITDA margin is useful to investors in evaluating our performance and are key metrics to measure profitability and economic productivity; our belief that the resolution of legal proceedings and claims that may arise in the ordinary course of business will not have a material adverse impact on our future results of operations or financial position; our expectation that we will be able to take proactive measures to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 our inventory and adjust our receipt plan given the ongoing macroeconomic factors affecting consumer spending. These forward-looking statements generally relate to plans and objectives for future operations and are based 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31, 2026, included in our Annual Report on Form 10-K for the year ended January 31, 2026, as filed with the Securities and Exchange Commission (“SEC”) on March 19, 2026 (our “Fiscal 2025 Annual Report”).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Numerous factors could cause our actual results to differ materially from such forward-looking statements. We encourage readers to refer to our filings with the SEC, including Amendment No. 1 to Preliminary Proxy Statement filed on September 2, 2026, that set forth certain risks and uncertainties that may have an impact on future results and direction of our Company, including risks related to the Merger and combining our business with FullBeauty, risks if a Merger is not approved, changes in consumer spending in response to economic factors, the impact of current tariffs, the impact of any further increases in tariffs, our ability to proactively react to the current and further potential changes in tariffs to minimize risk; rising fuel costs, high interest rates; the impact of ongoing worldwide conflicts on the global economy; and our ability to execute on our marketing, digital, store and collaboration strategies, ability to grow our market share, predict customer tastes and fashion trends, compete successfully in the United States men’s big + tall apparel market, and the other risks and uncertainties as set forth in the “Risk Factors” section in Part I, Item 1A of our Fiscal 2025 Annual Report.</w:t>
      </w:r>
    </w:p>
    <w:p>
      <w:pPr>
        <w:pStyle w:val="TextBody"/>
        <w:bidi w:val="0"/>
        <w:jc w:val="left"/>
        <w:rPr>
          <w:rFonts w:ascii="Times New Roman" w:hAnsi="Times New Roman"/>
          <w:color w:val="000000"/>
          <w:sz w:val="20"/>
        </w:rPr>
      </w:pPr>
      <w:r>
        <w:rPr>
          <w:rFonts w:ascii="Times New Roman" w:hAnsi="Times New Roman"/>
          <w:color w:val="000000"/>
          <w:sz w:val="20"/>
        </w:rPr>
        <w:t xml:space="preserve">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 </w:t>
      </w:r>
    </w:p>
    <w:p>
      <w:pPr>
        <w:pStyle w:val="TextBody"/>
        <w:bidi w:val="0"/>
        <w:spacing w:before="360" w:after="283"/>
        <w:jc w:val="left"/>
        <w:rPr>
          <w:rFonts w:ascii="Times New Roman" w:hAnsi="Times New Roman"/>
          <w:sz w:val="20"/>
        </w:rPr>
      </w:pPr>
      <w:r>
        <w:rPr>
          <w:rFonts w:ascii="Times New Roman" w:hAnsi="Times New Roman"/>
          <w:b/>
          <w:color w:val="000000"/>
          <w:sz w:val="20"/>
        </w:rPr>
        <w:t>BUSINESS SUMMARY</w:t>
      </w:r>
      <w:r>
        <w:rPr>
          <w:rFonts w:ascii="Times New Roman" w:hAnsi="Times New Roman"/>
          <w:color w:val="000000"/>
          <w:sz w:val="20"/>
        </w:rPr>
        <w:t xml:space="preserve"> </w:t>
      </w:r>
    </w:p>
    <w:p>
      <w:pPr>
        <w:pStyle w:val="TextBody"/>
        <w:bidi w:val="0"/>
        <w:spacing w:lineRule="auto" w:line="360" w:before="120" w:after="283"/>
        <w:jc w:val="left"/>
        <w:rPr>
          <w:rFonts w:ascii="Times New Roman" w:hAnsi="Times New Roman"/>
          <w:sz w:val="12"/>
        </w:rPr>
      </w:pPr>
      <w:r>
        <w:rPr>
          <w:rFonts w:ascii="Times New Roman" w:hAnsi="Times New Roman"/>
          <w:color w:val="000000"/>
          <w:sz w:val="20"/>
        </w:rPr>
        <w:t>Destination XL Group, Inc., together with our consolidated subsidiaries (the “Company”), is the largest specialty retailer of big + tall men’s clothing with retail and direct operations in the United States. We operate under the trade names of Destination XL</w:t>
      </w:r>
      <w:r>
        <w:rPr>
          <w:rFonts w:ascii="Times New Roman" w:hAnsi="Times New Roman"/>
          <w:color w:val="000000"/>
          <w:sz w:val="12"/>
        </w:rPr>
        <w:t>®</w:t>
      </w:r>
      <w:r>
        <w:rPr>
          <w:rFonts w:ascii="Times New Roman" w:hAnsi="Times New Roman"/>
          <w:color w:val="000000"/>
          <w:sz w:val="20"/>
        </w:rPr>
        <w:t>, DXL</w:t>
      </w:r>
      <w:r>
        <w:rPr>
          <w:rFonts w:ascii="Times New Roman" w:hAnsi="Times New Roman"/>
          <w:color w:val="000000"/>
          <w:sz w:val="12"/>
        </w:rPr>
        <w:t>®</w:t>
      </w:r>
      <w:r>
        <w:rPr>
          <w:rFonts w:ascii="Times New Roman" w:hAnsi="Times New Roman"/>
          <w:color w:val="000000"/>
          <w:sz w:val="20"/>
        </w:rPr>
        <w:t>, DXL Outlets, Casual Male XL</w:t>
      </w:r>
      <w:r>
        <w:rPr>
          <w:rFonts w:ascii="Times New Roman" w:hAnsi="Times New Roman"/>
          <w:color w:val="000000"/>
          <w:sz w:val="13"/>
        </w:rPr>
        <w:t xml:space="preserve">® </w:t>
      </w:r>
      <w:r>
        <w:rPr>
          <w:rFonts w:ascii="Times New Roman" w:hAnsi="Times New Roman"/>
          <w:color w:val="000000"/>
          <w:sz w:val="20"/>
        </w:rPr>
        <w:t xml:space="preserve">and Casual Male XL Outlets. At August 1, 2026, we operated 257 Destination XL stores, 17 DXL outlet stores, 5 Casual Male XL retail stores, 14 Casual Male XL outlet stores and a digital business, including an e-commerce site at </w:t>
      </w:r>
      <w:r>
        <w:rPr>
          <w:rFonts w:ascii="Times New Roman" w:hAnsi="Times New Roman"/>
          <w:sz w:val="20"/>
        </w:rPr>
        <w:t>dxl.com</w:t>
      </w:r>
      <w:r>
        <w:rPr>
          <w:rFonts w:ascii="Times New Roman" w:hAnsi="Times New Roman"/>
          <w:color w:val="000000"/>
          <w:sz w:val="12"/>
        </w:rPr>
        <w:t xml:space="preserve"> </w:t>
      </w:r>
      <w:r>
        <w:rPr>
          <w:rFonts w:ascii="Times New Roman" w:hAnsi="Times New Roman"/>
          <w:color w:val="000000"/>
          <w:sz w:val="20"/>
        </w:rPr>
        <w:t>and a mobile site, m.destinationXL.com, mobile app and third-party marketplaces.</w:t>
      </w:r>
      <w:r>
        <w:rPr>
          <w:rFonts w:ascii="Times New Roman" w:hAnsi="Times New Roman"/>
          <w:color w:val="000000"/>
          <w:sz w:val="12"/>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Unless the context indicates otherwise, all references to “we,” “our,” “us” and “the Company” refer to Destination XL Group, Inc. and our consolidated subsidiaries. We refer to our fiscal years, which end on January 30, 2027 and January 31, 2026 as “fiscal 2026” and “fiscal 2025,” respectively. Both fiscal years are 52-week periods. </w:t>
      </w:r>
    </w:p>
    <w:p>
      <w:pPr>
        <w:pStyle w:val="TextBody"/>
        <w:bidi w:val="0"/>
        <w:spacing w:before="360" w:after="283"/>
        <w:jc w:val="left"/>
        <w:rPr>
          <w:rFonts w:ascii="Times New Roman" w:hAnsi="Times New Roman"/>
          <w:sz w:val="20"/>
        </w:rPr>
      </w:pPr>
      <w:r>
        <w:rPr>
          <w:rFonts w:ascii="Times New Roman" w:hAnsi="Times New Roman"/>
          <w:b/>
          <w:color w:val="000000"/>
          <w:sz w:val="20"/>
        </w:rPr>
        <w:t>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two operating segments: our stores and our direct business. We consider our stores and direct business segments to be similar in terms of economic characteristics, production processes and operations, and have therefore aggregated them into one reportable segment consistent with our omni-channel business approach.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COMPARABLE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customer’s shopping experience continues to evolve across multiple channels and we are continually adapting to meet the guest’s needs. The majority of our stores have the capability to fulfill online orders if merchandise is not available in the warehouse. As a result, certain transactions that begin online are ultimately completed at the store level. Similarly, if a customer visits a store and the item is out of stock, the associate can order the item through our website. A customer also has the ability to order online and pick-up in a store and at curbside. We define store sales as sales that originate and are fulfilled directly at the store level. Digital commerce sales, which we also refer to as direct sales, are defined as sales that originate online, whether through our website, at the store level or through a third-party marketplace.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Stores that have been open for at least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is temporarily closed for more than 7 days, it is removed from the calculation of comparable sales until it reopens and upon its anniversary is once again removed from the calculation until the reopen date. The method of calculating comparable sales varies across the retail industry and, as a result, our calculation of comparable sales is not necessarily comparable to similarly titled measures reported by other retailers.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aps/>
          <w:color w:val="000000"/>
          <w:sz w:val="20"/>
        </w:rPr>
      </w:pPr>
      <w:r>
        <w:rPr>
          <w:rFonts w:ascii="Times New Roman" w:hAnsi="Times New Roman"/>
          <w:b/>
          <w:caps/>
          <w:color w:val="000000"/>
          <w:sz w:val="20"/>
        </w:rPr>
        <w:t>Update on Merger with FullBeauty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11, 2025, the Company, Divine Merger Sub I, Inc., a Delaware corporation and wholly owned direct subsidiary of the Company (“Merger Sub”), and FBB Holdings I, Inc., a Delaware corporation (“FBB” or “FullBeauty”), entered into an Agreement and Plan of Merger (as subsequently amended, the “Merger Agreement”). The Merger Agreement provides that, on the terms and subject to the conditions set forth therein, Merger Sub would merge with and into FullBeauty, with FullBeauty being the surviving corporation as a wholly owned subsidiary of the Company (the “Merger”). On August 19, 2026, the Company, Merger Sub and FullBeauty amended the Merger Agreement to extend the end date from September 11, 2026 to October 30, 2026.</w:t>
      </w:r>
    </w:p>
    <w:p>
      <w:pPr>
        <w:pStyle w:val="TextBody"/>
        <w:bidi w:val="0"/>
        <w:spacing w:before="240" w:after="283"/>
        <w:jc w:val="left"/>
        <w:rPr>
          <w:rFonts w:ascii="Times New Roman" w:hAnsi="Times New Roman"/>
          <w:sz w:val="20"/>
        </w:rPr>
      </w:pPr>
      <w:r>
        <w:rPr>
          <w:rFonts w:ascii="Times New Roman" w:hAnsi="Times New Roman"/>
          <w:color w:val="000000"/>
          <w:sz w:val="20"/>
        </w:rPr>
        <w:t>In connection with this Merger, the Company filed the Preliminary Proxy Statement with the SEC on September 2, 2026. Upon clearance from the SEC, the Company intends to file a definitive proxy statement, which will be distributed to its stockholders in connection with their vote on the Issuance Proposal. As described more fully in the Preliminary Proxy Statement, the Board has continued to evaluate the Merger, including in light of developments since the execution of the Merger Agreement. As part of that evaluation, the Board has considered, among other things, (i) the increasingly challenging consumer environment since the execution of the Merger Agreement in December 2025, (ii) FullBeauty’s continuing decline in operating performance and financial results, including lower-than-expected net sales, net income (loss), adjusted EBITDA and cash flow from operations as compared to both prior-year performance and prior projections (and the corresponding heightened risk that FullBeauty will not achieve its projections for the current fiscal year), (iii) FullBeauty’s increased level of indebtedness, (iv) concerns regarding FullBeauty’s potential negative equity value, and (v) the substantial economic dilution that DXL stockholders would experience if the Merger were consummated on its current terms. Based on this evaluation, including these considerations, the Board has determined that the Merger and the transactions contemplated by the Merger Agreement, including the Issuance Proposal, are no longer advisable and are not in the best interests of the Company and its stockholders</w:t>
      </w:r>
      <w:r>
        <w:rPr>
          <w:rFonts w:ascii="Times New Roman" w:hAnsi="Times New Roman"/>
          <w:b/>
          <w:color w:val="000000"/>
          <w:sz w:val="20"/>
        </w:rPr>
        <w:t xml:space="preserve">. </w:t>
      </w:r>
      <w:r>
        <w:rPr>
          <w:rFonts w:ascii="Times New Roman" w:hAnsi="Times New Roman"/>
          <w:color w:val="000000"/>
          <w:sz w:val="20"/>
        </w:rPr>
        <w:t>Accordingly, the Board recommends that its stockholders vote “against” the Issuance Proposal that will be included in the definitive proxy statement, when it becomes available.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EXECUTIVE SUMMARY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3"/>
        <w:gridCol w:w="146"/>
        <w:gridCol w:w="308"/>
        <w:gridCol w:w="806"/>
        <w:gridCol w:w="241"/>
        <w:gridCol w:w="146"/>
        <w:gridCol w:w="308"/>
        <w:gridCol w:w="806"/>
        <w:gridCol w:w="241"/>
        <w:gridCol w:w="146"/>
        <w:gridCol w:w="146"/>
        <w:gridCol w:w="308"/>
        <w:gridCol w:w="806"/>
        <w:gridCol w:w="292"/>
        <w:gridCol w:w="146"/>
        <w:gridCol w:w="308"/>
        <w:gridCol w:w="806"/>
        <w:gridCol w:w="292"/>
        <w:gridCol w:w="200"/>
      </w:tblGrid>
      <w:tr>
        <w:trPr/>
        <w:tc>
          <w:tcPr>
            <w:tcW w:w="3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(in millions, except percentage of sales and per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net income (loss)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Adjusted EBITDA (non-GAAP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Per diluted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net income (loss)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As a percentage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SG&amp;A expenses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3"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 xml:space="preserve">Adjusted EBITDA margin (non-GAAP)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120"/>
        <w:jc w:val="left"/>
        <w:rPr>
          <w:rFonts w:ascii="Times New Roman" w:hAnsi="Times New Roman"/>
          <w:color w:val="000000"/>
          <w:sz w:val="18"/>
        </w:rPr>
      </w:pPr>
      <w:r>
        <w:rPr>
          <w:rFonts w:ascii="Times New Roman" w:hAnsi="Times New Roman"/>
          <w:color w:val="000000"/>
          <w:sz w:val="18"/>
        </w:rPr>
        <w:t>(1) The amounts and percentages for the second quarter and first six months ended August 2, 2025 reflect the reclassification of certain costs from SG&amp;A expenses to Transaction-related costs for comparability with the amounts and percentages for the second quarter and first six months ended August 1, 2026.</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results for the second quarter reflect our continued progress against our strategic priorities. While traffic to both stores and digital remains under pressure, we were encouraged by the sequential improvement in comparable sales during the second quarter. Comparable sales were down 5.7% in May, down 2.8% in June and improved to down 1.9% in July. We believe macro and sector headwinds are influencing the core DXL big + tall consumer and are materially affecting traffic, but we believe our customer is responding positively to the adjustments we are making to our merchandise assortment, promotional strategy, and customer experience. We remain confident that our disciplined operating approach and focus on execution will position us to drive improved performance as the year progresses.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continued to maintain a solid financial position, successfully managing our liquidity. As of August 1, 2026, we had cash and investments of $20.1 million as compared to $33.5 million as of August 2, 2025, with no outstanding debt in either period. The decrease in cash and investments at August 1, 2026 as compared to August 2, 2025 is primarily due to the capital spent over the past 12 months of approximately $13.9 million. We did not have any borrowings under our credit facility and, as of August 1, 2026, the availability under our credit facility was $61.7 million. Our inventory is down 4.3% at August 1, 2026 as compared to August 2, 2025 and our clearance inventory is below our benchmark of 10%.</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color w:val="000000"/>
          <w:sz w:val="20"/>
          <w:u w:val="single"/>
        </w:rPr>
        <w:t>Strategic Priorities</w:t>
      </w:r>
      <w:r>
        <w:rPr>
          <w:rFonts w:ascii="Times New Roman" w:hAnsi="Times New Roman"/>
          <w:color w:val="000000"/>
          <w:sz w:val="2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continue to advance several strategic initiatives designed to strengthen our market leadership in the big + tall sector while enhancing the customer experience across channels.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FiTMAP®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exclusive rights to our fit technology platform until 2030. FiTMAP® remains one of the Company’s most important long-term growth drivers. This FiTMAP technology is currently available in 188 stores. Since launch, over 150,000 customers have engaged with the platform, and early results continue to reinforce its value. Customers who use FiTMAP have demonstrated stronger conversion, higher average order values, greater purchase frequency and lower return rates, underscoring the role personalized fit can play in driving both customer satisfaction and profitable growth.</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Leverage AI</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sharpening our focus on artificial intelligence (“AI”) as consumer shopping behavior evolves. As the Company believes AI-powered search and discovery tools may become increasingly important in ecommerce, the Company is investing to ensure that its products and content are more visible, relevant and accessible in these emerging environments. We have launched new AI initiatives to improve product data quality, enrich item-level attributes and strengthen our ability to connect product, pricing and inventory information across AI-enabled platforms. These efforts are intended to improve discoverability, support future commerce applications and position the Company to compete effectively as digital shopping journeys become more conversational and agent-driven.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GLP-1 Medications and Similar Weight-Loss Medications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continue to deepen our understanding of how the use of glucagon-like peptide-1 (“GLP-1”) medications and similar weight-loss medications may be influencing customer behavior and category demand. Our research indicates that a meaningful portion of our customer base is currently using GLP-1 medications, contributing to more dynamic sizing needs over time. We are responding thoughtfully by broadening select assortments in smaller sizes and using customer insights to inform future merchandising, marketing and re-engagement strategies. Importantly, the Company sees this as both a near-term challenge and a long-term opportunity: while some customers may pause apparel purchases during periods of rapid size change, many express an intention to return once they reach a more stable size profile. By staying closely aligned with these evolving customer needs, we believe we can strengthen retention, reactivation and lifetime value over time.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Sales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presents sales by segment for the three months ended August 1, 2026 and August 2, 2025:</w:t>
      </w:r>
    </w:p>
    <w:tbl>
      <w:tblPr>
        <w:tblW w:w="10205" w:type="dxa"/>
        <w:jc w:val="left"/>
        <w:tblInd w:w="0" w:type="dxa"/>
        <w:tblLayout w:type="fixed"/>
        <w:tblCellMar>
          <w:top w:w="28" w:type="dxa"/>
          <w:left w:w="28" w:type="dxa"/>
          <w:bottom w:w="28" w:type="dxa"/>
          <w:right w:w="28" w:type="dxa"/>
        </w:tblCellMar>
      </w:tblPr>
      <w:tblGrid>
        <w:gridCol w:w="1086"/>
        <w:gridCol w:w="146"/>
        <w:gridCol w:w="277"/>
        <w:gridCol w:w="1026"/>
        <w:gridCol w:w="146"/>
        <w:gridCol w:w="609"/>
        <w:gridCol w:w="277"/>
        <w:gridCol w:w="1026"/>
        <w:gridCol w:w="146"/>
        <w:gridCol w:w="609"/>
        <w:gridCol w:w="146"/>
        <w:gridCol w:w="277"/>
        <w:gridCol w:w="1026"/>
        <w:gridCol w:w="146"/>
        <w:gridCol w:w="146"/>
        <w:gridCol w:w="466"/>
        <w:gridCol w:w="271"/>
        <w:gridCol w:w="277"/>
        <w:gridCol w:w="1026"/>
        <w:gridCol w:w="146"/>
        <w:gridCol w:w="146"/>
        <w:gridCol w:w="466"/>
        <w:gridCol w:w="318"/>
      </w:tblGrid>
      <w:tr>
        <w:trPr/>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 the 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 the 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 2025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72.2%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72.5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1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27.8%</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27.8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27.5</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1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Total sales for the second quarter of fiscal 2026 were $111.6 million, as compared to $115.5 million in the second quarter of fiscal 2025. The decrease in total sales was primarily attributable to a decrease in comparable sales for the second quarter of 3.5%, partially offset by an increase in non-comparable store sales. Comparable sales decreased 5.7% in May, reflecting lower traffic as consumers remained cautious amid pressure on discretionary spending from inflation, higher energy costs, global conflict and broader economic uncertainty. Comparable sales improved sequentially to a decrease of 2.8% in June and a decrease of 1.9% in July, supported by Father's Day and other promotional activity that helped offset the continued decline in traffic, while consumer confidence still remains pressured. We also continue to believe GLP-1 medications and similar weight-loss medications are contributing to structural changes in customer demand within the big + tall category.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comparable sales decrease of 3.5% for the second quarter consisted of a comparable sales decrease of 4.3% from stores and a comparable sales decrease of 1.6% from our direct business. A decrease in traffic continued to be the primary driver, particularly in stores, partially offset by improvements in conversion and dollars per transaction. The direct business performed stronger than stores as we have seen positive results from our paid search, paid social and program marketing efforts. Contributing to this improvement were strong sales of clearance and promotional merchandise on the website.</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For the first six months of fiscal 2026, total sales of $214.9 million decreased 2.8% as compared to total sales of $221.0 million for the first six months of fiscal 2025. The decrease was primarily driven by a decrease in comparable sales of 3.6%, with stores down 4.4% and our direct business down 1.6%.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Gross Margin Rate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the second quarter of fiscal 2026, our gross margin rate, inclusive of occupancy costs, was 47.9% as compared to a gross margin rate of 45.2% for the second quarter of fiscal 2025.</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gross margin rate for the second quarter increased by 270 basis points, driven by an increase of 340 basis points in merchandise margin, partially offset by a 70 basis point increase in occupancy costs. The increase in merchandise margin as compared to the second quarter of fiscal 2025 is primarily due to a refund of $4.6 million, or 410 basis points, received in the second quarter of fiscal 2026 for tariffs previously paid. This benefit was partially offset by increased shipping costs as a result of fuel surcharges and increased markdown activity associated with clearance sales.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70 basis point increase in occupancy costs for the second quarter, as a percent of sales, was primarily due to the deleveraging of sales. On a dollar basis, occupancy costs increased $0.1 million as compared to the second quarter of fiscal 2025.</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first six months of fiscal 2026, our gross margin rate, inclusive of occupancy costs, was 46.1% as compared to a gross margin rate of 45.1% for the first six months of fiscal 2025. The increase of 100 basis points was driven by an increase of 130 basis points in merchandise margin, partially offset by a 30 basis point increase in occupancy costs. The increase in merchandise margin as compared to the first six months of fiscal 2025 was primarily due to the refund for tariffs of $4.6 million, or 210 basis points. Similar to the second quarter, this benefit was partially offset by increased shipping costs and increased markdown activity.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increase in occupancy costs of 30 basis points for the first six months of fiscal 2026, as a percentage of sales, was primarily due to the deleveraging of sales. On a dollar basis, occupancy costs decreased $0.4 million, primarily due to $1.4 million received from a landlord as a result of an early lease termination, partially offset by increased rents from lease extensions and new stores.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Given the volatility that currently exists around trade discussions, it is difficult to determine the potential impact that continuing tariffs may have on our financial results for fiscal 2026. However, if currently enacted rates remain in effect throughout fiscal 2026, and no additional tariffs, including those under U.S. trade laws, are added, we estimate that the impact of the current administration’s tariffs on gross margin for fiscal 2026, exclusive of refunds realized, will be approximately 100 basis points.</w:t>
      </w:r>
    </w:p>
    <w:p>
      <w:pPr>
        <w:pStyle w:val="TextBody"/>
        <w:bidi w:val="0"/>
        <w:spacing w:before="120" w:after="120"/>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a percentage of sales, selling, general and administrative (“SG&amp;A”) expenses for the second quarter of fiscal 2026 were 41.0% as compared to 41.1% for the second quarter of fiscal 2025. For the first six months of fiscal 2026, SG&amp;A expenses, as a percentage of sales, were 42.9% as compared to 42.9% for the first six months of fiscal 2025.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a dollar basis, SG&amp;A expenses decreased by $1.8 million for the second quarter of fiscal 2026 as compared to the second quarter of fiscal 2025. For the first six months of fiscal 2026, SG&amp;A expenses decreased $2.7 million as compared to the first six months of fiscal 2025. The decrease for both periods was primarily due to a decrease in incentive-based compensation, including the reversal of expense associated with forfeited awards, and favorable healthcare costs.</w:t>
      </w:r>
    </w:p>
    <w:p>
      <w:pPr>
        <w:pStyle w:val="TextBody"/>
        <w:bidi w:val="0"/>
        <w:jc w:val="left"/>
        <w:rPr>
          <w:rFonts w:ascii="Times New Roman" w:hAnsi="Times New Roman"/>
          <w:color w:val="000000"/>
          <w:sz w:val="20"/>
        </w:rPr>
      </w:pPr>
      <w:r>
        <w:rPr>
          <w:rFonts w:ascii="Times New Roman" w:hAnsi="Times New Roman"/>
          <w:color w:val="000000"/>
          <w:sz w:val="20"/>
        </w:rPr>
        <w:t>Marketing costs were 6.1% of sales for the second quarter of fiscal 2026 and fiscal 2025. For the first six months of fiscal 2026, marketing costs were 6.3% of sales as compared to 6.1% of sales for the first six months of fiscal 2025. For fiscal 2026, marketing costs are expected to be approximately 5.8%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views SG&amp;A expenses through two primary cost centers: Customer Facing Costs and Corporate Support Costs. Customer Facing Costs, which include store payroll, marketing and other store and direct operating costs, represented 25.5% of sales for the first six months of fiscal 2026 as compared to 24.6% of sales for the first six months of fiscal 2025. Corporate Support Costs, which include the distribution center and corporate overhead costs, represented 17.4% of sales for the first six months of fiscal 2026 as compared to 18.3% of sales for the first six months of fiscal 2025.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Transaction-Related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Transaction-related costs for the second quarter and first six months of fiscal 2026 were $1.8 million and $3.0 million, respectively, as compared to $0.1 million and $0.2 million for the second quarter and first six months of fiscal 2025, respectively. Transaction-related costs primarily related to fees paid for professional services in connection with costs related to the Merger.</w:t>
      </w:r>
    </w:p>
    <w:p>
      <w:pPr>
        <w:pStyle w:val="TextBody"/>
        <w:bidi w:val="0"/>
        <w:spacing w:before="240" w:after="283"/>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for the second quarter of fiscal 2026 increased to $4.0 million as compared to $3.9 million for the second quarter of fiscal 2025. For the first six months of fiscal 2026, depreciation and amortization was $7.9 million as compared to $7.5 million for the first six months of fiscal 2025. The increase in depreciation and amortization in fiscal 2026 is due to capital projects, including new stores, completed in fiscal 2025.</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interest income for the second quarter of fiscal 2026 was $0.1 million, as compared to $0.2 million for the second quarter of fiscal 2025. For the first six months of fiscal 2026, net interest income was $0.1 million, as compared to $0.5 million for the first six months of fiscal 2025. The decrease in interest income for the second quarter and first six months of fiscal 2026 was primarily due to the decrease in the average balance of investments as compared to the second quarter and first six months of fiscal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all periods, interest income was earned from investments in U.S. government-backed investments and money market accounts. Interest costs for all periods were minimal because we had no outstanding debt and no borrowings under our credit facility.</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income tax provision for interim periods is determined using an estimate of our annual effective tax rate, adjusted for discrete items, if any. Each quarter, we update our estimate of the annual effective tax rate and make a year-to-date adjustment to the provision.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effective tax rate was (1.6)% and 129.3%, respectively, for the second quarter of fiscal 2026 and fiscal 2025, and (0.8)% and 4.6%, respectively, for the first six months of fiscal 2026 and fiscal 2025. In the fourth quarter of fiscal 2025, a full valuation allowance was established against the net deferred tax assets. As a result, the effective tax rate for the second quarter and first six months of fiscal 2026 primarily reflected a provision for state margin tax, based on gross receipts less certain deductions. The effective tax rate for the second quarter and first six months of fiscal 2025 reflected the impact of permanent book-to-tax differences and discrete items.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second quarter of fiscal 2026, we recorded net income of $2.0 million, or $0.04 per diluted share, as compared to a net loss of $(0.3) million, or $0.00 per diluted share, for the second quarter of fiscal 2025. The increase in earnings for the second quarter of fiscal 2026 as compared to the second quarter of fiscal 2025 was driven primarily by the tariff refund and lower incentive-based accruals, partially offset by a decrease in sales and an increase in transaction-related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loss for the first six months of fiscal 2026 was $(3.9) million, or $(0.07) per diluted share, as compared to a net loss for the first six months of fiscal 2025 of $(2.2) million, or $(0.04) per diluted share. The decrease in earnings for the first six months of fiscal 2026 as compared to the first six months of fiscal 2025, was primarily due to the decrease in sales and an increase in transaction-related costs of $2.8 million, partially offset by the tariff refund and the lower incentive-based accruals.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fully reserved against our deferred tax assets and, therefore, the results for the second quarter and the first six months of fiscal 2026 are not reflective of earnings assuming a normal tax position for the Company. On a non-GAAP basis, adjusting for a normal tax rate of 26% and the add back of transaction-related costs, adjusted net income for the second quarter of fiscal 2026 was $0.05 per diluted share as compared to adjusted net income for the second quarter of fiscal 2025 of $0.01 per diluted share. For the first six months of fiscal 2026, adjusted net loss was $(0.01) per diluted share, as compared to an adjusted net loss of $(0.03) per diluted share, for the first six months of fiscal 2025. </w:t>
      </w:r>
    </w:p>
    <w:p>
      <w:pPr>
        <w:pStyle w:val="TextBody"/>
        <w:bidi w:val="0"/>
        <w:spacing w:before="240" w:after="283"/>
        <w:jc w:val="left"/>
        <w:rPr>
          <w:rFonts w:ascii="Times New Roman" w:hAnsi="Times New Roman"/>
          <w:sz w:val="20"/>
        </w:rPr>
      </w:pPr>
      <w:r>
        <w:rPr>
          <w:rFonts w:ascii="Times New Roman" w:hAnsi="Times New Roman"/>
          <w:i/>
          <w:color w:val="000000"/>
          <w:sz w:val="20"/>
        </w:rPr>
        <w:t>Inventory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August 1, 2026, our inventory decreased by $3.4 million to $75.5 million, as compared to $78.9 million at August 2, 2025. We continue to take proactive measures to manage our inventory and adjust our receipt plan given the ongoing macroeconomic factors affecting consumer spending. At August 1, 2026, our clearance inventory was 9.8% of our total inventory, as compared to 10.2% at August 2, 2025. We believe that our inventory position is healthy and our clearance levels are in line with our benchmark of 10%. </w:t>
      </w:r>
    </w:p>
    <w:p>
      <w:pPr>
        <w:pStyle w:val="TextBody"/>
        <w:bidi w:val="0"/>
        <w:spacing w:before="24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and consistent with the retail industry, we have experienced seasonal fluctuations as it relates to our operating income, net income, and free cash flow. Traditionally, a significant portion of our operating income, net income, and free cash flow is generated in the second and fourth quarters. Our inventory is typically at peak levels by the end of the third quarter, which represents a significant use of cash, which is then relieved in the fourth quarter as we sell-down our inventory through the holiday shopping season.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LIQUIDITY AND CAPITAL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sources of liquidity are our cash and cash equivalents, short-term investments, cash generated from operations and availability under our credit facility, which is discussed below. At August 1, 2026, we had no outstanding debt, including no borrowings under our credit facility during the first six months of fiscal 2026. Cash that is in excess of our forecasted needs may be invested in money market accounts and U.S. government-backed securities.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cash and cash equivalent balances, short-term investments, cash generated from operations, and borrowings available to us under our credit facility will be adequate to meet our liquidity needs and capital expenditure requirements for at least the next 12 months. We believe that cash flows from operating activities and cash on hand will be sufficient to satisfy our current capital requirements. In the longer term, to the extent future capital requirements exceed cash on hand plus cash flows from operating activities, we anticipate that working capital will be financed by our credit facility.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For the first six months of fiscal 2026, cash flow from operations was $(2.8) million as compared to $(2.1) million for the first six months of fiscal 2025. The slight decrease in cash flow from operations was primarily due to the decrease in earnings partially offset by the timing of other working capital.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Free cash flow, before capital expenditures for store development, a non-GAAP measure, was $(8.3) million for the first six months of fiscal 2026 as compared to $(7.6) million for the first six months of fiscal 2025. Free cash flow, a non-GAAP measure, was $(8.7) million for the first six months of fiscal 2026 as compared to $(14.2) million for the first six months of fiscal 2025. This improvement reflects a decrease in capital expenditures for new store openings of $6.2 million.</w:t>
      </w:r>
    </w:p>
    <w:p>
      <w:pPr>
        <w:pStyle w:val="TextBody"/>
        <w:bidi w:val="0"/>
        <w:jc w:val="left"/>
        <w:rPr/>
      </w:pPr>
      <w:r>
        <w:rPr/>
        <w:t> </w:t>
      </w:r>
    </w:p>
    <w:tbl>
      <w:tblPr>
        <w:tblW w:w="9386" w:type="dxa"/>
        <w:jc w:val="left"/>
        <w:tblInd w:w="0" w:type="dxa"/>
        <w:tblLayout w:type="fixed"/>
        <w:tblCellMar>
          <w:top w:w="28" w:type="dxa"/>
          <w:left w:w="28" w:type="dxa"/>
          <w:bottom w:w="28" w:type="dxa"/>
          <w:right w:w="28" w:type="dxa"/>
        </w:tblCellMar>
      </w:tblPr>
      <w:tblGrid>
        <w:gridCol w:w="6101"/>
        <w:gridCol w:w="146"/>
        <w:gridCol w:w="394"/>
        <w:gridCol w:w="791"/>
        <w:gridCol w:w="166"/>
        <w:gridCol w:w="146"/>
        <w:gridCol w:w="343"/>
        <w:gridCol w:w="842"/>
        <w:gridCol w:w="166"/>
        <w:gridCol w:w="291"/>
      </w:tblGrid>
      <w:tr>
        <w:trPr/>
        <w:tc>
          <w:tcPr>
            <w:tcW w:w="6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 from operating activities (GAAP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excluding store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Free Cash Flow before capital expenditures for store development (non-GAAP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for store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Free Cash Flow (non-GAAP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flow used for investing activities was $(4.0) million as compared to cash flow provided by investing activities of $4.4 million for the first six months of fiscal 2025. The decrease in cash flow from investing activities of $(8.4) million was primarily due to a decrease in proceeds from short-term investments partially offset by a decrease in capital expenditures in fiscal 2026 as compared to fiscal 2025.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 revolving credit agreement with Citizens Bank, N.A., which was most recently amended in the third quarter of fiscal 2025 (as amended, the “Credit Facility”). The Credit Facility, which expires August 13, 2030, provides a revolving commitment of $100.0 million, a sublimit for swing-line loans of $10.0 million and a sublimit of $20.0 million for commercial and standby letters of credit.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Borrowings under the Credit Facility bear interest at either a Base Rate (as defined in the Credit Facility) or Daily Simple Secured Overnight Financing Rate (“SOFR”) rate, at our option. Base Rate loans will bear interest at a rate equal to (i) the greater of: (a) the Prime Rate (as defined in the Credit Facility), (b) the Federal Funds (as defined in the Credit Facility) effective rate plus 0.50% per annum and (c) the Daily Simple SOFR rate plus 1.00% per annum (provided the Base Rate shall never be less than the Floor (as defined in the Credit Facility)), plus (ii) a varying percentage, based on our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We are subject to an unused line fee of 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no outstanding borrowings under the Credit Facility at August 1, 2026 and no borrowings during the first six months of fiscal 2026. At August 1, 2026, outstanding standby letters of credit were $3.7 million. The average unused excess availability during the first six months of fiscal 2026 was approximately $64.7 million and the unused excess availability at August 1, 2026 was $61.7 million, as compared to $70.1 million as of August 2, 2025.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Capital Expenditures</w:t>
      </w:r>
      <w:r>
        <w:rPr>
          <w:rFonts w:ascii="Times New Roman" w:hAnsi="Times New Roman"/>
          <w:color w:val="000000"/>
          <w:sz w:val="20"/>
        </w:rPr>
        <w:t xml:space="preserve">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sets forth the open stores and related square footage at August 1, 2026 and August 2, 2025, respectively:</w:t>
      </w:r>
    </w:p>
    <w:tbl>
      <w:tblPr>
        <w:tblW w:w="6739" w:type="dxa"/>
        <w:jc w:val="left"/>
        <w:tblInd w:w="0" w:type="dxa"/>
        <w:tblLayout w:type="fixed"/>
        <w:tblCellMar>
          <w:top w:w="28" w:type="dxa"/>
          <w:left w:w="28" w:type="dxa"/>
          <w:bottom w:w="28" w:type="dxa"/>
          <w:right w:w="28" w:type="dxa"/>
        </w:tblCellMar>
      </w:tblPr>
      <w:tblGrid>
        <w:gridCol w:w="2206"/>
        <w:gridCol w:w="146"/>
        <w:gridCol w:w="224"/>
        <w:gridCol w:w="646"/>
        <w:gridCol w:w="146"/>
        <w:gridCol w:w="146"/>
        <w:gridCol w:w="146"/>
        <w:gridCol w:w="571"/>
        <w:gridCol w:w="146"/>
        <w:gridCol w:w="146"/>
        <w:gridCol w:w="224"/>
        <w:gridCol w:w="646"/>
        <w:gridCol w:w="146"/>
        <w:gridCol w:w="146"/>
        <w:gridCol w:w="146"/>
        <w:gridCol w:w="571"/>
        <w:gridCol w:w="146"/>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Store Concept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Number of</w:t>
              <w:br/>
              <w:t>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Square</w:t>
              <w:br/>
              <w:t>Footage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Number of</w:t>
              <w:br/>
              <w:t>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Square</w:t>
              <w:br/>
              <w:t>Footage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(square footage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DXL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DXL Outlets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Casual Male XL 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Casual Male Outlets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During the first six months of fiscal 2026, we closed one DXL retail store and one Casual Male XL outlet store. We expect our capital expenditures for fiscal 2026 to range from $8.0 million to $10.0 million, net of tenant incentives, a decrease from our previous estimate of $9.0 million to $12.0 million. We expect that our capital spend for fiscal 2026 to be primarily for technology-related projects to support our business initiatives and projects necessary to maintain our existing store portfolio and distribution center. </w:t>
      </w:r>
    </w:p>
    <w:p>
      <w:pPr>
        <w:pStyle w:val="TextBody"/>
        <w:bidi w:val="0"/>
        <w:spacing w:before="8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have been no material changes to the critical accounting policies and estimates disclosed in our Fiscal 2025 Annual Report. See Note 1, </w:t>
      </w:r>
      <w:r>
        <w:rPr>
          <w:rFonts w:ascii="Times New Roman" w:hAnsi="Times New Roman"/>
          <w:i/>
          <w:color w:val="000000"/>
          <w:sz w:val="20"/>
        </w:rPr>
        <w:t>Basis of Presentation</w:t>
      </w:r>
      <w:r>
        <w:rPr>
          <w:rFonts w:ascii="Times New Roman" w:hAnsi="Times New Roman"/>
          <w:color w:val="000000"/>
          <w:sz w:val="20"/>
        </w:rPr>
        <w:t xml:space="preserve"> to the Consolidated Financial Statements included in this Quarterly Report for information on recent accounting pronouncements and changes in accounting principles. </w:t>
      </w:r>
    </w:p>
    <w:p>
      <w:pPr>
        <w:pStyle w:val="TextBody"/>
        <w:bidi w:val="0"/>
        <w:spacing w:before="240" w:after="283"/>
        <w:jc w:val="left"/>
        <w:rPr>
          <w:rFonts w:ascii="Times New Roman" w:hAnsi="Times New Roman"/>
          <w:sz w:val="20"/>
        </w:rPr>
      </w:pPr>
      <w:r>
        <w:rPr>
          <w:rFonts w:ascii="Times New Roman" w:hAnsi="Times New Roman"/>
          <w:b/>
          <w:color w:val="000000"/>
          <w:sz w:val="20"/>
          <w:u w:val="single"/>
        </w:rPr>
        <w:t>Non-GAAP Financial Measures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net income (loss), adjusted net income (loss) per diluted share, free cash flow, free cash flow before capital expenditures for store development, adjusted EBITDA and adjusted EBITDA margin are non-GAAP measures. These non-GAAP measures are not presented in accordance with GAAP and should not be considered superior to or as a substitute for net income (loss), net income (loss) per diluted share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Reconciliations of these non-GAAP measures are presented in the following tables </w:t>
      </w:r>
      <w:r>
        <w:rPr>
          <w:rFonts w:ascii="Times New Roman" w:hAnsi="Times New Roman"/>
          <w:i/>
          <w:color w:val="000000"/>
          <w:sz w:val="20"/>
        </w:rPr>
        <w:t>(certain columns may not foot due to rounding)</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i/>
          <w:color w:val="000000"/>
          <w:sz w:val="20"/>
          <w:u w:val="single"/>
        </w:rPr>
        <w:t>Adjusted Net Income (Loss) and Adjusted Net Income (Loss) Per Diluted Share</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Adjusted net income (loss) and adjusted net income (loss) per diluted share reflect an adjustment assuming a normal tax rate of 26% and the add back of transaction-related costs. We have fully reserved against our net deferred tax assets and, therefore, the net income (loss) for the second quarter and first six months of fiscal 2026 is not reflective of earnings assuming a “normal” tax position. Adjusted net income (loss) provides investors with a useful indication of the financial performance of the business, on a comparative basis, assuming a normalized tax rate of 26%. The estimated normal tax rate of 26% includes a blended state income tax rate. The Company believes that this comparability is useful in comparing the actual results period to period. Adjusted net income (loss) per diluted share is then calculated by dividing the adjusted net income (loss) by the weighted average shares outstanding for the respective period, on a diluted basis. The following table is a reconciliation of net income (loss) on a GAAP basis to adjusted net income (loss), on a non-GAAP basis, for each period:</w:t>
      </w:r>
    </w:p>
    <w:tbl>
      <w:tblPr>
        <w:tblW w:w="10205" w:type="dxa"/>
        <w:jc w:val="left"/>
        <w:tblInd w:w="0" w:type="dxa"/>
        <w:tblLayout w:type="fixed"/>
        <w:tblCellMar>
          <w:top w:w="28" w:type="dxa"/>
          <w:left w:w="28" w:type="dxa"/>
          <w:bottom w:w="28" w:type="dxa"/>
          <w:right w:w="28" w:type="dxa"/>
        </w:tblCellMar>
      </w:tblPr>
      <w:tblGrid>
        <w:gridCol w:w="1545"/>
        <w:gridCol w:w="146"/>
        <w:gridCol w:w="196"/>
        <w:gridCol w:w="511"/>
        <w:gridCol w:w="166"/>
        <w:gridCol w:w="146"/>
        <w:gridCol w:w="196"/>
        <w:gridCol w:w="601"/>
        <w:gridCol w:w="146"/>
        <w:gridCol w:w="146"/>
        <w:gridCol w:w="196"/>
        <w:gridCol w:w="511"/>
        <w:gridCol w:w="166"/>
        <w:gridCol w:w="146"/>
        <w:gridCol w:w="196"/>
        <w:gridCol w:w="601"/>
        <w:gridCol w:w="166"/>
        <w:gridCol w:w="146"/>
        <w:gridCol w:w="196"/>
        <w:gridCol w:w="571"/>
        <w:gridCol w:w="166"/>
        <w:gridCol w:w="146"/>
        <w:gridCol w:w="196"/>
        <w:gridCol w:w="602"/>
        <w:gridCol w:w="166"/>
        <w:gridCol w:w="146"/>
        <w:gridCol w:w="196"/>
        <w:gridCol w:w="571"/>
        <w:gridCol w:w="166"/>
        <w:gridCol w:w="146"/>
        <w:gridCol w:w="196"/>
        <w:gridCol w:w="602"/>
        <w:gridCol w:w="212"/>
      </w:tblGrid>
      <w:tr>
        <w:trPr/>
        <w:tc>
          <w:tcPr>
            <w:tcW w:w="1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w:t>
              <w:br/>
              <w:t>diluted</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w:t>
              <w:br/>
              <w:t>diluted</w:t>
              <w:br/>
              <w:t>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 diluted</w:t>
              <w:br/>
              <w:t>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 diluted</w:t>
              <w:br/>
              <w:t>share</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Add 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Actual 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 assuming a normalized tax rate of 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net income (loss) (non-GAAP)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common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4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shares outstanding on a diluted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53,708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u w:val="single"/>
        </w:rPr>
        <w:t xml:space="preserve">Free Cash Flow. </w:t>
      </w:r>
      <w:r>
        <w:rPr>
          <w:rFonts w:ascii="Times New Roman" w:hAnsi="Times New Roman"/>
          <w:color w:val="000000"/>
          <w:sz w:val="20"/>
        </w:rPr>
        <w:t xml:space="preserve">We define free cash flow as cash flow from operating activities less capital expenditures. We define free cash flow before capital expenditures for store development as cash flow from operations less all capital expenditures except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 Free cash flow excludes the mandatory and discretionary repayment of debt. Free cash flow is a metric that management uses to monitor liquidity. Management believes this metric is important to investors because it demonstrates the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Company's ability to strengthen liquidity while supporting its capital projects and new store development. We expect to fund our ongoing capital expenditures with cash on hand and cash flow from operations.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following table reconciles free cash flow:</w:t>
      </w:r>
    </w:p>
    <w:tbl>
      <w:tblPr>
        <w:tblW w:w="9386" w:type="dxa"/>
        <w:jc w:val="left"/>
        <w:tblInd w:w="0" w:type="dxa"/>
        <w:tblLayout w:type="fixed"/>
        <w:tblCellMar>
          <w:top w:w="28" w:type="dxa"/>
          <w:left w:w="28" w:type="dxa"/>
          <w:bottom w:w="28" w:type="dxa"/>
          <w:right w:w="28" w:type="dxa"/>
        </w:tblCellMar>
      </w:tblPr>
      <w:tblGrid>
        <w:gridCol w:w="6101"/>
        <w:gridCol w:w="146"/>
        <w:gridCol w:w="394"/>
        <w:gridCol w:w="791"/>
        <w:gridCol w:w="166"/>
        <w:gridCol w:w="146"/>
        <w:gridCol w:w="343"/>
        <w:gridCol w:w="842"/>
        <w:gridCol w:w="166"/>
        <w:gridCol w:w="291"/>
      </w:tblGrid>
      <w:tr>
        <w:trPr/>
        <w:tc>
          <w:tcPr>
            <w:tcW w:w="6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9"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flow from operating activities (GAAP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excluding store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Free Cash Flow before capital expenditures for store development (non-GAAP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expenditures for store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Free Cash Flow (non-GAAP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sz w:val="20"/>
        </w:rPr>
      </w:pPr>
      <w:r>
        <w:rPr>
          <w:rFonts w:ascii="Times New Roman" w:hAnsi="Times New Roman"/>
          <w:i/>
          <w:color w:val="000000"/>
          <w:sz w:val="20"/>
          <w:u w:val="single"/>
        </w:rPr>
        <w:t>Adjusted EBITDA and Adjusted EBITDA Margin</w:t>
      </w:r>
      <w:r>
        <w:rPr>
          <w:rFonts w:ascii="Times New Roman" w:hAnsi="Times New Roman"/>
          <w:i/>
          <w:color w:val="000000"/>
          <w:sz w:val="20"/>
        </w:rPr>
        <w:t>.</w:t>
      </w:r>
      <w:r>
        <w:rPr>
          <w:rFonts w:ascii="Times New Roman" w:hAnsi="Times New Roman"/>
          <w:color w:val="000000"/>
          <w:sz w:val="20"/>
        </w:rPr>
        <w:t xml:space="preserve"> Adjusted EBITDA is calculated as earnings before interest, taxes, depreciation and amortization and adding back transaction-related expenses. Adjusted EBITDA margin is calculated as Adjusted EBITDA divided by Sales. We believe that providing adjusted EBITDA and adjusted EBITDA margin is useful to investors in evaluating our performance and are key metrics to measure profitability and economic productivity. The following table reconciles adjusted EBITDA from net income (loss) and calculates adjusted EBITDA margin:</w:t>
      </w:r>
    </w:p>
    <w:tbl>
      <w:tblPr>
        <w:tblW w:w="10205" w:type="dxa"/>
        <w:jc w:val="left"/>
        <w:tblInd w:w="0" w:type="dxa"/>
        <w:tblLayout w:type="fixed"/>
        <w:tblCellMar>
          <w:top w:w="28" w:type="dxa"/>
          <w:left w:w="28" w:type="dxa"/>
          <w:bottom w:w="28" w:type="dxa"/>
          <w:right w:w="28" w:type="dxa"/>
        </w:tblCellMar>
      </w:tblPr>
      <w:tblGrid>
        <w:gridCol w:w="4000"/>
        <w:gridCol w:w="146"/>
        <w:gridCol w:w="303"/>
        <w:gridCol w:w="793"/>
        <w:gridCol w:w="275"/>
        <w:gridCol w:w="166"/>
        <w:gridCol w:w="303"/>
        <w:gridCol w:w="793"/>
        <w:gridCol w:w="241"/>
        <w:gridCol w:w="146"/>
        <w:gridCol w:w="146"/>
        <w:gridCol w:w="303"/>
        <w:gridCol w:w="793"/>
        <w:gridCol w:w="255"/>
        <w:gridCol w:w="154"/>
        <w:gridCol w:w="303"/>
        <w:gridCol w:w="793"/>
        <w:gridCol w:w="292"/>
      </w:tblGrid>
      <w:tr>
        <w:trPr/>
        <w:tc>
          <w:tcPr>
            <w:tcW w:w="4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Three Months Ended</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Six Months Ended</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1, 2026</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u w:val="single"/>
              </w:rPr>
            </w:pPr>
            <w:r>
              <w:rPr>
                <w:rFonts w:ascii="Times New Roman" w:hAnsi="Times New Roman"/>
                <w:i/>
                <w:color w:val="000000"/>
                <w:sz w:val="16"/>
                <w:u w:val="single"/>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 back: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EBITDA (non-GAAP)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214.9</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EBITDA margin (non-GAAP), as a percentage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our financial position and results of operations are routinely subject to a variety of risks, including market risk associated with interest rate movements on borrowings. We regularly assess these risks and have established policies and business practices to protect against the adverse effects of these and other potential exposures.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not been any material changes to our market risk exposure from interest rates previously disclosed in Part II, Item 7A of our Fiscal 2025 Annual Report</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required by Rule 13a-15 under the Securities Exchange Act of 1934, as amended (the “Exchange Act”), our management, under the supervision and with the participation of our Chief Executive Officer/Interim Chief Executive Officer and Chief Financial Officer, evaluated the effectiveness of our disclosure controls and procedures (as defined in Rules 13a-15(e) and 15d-15(e) under the Exchange Act) as of August 1, 2026.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Interim Chief Executive Officer and Chief Financial Officer concluded that, as of August 1, 2026, our disclosure controls and procedures were effective.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experienced any changes in our internal control over financial reporting (as defined in Rules 13a-15(f) and 15d-15(f) under the Exchange Act) during the three months ended August 1, 2026 that has materially affected, or is reasonably likely to materially affect, our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PART II.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various legal proceedings and claims that arise in the ordinary course of business. We currently believe that the resolution of these matters will not have a material adverse impact on our future results of operations or financial position.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have been no material changes to the risk factors as previously disclosed in Part I, Item 1A of our Fiscal 2025 Annual Report. </w:t>
      </w:r>
    </w:p>
    <w:p>
      <w:pPr>
        <w:pStyle w:val="TextBody"/>
        <w:bidi w:val="0"/>
        <w:jc w:val="left"/>
        <w:rPr>
          <w:rFonts w:ascii="Times New Roman" w:hAnsi="Times New Roman"/>
          <w:sz w:val="20"/>
        </w:rPr>
      </w:pPr>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August 1, 2026, none of our directors or officers (as defined in Rule 16a-1(f) of the Exchange Act) adopted or terminated a Rule 10b5-1 trading arrangement or non-Rule 10b5-1 trading arrangement (as such terms are defined in Item 408 of Regulation S-K of the Securities Act of 1933, as amended).</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6.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36"/>
        <w:gridCol w:w="146"/>
        <w:gridCol w:w="9423"/>
      </w:tblGrid>
      <w:tr>
        <w:trPr/>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23" w:type="dxa"/>
            <w:tcBorders/>
            <w:vAlign w:val="center"/>
          </w:tcPr>
          <w:p>
            <w:pPr>
              <w:pStyle w:val="TableContents"/>
              <w:bidi w:val="0"/>
              <w:spacing w:before="0" w:after="283"/>
              <w:jc w:val="left"/>
              <w:rPr>
                <w:sz w:val="4"/>
                <w:szCs w:val="4"/>
              </w:rPr>
            </w:pPr>
            <w:r>
              <w:rPr>
                <w:sz w:val="4"/>
                <w:szCs w:val="4"/>
              </w:rPr>
            </w:r>
          </w:p>
        </w:tc>
      </w:tr>
      <w:tr>
        <w:trPr/>
        <w:tc>
          <w:tcPr>
            <w:tcW w:w="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Offer of Employment Letter between CMRG Apparel, LLC, a subsidiary of the Company, and Lionel F. Conacher, dated August 5, 2026 (included as Exhibit 10.1 to the Company's Current Report on Form 8-K filed August 6, 2026, and incorporated herein by reference).</w:t>
              </w:r>
            </w:hyperlink>
            <w:r>
              <w:rPr>
                <w:rFonts w:ascii="Times New Roman" w:hAnsi="Times New Roman"/>
                <w:color w:val="0000FF"/>
                <w:sz w:val="20"/>
              </w:rPr>
              <w:t xml:space="preserve"> </w:t>
            </w:r>
          </w:p>
        </w:tc>
      </w:tr>
      <w:tr>
        <w:trPr/>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Employment Agreement between CMRG Apparel LLC, a subsidiary of the Company and James E. Olsson, dated September 2, 2026 (included as Exhibit 10.1 to the Company's Current Report on Form 8-K filed September 2, 2026, and incorporated herein by reference).</w:t>
              </w:r>
            </w:hyperlink>
          </w:p>
        </w:tc>
      </w:tr>
      <w:tr>
        <w:trPr/>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3" w:type="dxa"/>
            <w:tcBorders/>
            <w:tcMar>
              <w:top w:w="0" w:type="dxa"/>
              <w:left w:w="0" w:type="dxa"/>
              <w:bottom w:w="0" w:type="dxa"/>
              <w:right w:w="0" w:type="dxa"/>
            </w:tcMar>
            <w:vAlign w:val="center"/>
          </w:tcPr>
          <w:p>
            <w:pPr>
              <w:pStyle w:val="TableContents"/>
              <w:bidi w:val="0"/>
              <w:spacing w:before="0" w:after="283"/>
              <w:jc w:val="left"/>
              <w:rPr/>
            </w:pPr>
            <w:hyperlink w:anchor="dxlg-ex31_1.htm">
              <w:r>
                <w:rPr>
                  <w:rStyle w:val="InternetLink"/>
                  <w:rFonts w:ascii="Times New Roman" w:hAnsi="Times New Roman"/>
                  <w:color w:val="0000FF"/>
                  <w:sz w:val="20"/>
                  <w:u w:val="single"/>
                </w:rPr>
                <w:t>Certification of the Interim Chief Executive Officer of the Company pursuant to Rule 13a-14(a) under the Securities Exchange Act of 1934*.</w:t>
              </w:r>
            </w:hyperlink>
          </w:p>
        </w:tc>
      </w:tr>
      <w:tr>
        <w:trPr/>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pPr>
            <w:hyperlink w:anchor="dxlg-ex31_2.htm">
              <w:r>
                <w:rPr>
                  <w:rStyle w:val="InternetLink"/>
                  <w:rFonts w:ascii="Times New Roman" w:hAnsi="Times New Roman"/>
                  <w:color w:val="0000FF"/>
                  <w:sz w:val="20"/>
                  <w:u w:val="single"/>
                </w:rPr>
                <w:t>Certification of the Chief Financial Officer of the Company pursuant to Rule 13a-14(a) under the Securities Exchange Act of 1934.*</w:t>
              </w:r>
            </w:hyperlink>
          </w:p>
        </w:tc>
      </w:tr>
      <w:tr>
        <w:trPr/>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pPr>
            <w:hyperlink w:anchor="dxlg-ex32_1.htm">
              <w:r>
                <w:rPr>
                  <w:rStyle w:val="InternetLink"/>
                  <w:rFonts w:ascii="Times New Roman" w:hAnsi="Times New Roman"/>
                  <w:color w:val="0000FF"/>
                  <w:sz w:val="20"/>
                  <w:u w:val="single"/>
                </w:rPr>
                <w:t>Certification of Interim Chief Executive Officer pursuant to 18 U.S.C. Section 1350, as adopted pursuant to Section 906 of the Sarbanes-Oxley Act of 2002.*</w:t>
              </w:r>
            </w:hyperlink>
          </w:p>
        </w:tc>
      </w:tr>
      <w:tr>
        <w:trPr/>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pPr>
            <w:hyperlink w:anchor="dxlg-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r>
      <w:tr>
        <w:trPr/>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r>
      <w:tr>
        <w:trPr/>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Inline XBRL document.</w:t>
            </w:r>
          </w:p>
        </w:tc>
      </w:tr>
      <w:tr>
        <w:trPr/>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2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Filed herewith.</w:t>
            </w:r>
          </w:p>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SIGNATURES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10205" w:type="dxa"/>
        <w:jc w:val="left"/>
        <w:tblInd w:w="0" w:type="dxa"/>
        <w:tblLayout w:type="fixed"/>
        <w:tblCellMar>
          <w:top w:w="28" w:type="dxa"/>
          <w:left w:w="28" w:type="dxa"/>
          <w:bottom w:w="28" w:type="dxa"/>
          <w:right w:w="28" w:type="dxa"/>
        </w:tblCellMar>
      </w:tblPr>
      <w:tblGrid>
        <w:gridCol w:w="1602"/>
        <w:gridCol w:w="326"/>
        <w:gridCol w:w="626"/>
        <w:gridCol w:w="109"/>
        <w:gridCol w:w="7542"/>
      </w:tblGrid>
      <w:tr>
        <w:trPr/>
        <w:tc>
          <w:tcPr>
            <w:tcW w:w="160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2" w:type="dxa"/>
            <w:tcBorders/>
            <w:vAlign w:val="center"/>
          </w:tcPr>
          <w:p>
            <w:pPr>
              <w:pStyle w:val="TableContents"/>
              <w:bidi w:val="0"/>
              <w:spacing w:before="0" w:after="283"/>
              <w:jc w:val="left"/>
              <w:rPr>
                <w:sz w:val="4"/>
                <w:szCs w:val="4"/>
              </w:rPr>
            </w:pPr>
            <w:r>
              <w:rPr>
                <w:sz w:val="4"/>
                <w:szCs w:val="4"/>
              </w:rPr>
            </w:r>
          </w:p>
        </w:tc>
      </w:tr>
      <w:tr>
        <w:trPr/>
        <w:tc>
          <w:tcPr>
            <w:tcW w:w="16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7"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DESTINATION XL GROUP, INC.</w:t>
            </w:r>
          </w:p>
        </w:tc>
      </w:tr>
      <w:tr>
        <w:trPr/>
        <w:tc>
          <w:tcPr>
            <w:tcW w:w="16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9, 2026</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2" w:type="dxa"/>
            <w:tcBorders>
              <w:bottom w:val="single" w:sz="2"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John F. Cooney</w:t>
            </w:r>
          </w:p>
        </w:tc>
      </w:tr>
      <w:tr>
        <w:trPr/>
        <w:tc>
          <w:tcPr>
            <w:tcW w:w="16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F. Cooney</w:t>
            </w:r>
          </w:p>
        </w:tc>
      </w:tr>
      <w:tr>
        <w:trPr/>
        <w:tc>
          <w:tcPr>
            <w:tcW w:w="16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Senior Vice President, Chief Accounting Officer and Corporate Controller (Duly Authorized Officer and Chief Accounting Officer)</w:t>
            </w:r>
          </w:p>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bookmarkStart w:id="2" w:name="dxlg-ex31_1.htm"/>
      <w:bookmarkStart w:id="3" w:name="ksdxlgex31_1"/>
      <w:bookmarkEnd w:id="2"/>
      <w:bookmarkEnd w:id="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Lionel F. Conacher,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Destination XL Group,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5089" w:type="dxa"/>
        <w:jc w:val="left"/>
        <w:tblInd w:w="0" w:type="dxa"/>
        <w:tblLayout w:type="fixed"/>
        <w:tblCellMar>
          <w:top w:w="28" w:type="dxa"/>
          <w:left w:w="28" w:type="dxa"/>
          <w:bottom w:w="28" w:type="dxa"/>
          <w:right w:w="28" w:type="dxa"/>
        </w:tblCellMar>
      </w:tblPr>
      <w:tblGrid>
        <w:gridCol w:w="556"/>
        <w:gridCol w:w="1681"/>
        <w:gridCol w:w="406"/>
        <w:gridCol w:w="2446"/>
      </w:tblGrid>
      <w:tr>
        <w:trPr/>
        <w:tc>
          <w:tcPr>
            <w:tcW w:w="55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September 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Lionel F. Conacher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Lionel F. Conacher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Interim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dxlg-ex31_2.htm"/>
      <w:bookmarkStart w:id="5" w:name="ksdxlgex31_2"/>
      <w:bookmarkEnd w:id="4"/>
      <w:bookmarkEnd w:id="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Peter H. Stratton, Jr.,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Destination XL Group,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624" w:type="dxa"/>
        <w:jc w:val="left"/>
        <w:tblInd w:w="0" w:type="dxa"/>
        <w:tblLayout w:type="fixed"/>
        <w:tblCellMar>
          <w:top w:w="28" w:type="dxa"/>
          <w:left w:w="28" w:type="dxa"/>
          <w:bottom w:w="28" w:type="dxa"/>
          <w:right w:w="28" w:type="dxa"/>
        </w:tblCellMar>
      </w:tblPr>
      <w:tblGrid>
        <w:gridCol w:w="556"/>
        <w:gridCol w:w="1681"/>
        <w:gridCol w:w="406"/>
        <w:gridCol w:w="1981"/>
      </w:tblGrid>
      <w:tr>
        <w:trPr/>
        <w:tc>
          <w:tcPr>
            <w:tcW w:w="55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September 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H. Stratton, Jr.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Peter H. Stratton, Jr.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 w:name="dxlg-ex32_1.htm"/>
      <w:bookmarkStart w:id="7" w:name="ksdxlgex32_1"/>
      <w:bookmarkEnd w:id="6"/>
      <w:bookmarkEnd w:id="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br/>
        <w:t>18 U.S.C. SECTION 1350,</w:t>
        <w:br/>
        <w:t>AS ADOPTED PURSUANT TO</w:t>
        <w:b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Destination XL Group, Inc. (the “Company”) for the period ended August 1, 2026, as filed with the Securities and Exchange Commission on the date hereof (the “Report”), I, Lionel F. Conacher, Interim Chief Executive Officer of the Company,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as amended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pStyle w:val="TextBody"/>
        <w:bidi w:val="0"/>
        <w:jc w:val="left"/>
        <w:rPr/>
      </w:pPr>
      <w:r>
        <w:rPr/>
        <w:t> </w:t>
      </w:r>
    </w:p>
    <w:tbl>
      <w:tblPr>
        <w:tblW w:w="5089" w:type="dxa"/>
        <w:jc w:val="left"/>
        <w:tblInd w:w="0" w:type="dxa"/>
        <w:tblLayout w:type="fixed"/>
        <w:tblCellMar>
          <w:top w:w="28" w:type="dxa"/>
          <w:left w:w="28" w:type="dxa"/>
          <w:bottom w:w="28" w:type="dxa"/>
          <w:right w:w="28" w:type="dxa"/>
        </w:tblCellMar>
      </w:tblPr>
      <w:tblGrid>
        <w:gridCol w:w="556"/>
        <w:gridCol w:w="1681"/>
        <w:gridCol w:w="406"/>
        <w:gridCol w:w="2446"/>
      </w:tblGrid>
      <w:tr>
        <w:trPr/>
        <w:tc>
          <w:tcPr>
            <w:tcW w:w="55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September 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/s/ Lionel F. Conacher</w:t>
            </w:r>
            <w:r>
              <w:rPr>
                <w:rFonts w:ascii="Times New Roman" w:hAnsi="Times New Roman"/>
                <w:color w:val="000000"/>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Lionel F. Conacher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Interim Chief Executive Officer</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8" w:name="dxlg-ex32_2.htm"/>
      <w:bookmarkStart w:id="9" w:name="ksdxlgex32_2"/>
      <w:bookmarkEnd w:id="8"/>
      <w:bookmarkEnd w:id="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br/>
        <w:t>18 U.S.C. SECTION 1350,</w:t>
        <w:br/>
        <w:t>AS ADOPTED PURSUANT TO</w:t>
        <w:b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Destination XL Group, Inc. (the “Company”) for the period ended August 1, 2026, as filed with the Securities and Exchange Commission on the date hereof (the “Report”), I, Peter H. Stratton, Jr., Chief Financial Officer of the Company,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as amended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pStyle w:val="TextBody"/>
        <w:bidi w:val="0"/>
        <w:jc w:val="left"/>
        <w:rPr/>
      </w:pPr>
      <w:r>
        <w:rPr/>
        <w:t> </w:t>
      </w:r>
    </w:p>
    <w:tbl>
      <w:tblPr>
        <w:tblW w:w="4609" w:type="dxa"/>
        <w:jc w:val="left"/>
        <w:tblInd w:w="0" w:type="dxa"/>
        <w:tblLayout w:type="fixed"/>
        <w:tblCellMar>
          <w:top w:w="28" w:type="dxa"/>
          <w:left w:w="28" w:type="dxa"/>
          <w:bottom w:w="28" w:type="dxa"/>
          <w:right w:w="28" w:type="dxa"/>
        </w:tblCellMar>
      </w:tblPr>
      <w:tblGrid>
        <w:gridCol w:w="556"/>
        <w:gridCol w:w="1621"/>
        <w:gridCol w:w="406"/>
        <w:gridCol w:w="2026"/>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9,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/s/ Peter H. Stratton, Jr.</w:t>
            </w:r>
            <w:r>
              <w:rPr>
                <w:rFonts w:ascii="Times New Roman" w:hAnsi="Times New Roman"/>
                <w:color w:val="000000"/>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Peter H. Stratton, Jr.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Chief Financial Officer</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3298/000119312526338457/dxlg-ex10_1.htm" TargetMode="External"/><Relationship Id="rId3" Type="http://schemas.openxmlformats.org/officeDocument/2006/relationships/hyperlink" Target="https://www.sec.gov/Archives/edgar/data/813298/000119312526380226/dxlg-ex10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18602</Words>
  <Characters>99774</Characters>
  <CharactersWithSpaces>119927</CharactersWithSpaces>
  <Paragraphs>5138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